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b/>
          <w:bCs/>
          <w:color w:val="000000"/>
          <w:w w:val="80"/>
          <w:sz w:val="48"/>
          <w:szCs w:val="48"/>
        </w:rPr>
      </w:pPr>
      <w:bookmarkStart w:id="171" w:name="_GoBack"/>
      <w:bookmarkEnd w:id="171"/>
      <w:r>
        <w:rPr>
          <w:rFonts w:hint="eastAsia" w:ascii="宋体" w:hAnsi="宋体" w:cs="Times New Roman"/>
          <w:b/>
          <w:bCs/>
          <w:color w:val="000000"/>
          <w:w w:val="80"/>
          <w:sz w:val="48"/>
          <w:szCs w:val="48"/>
          <w:lang w:val="en-US" w:eastAsia="zh-CN"/>
        </w:rPr>
        <w:t>温县施工图审查政府购买服务项目（三包）二次</w:t>
      </w:r>
    </w:p>
    <w:p>
      <w:pPr>
        <w:rPr>
          <w:rFonts w:ascii="仿宋_GB2312" w:eastAsia="仿宋_GB2312"/>
          <w:b/>
          <w:color w:val="000000"/>
          <w:sz w:val="32"/>
          <w:szCs w:val="32"/>
        </w:rPr>
      </w:pPr>
    </w:p>
    <w:p>
      <w:pPr>
        <w:pStyle w:val="38"/>
        <w:jc w:val="both"/>
        <w:rPr>
          <w:rFonts w:hint="eastAsia" w:ascii="宋体" w:hAnsi="宋体"/>
          <w:b/>
          <w:bCs/>
          <w:color w:val="000000"/>
          <w:w w:val="80"/>
          <w:sz w:val="52"/>
          <w:szCs w:val="52"/>
        </w:rPr>
      </w:pPr>
    </w:p>
    <w:p>
      <w:pPr>
        <w:pStyle w:val="38"/>
        <w:jc w:val="center"/>
        <w:rPr>
          <w:rFonts w:ascii="仿宋_GB2312" w:eastAsia="仿宋_GB2312"/>
          <w:b/>
          <w:sz w:val="52"/>
          <w:szCs w:val="52"/>
        </w:rPr>
      </w:pPr>
      <w:r>
        <w:rPr>
          <w:rFonts w:hint="eastAsia" w:ascii="宋体" w:hAnsi="宋体"/>
          <w:b/>
          <w:bCs/>
          <w:color w:val="000000"/>
          <w:w w:val="80"/>
          <w:sz w:val="52"/>
          <w:szCs w:val="52"/>
        </w:rPr>
        <w:t>竞争性磋商文件</w:t>
      </w:r>
    </w:p>
    <w:p>
      <w:pPr>
        <w:spacing w:line="360" w:lineRule="auto"/>
        <w:jc w:val="center"/>
        <w:rPr>
          <w:rFonts w:hint="eastAsia"/>
          <w:b/>
          <w:sz w:val="28"/>
          <w:szCs w:val="28"/>
        </w:rPr>
      </w:pPr>
      <w:r>
        <w:rPr>
          <w:rFonts w:hint="eastAsia"/>
          <w:b/>
          <w:sz w:val="28"/>
          <w:szCs w:val="28"/>
        </w:rPr>
        <w:t>项目编号：温交易【202</w:t>
      </w:r>
      <w:r>
        <w:rPr>
          <w:rFonts w:hint="eastAsia"/>
          <w:b/>
          <w:sz w:val="28"/>
          <w:szCs w:val="28"/>
          <w:lang w:val="en-US" w:eastAsia="zh-CN"/>
        </w:rPr>
        <w:t>3</w:t>
      </w:r>
      <w:r>
        <w:rPr>
          <w:rFonts w:hint="eastAsia"/>
          <w:b/>
          <w:sz w:val="28"/>
          <w:szCs w:val="28"/>
        </w:rPr>
        <w:t>】</w:t>
      </w:r>
      <w:r>
        <w:rPr>
          <w:rFonts w:hint="eastAsia"/>
          <w:b/>
          <w:sz w:val="28"/>
          <w:szCs w:val="28"/>
          <w:lang w:val="en-US" w:eastAsia="zh-CN"/>
        </w:rPr>
        <w:t>58</w:t>
      </w:r>
      <w:r>
        <w:rPr>
          <w:rFonts w:hint="eastAsia"/>
          <w:b/>
          <w:sz w:val="28"/>
          <w:szCs w:val="28"/>
        </w:rPr>
        <w:t>号</w:t>
      </w:r>
    </w:p>
    <w:p>
      <w:pPr>
        <w:jc w:val="center"/>
        <w:rPr>
          <w:rFonts w:hint="eastAsia"/>
          <w:b/>
          <w:sz w:val="28"/>
          <w:szCs w:val="28"/>
        </w:rPr>
      </w:pPr>
      <w:r>
        <w:rPr>
          <w:rFonts w:hint="eastAsia"/>
          <w:b/>
          <w:sz w:val="28"/>
          <w:szCs w:val="28"/>
          <w:lang w:val="en-US" w:eastAsia="zh-CN"/>
        </w:rPr>
        <w:t xml:space="preserve">   </w:t>
      </w:r>
      <w:r>
        <w:rPr>
          <w:rFonts w:hint="eastAsia"/>
          <w:b/>
          <w:sz w:val="28"/>
          <w:szCs w:val="28"/>
        </w:rPr>
        <w:t>采购编号：温政采【202</w:t>
      </w:r>
      <w:r>
        <w:rPr>
          <w:rFonts w:hint="eastAsia"/>
          <w:b/>
          <w:sz w:val="28"/>
          <w:szCs w:val="28"/>
          <w:lang w:val="en-US" w:eastAsia="zh-CN"/>
        </w:rPr>
        <w:t>3</w:t>
      </w:r>
      <w:r>
        <w:rPr>
          <w:rFonts w:hint="eastAsia"/>
          <w:b/>
          <w:sz w:val="28"/>
          <w:szCs w:val="28"/>
        </w:rPr>
        <w:t>】</w:t>
      </w:r>
      <w:r>
        <w:rPr>
          <w:rFonts w:hint="eastAsia"/>
          <w:b/>
          <w:sz w:val="28"/>
          <w:szCs w:val="28"/>
          <w:lang w:val="en-US" w:eastAsia="zh-CN"/>
        </w:rPr>
        <w:t>06-34</w:t>
      </w:r>
      <w:r>
        <w:rPr>
          <w:rFonts w:hint="eastAsia"/>
          <w:b/>
          <w:sz w:val="28"/>
          <w:szCs w:val="28"/>
        </w:rPr>
        <w:t>号</w:t>
      </w:r>
    </w:p>
    <w:p>
      <w:pPr>
        <w:rPr>
          <w:rFonts w:ascii="仿宋_GB2312" w:eastAsia="仿宋_GB2312"/>
          <w:b/>
          <w:color w:val="000000"/>
          <w:sz w:val="32"/>
          <w:szCs w:val="32"/>
        </w:rPr>
      </w:pPr>
    </w:p>
    <w:p>
      <w:pPr>
        <w:pStyle w:val="22"/>
        <w:tabs>
          <w:tab w:val="right" w:leader="dot" w:pos="9071"/>
        </w:tabs>
        <w:spacing w:line="480" w:lineRule="auto"/>
        <w:jc w:val="center"/>
        <w:rPr>
          <w:rFonts w:hint="eastAsia" w:ascii="仿宋_GB2312" w:eastAsia="仿宋_GB2312"/>
          <w:b/>
          <w:color w:val="000000"/>
          <w:sz w:val="32"/>
          <w:szCs w:val="32"/>
          <w:lang w:eastAsia="zh-CN"/>
        </w:rPr>
      </w:pPr>
      <w:r>
        <w:rPr>
          <w:rFonts w:hint="eastAsia" w:ascii="仿宋_GB2312" w:eastAsia="仿宋_GB2312"/>
          <w:b/>
          <w:color w:val="000000"/>
          <w:sz w:val="32"/>
          <w:szCs w:val="32"/>
          <w:lang w:eastAsia="zh-CN"/>
        </w:rPr>
        <w:drawing>
          <wp:inline distT="0" distB="0" distL="114300" distR="114300">
            <wp:extent cx="2228215" cy="2531745"/>
            <wp:effectExtent l="0" t="0" r="0" b="0"/>
            <wp:docPr id="3"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图片1"/>
                    <pic:cNvPicPr>
                      <a:picLocks noChangeAspect="1"/>
                    </pic:cNvPicPr>
                  </pic:nvPicPr>
                  <pic:blipFill>
                    <a:blip r:embed="rId10"/>
                    <a:stretch>
                      <a:fillRect/>
                    </a:stretch>
                  </pic:blipFill>
                  <pic:spPr>
                    <a:xfrm>
                      <a:off x="0" y="0"/>
                      <a:ext cx="2228215" cy="2531745"/>
                    </a:xfrm>
                    <a:prstGeom prst="rect">
                      <a:avLst/>
                    </a:prstGeom>
                    <a:noFill/>
                    <a:ln>
                      <a:noFill/>
                    </a:ln>
                  </pic:spPr>
                </pic:pic>
              </a:graphicData>
            </a:graphic>
          </wp:inline>
        </w:drawing>
      </w:r>
    </w:p>
    <w:p>
      <w:pPr>
        <w:rPr>
          <w:rFonts w:hint="eastAsia" w:ascii="仿宋_GB2312" w:eastAsia="仿宋_GB2312"/>
          <w:b/>
          <w:color w:val="000000"/>
          <w:sz w:val="32"/>
          <w:szCs w:val="32"/>
          <w:lang w:eastAsia="zh-CN"/>
        </w:rPr>
      </w:pPr>
    </w:p>
    <w:p>
      <w:pPr>
        <w:pStyle w:val="36"/>
        <w:rPr>
          <w:rFonts w:hint="eastAsia"/>
        </w:rPr>
      </w:pPr>
    </w:p>
    <w:p>
      <w:pPr>
        <w:pStyle w:val="22"/>
        <w:tabs>
          <w:tab w:val="right" w:leader="dot" w:pos="9071"/>
        </w:tabs>
        <w:spacing w:line="480" w:lineRule="auto"/>
        <w:ind w:firstLine="1767" w:firstLineChars="550"/>
        <w:rPr>
          <w:rFonts w:hint="eastAsia"/>
          <w:b/>
          <w:bCs/>
          <w:color w:val="auto"/>
          <w:sz w:val="32"/>
          <w:szCs w:val="32"/>
          <w:highlight w:val="none"/>
          <w:shd w:val="clear" w:color="auto" w:fill="FFFFFF"/>
        </w:rPr>
      </w:pPr>
    </w:p>
    <w:p>
      <w:pPr>
        <w:spacing w:line="600" w:lineRule="exact"/>
        <w:ind w:firstLine="1928" w:firstLineChars="600"/>
        <w:jc w:val="left"/>
        <w:rPr>
          <w:rFonts w:hint="eastAsia" w:eastAsia="宋体" w:cs="Times New Roman"/>
          <w:b/>
          <w:bCs w:val="0"/>
          <w:sz w:val="32"/>
          <w:szCs w:val="32"/>
          <w:lang w:val="en-US" w:eastAsia="zh-CN"/>
        </w:rPr>
      </w:pPr>
      <w:r>
        <w:rPr>
          <w:rFonts w:hint="eastAsia" w:ascii="宋体" w:hAnsi="宋体" w:cs="宋体"/>
          <w:b/>
          <w:bCs w:val="0"/>
          <w:sz w:val="32"/>
          <w:szCs w:val="32"/>
        </w:rPr>
        <w:t>采</w:t>
      </w:r>
      <w:r>
        <w:rPr>
          <w:rFonts w:hint="eastAsia" w:ascii="宋体" w:hAnsi="宋体" w:cs="宋体"/>
          <w:b/>
          <w:bCs w:val="0"/>
          <w:sz w:val="32"/>
          <w:szCs w:val="32"/>
          <w:lang w:val="en-US" w:eastAsia="zh-CN"/>
        </w:rPr>
        <w:t xml:space="preserve">   </w:t>
      </w:r>
      <w:r>
        <w:rPr>
          <w:rFonts w:hint="eastAsia" w:ascii="宋体" w:hAnsi="宋体" w:cs="宋体"/>
          <w:b/>
          <w:bCs w:val="0"/>
          <w:sz w:val="32"/>
          <w:szCs w:val="32"/>
        </w:rPr>
        <w:t>购</w:t>
      </w:r>
      <w:r>
        <w:rPr>
          <w:rFonts w:hint="eastAsia" w:ascii="宋体" w:hAnsi="宋体" w:cs="宋体"/>
          <w:b/>
          <w:bCs w:val="0"/>
          <w:sz w:val="32"/>
          <w:szCs w:val="32"/>
          <w:lang w:val="en-US" w:eastAsia="zh-CN"/>
        </w:rPr>
        <w:t xml:space="preserve">   </w:t>
      </w:r>
      <w:r>
        <w:rPr>
          <w:rFonts w:hint="eastAsia" w:ascii="宋体" w:hAnsi="宋体" w:cs="宋体"/>
          <w:b/>
          <w:bCs w:val="0"/>
          <w:sz w:val="32"/>
          <w:szCs w:val="32"/>
        </w:rPr>
        <w:t>人：</w:t>
      </w:r>
      <w:r>
        <w:rPr>
          <w:rFonts w:hint="eastAsia" w:eastAsia="宋体" w:cs="Times New Roman"/>
          <w:b/>
          <w:bCs w:val="0"/>
          <w:sz w:val="32"/>
          <w:szCs w:val="32"/>
          <w:lang w:val="en-US" w:eastAsia="zh-CN"/>
        </w:rPr>
        <w:t>温县</w:t>
      </w:r>
      <w:r>
        <w:rPr>
          <w:rFonts w:hint="eastAsia" w:cs="Times New Roman"/>
          <w:b/>
          <w:bCs w:val="0"/>
          <w:sz w:val="32"/>
          <w:szCs w:val="32"/>
          <w:lang w:val="en-US" w:eastAsia="zh-CN"/>
        </w:rPr>
        <w:t>住房和城乡建设局</w:t>
      </w:r>
    </w:p>
    <w:p>
      <w:pPr>
        <w:spacing w:line="600" w:lineRule="exact"/>
        <w:ind w:firstLine="1928" w:firstLineChars="600"/>
        <w:jc w:val="left"/>
        <w:rPr>
          <w:rFonts w:hint="eastAsia" w:eastAsia="宋体" w:cs="Times New Roman"/>
          <w:b/>
          <w:bCs w:val="0"/>
          <w:sz w:val="32"/>
          <w:szCs w:val="32"/>
          <w:lang w:val="zh-CN" w:eastAsia="zh-CN"/>
        </w:rPr>
      </w:pPr>
      <w:r>
        <w:rPr>
          <w:rFonts w:hint="eastAsia" w:ascii="宋体" w:hAnsi="宋体" w:cs="宋体"/>
          <w:b/>
          <w:bCs w:val="0"/>
          <w:sz w:val="32"/>
          <w:szCs w:val="32"/>
        </w:rPr>
        <w:t>采购代理机构：</w:t>
      </w:r>
      <w:r>
        <w:rPr>
          <w:rFonts w:hint="eastAsia" w:cs="Times New Roman"/>
          <w:b/>
          <w:bCs w:val="0"/>
          <w:sz w:val="32"/>
          <w:szCs w:val="32"/>
          <w:lang w:val="en-US" w:eastAsia="zh-CN"/>
        </w:rPr>
        <w:t>智博国际工程咨询有限公司</w:t>
      </w:r>
    </w:p>
    <w:p>
      <w:pPr>
        <w:spacing w:line="600" w:lineRule="exact"/>
        <w:ind w:firstLine="1928" w:firstLineChars="600"/>
        <w:jc w:val="left"/>
        <w:rPr>
          <w:rFonts w:hint="eastAsia" w:ascii="宋体" w:hAnsi="宋体" w:cs="宋体"/>
          <w:b/>
          <w:bCs w:val="0"/>
          <w:sz w:val="32"/>
          <w:szCs w:val="32"/>
        </w:rPr>
      </w:pPr>
      <w:r>
        <w:rPr>
          <w:rFonts w:hint="eastAsia" w:ascii="宋体" w:hAnsi="宋体" w:cs="宋体"/>
          <w:b/>
          <w:bCs w:val="0"/>
          <w:sz w:val="32"/>
          <w:szCs w:val="32"/>
        </w:rPr>
        <w:t xml:space="preserve">日  </w:t>
      </w:r>
      <w:r>
        <w:rPr>
          <w:rFonts w:hint="eastAsia" w:ascii="宋体" w:hAnsi="宋体" w:cs="宋体"/>
          <w:b/>
          <w:bCs w:val="0"/>
          <w:sz w:val="32"/>
          <w:szCs w:val="32"/>
          <w:lang w:val="en-US" w:eastAsia="zh-CN"/>
        </w:rPr>
        <w:t xml:space="preserve">      </w:t>
      </w:r>
      <w:r>
        <w:rPr>
          <w:rFonts w:hint="eastAsia" w:ascii="宋体" w:hAnsi="宋体" w:cs="宋体"/>
          <w:b/>
          <w:bCs w:val="0"/>
          <w:sz w:val="32"/>
          <w:szCs w:val="32"/>
        </w:rPr>
        <w:t>期：二零二</w:t>
      </w:r>
      <w:r>
        <w:rPr>
          <w:rFonts w:hint="eastAsia" w:ascii="宋体" w:hAnsi="宋体" w:cs="宋体"/>
          <w:b/>
          <w:bCs w:val="0"/>
          <w:sz w:val="32"/>
          <w:szCs w:val="32"/>
          <w:lang w:eastAsia="zh-CN"/>
        </w:rPr>
        <w:t>三</w:t>
      </w:r>
      <w:r>
        <w:rPr>
          <w:rFonts w:hint="eastAsia" w:ascii="宋体" w:hAnsi="宋体" w:cs="宋体"/>
          <w:b/>
          <w:bCs w:val="0"/>
          <w:sz w:val="32"/>
          <w:szCs w:val="32"/>
        </w:rPr>
        <w:t>年</w:t>
      </w:r>
      <w:r>
        <w:rPr>
          <w:rFonts w:hint="eastAsia" w:ascii="宋体" w:hAnsi="宋体" w:cs="宋体"/>
          <w:b/>
          <w:bCs w:val="0"/>
          <w:sz w:val="32"/>
          <w:szCs w:val="32"/>
          <w:lang w:eastAsia="zh-CN"/>
        </w:rPr>
        <w:t>七</w:t>
      </w:r>
      <w:r>
        <w:rPr>
          <w:rFonts w:hint="eastAsia" w:ascii="宋体" w:hAnsi="宋体" w:cs="宋体"/>
          <w:b/>
          <w:bCs w:val="0"/>
          <w:sz w:val="32"/>
          <w:szCs w:val="32"/>
        </w:rPr>
        <w:t>月</w:t>
      </w:r>
    </w:p>
    <w:p>
      <w:pPr>
        <w:jc w:val="center"/>
        <w:rPr>
          <w:rFonts w:hint="eastAsia" w:ascii="宋体" w:hAnsi="宋体" w:eastAsia="宋体" w:cs="宋体"/>
          <w:b/>
          <w:bCs/>
          <w:color w:val="auto"/>
          <w:sz w:val="32"/>
          <w:szCs w:val="32"/>
          <w:highlight w:val="none"/>
        </w:rPr>
      </w:pPr>
    </w:p>
    <w:p>
      <w:pPr>
        <w:jc w:val="center"/>
        <w:rPr>
          <w:rFonts w:hint="eastAsia" w:ascii="宋体" w:hAnsi="宋体" w:eastAsia="宋体" w:cs="宋体"/>
          <w:b/>
          <w:bCs/>
          <w:color w:val="auto"/>
          <w:sz w:val="32"/>
          <w:szCs w:val="32"/>
          <w:highlight w:val="none"/>
        </w:rPr>
      </w:pPr>
    </w:p>
    <w:p>
      <w:pPr>
        <w:jc w:val="center"/>
        <w:rPr>
          <w:rFonts w:hint="eastAsia"/>
          <w:b/>
          <w:bCs/>
          <w:color w:val="auto"/>
          <w:highlight w:val="none"/>
        </w:rPr>
      </w:pPr>
      <w:r>
        <w:rPr>
          <w:rFonts w:hint="eastAsia" w:ascii="宋体" w:hAnsi="宋体" w:eastAsia="宋体" w:cs="宋体"/>
          <w:b/>
          <w:bCs/>
          <w:color w:val="auto"/>
          <w:sz w:val="32"/>
          <w:szCs w:val="32"/>
          <w:highlight w:val="none"/>
        </w:rPr>
        <w:t>政府采购合同融资政策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为充分发挥政府采购合同资金支付有保障的优势，进一步优化我县营商环境，针对中小微企业融资难、融资贵问题，焦作市财政局联合有关部门推出了以政府采购合同预期支付能力为信用的融资政策。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政府采购合同融资，是指参与政府采购并中标（成交）的中小微企业供应商，凭借政府采购合同向开展融资业务的服务机构申请融资贷款，融资服务机构以信贷政策为基础提供无抵押、免担保、低利率的融资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政府采购项目中标（成交）的供应商，有融资意向的，可登陆“焦作市政府采购网”（网址：http：/jiaozuo.hng</w:t>
      </w:r>
      <w:r>
        <w:rPr>
          <w:rFonts w:hint="eastAsia" w:ascii="宋体" w:hAnsi="宋体" w:eastAsia="宋体" w:cs="宋体"/>
          <w:color w:val="auto"/>
          <w:highlight w:val="none"/>
          <w:lang w:val="en-US" w:eastAsia="zh-CN"/>
        </w:rPr>
        <w:t>p.</w:t>
      </w:r>
      <w:r>
        <w:rPr>
          <w:rFonts w:hint="eastAsia" w:ascii="宋体" w:hAnsi="宋体" w:eastAsia="宋体" w:cs="宋体"/>
          <w:color w:val="auto"/>
          <w:highlight w:val="none"/>
        </w:rPr>
        <w:t>gov.cn)的政府采购合同融资平台，查看各融资服务机构的融资产品，同时可在线向融资服务机构申请贷款，融资服务机构按照程序向您提供便捷、高效、优惠的贷款服务。</w:t>
      </w:r>
    </w:p>
    <w:p>
      <w:pPr>
        <w:spacing w:line="340" w:lineRule="exact"/>
        <w:jc w:val="center"/>
        <w:rPr>
          <w:rFonts w:hint="eastAsia" w:ascii="宋体" w:hAnsi="宋体" w:cs="宋体"/>
          <w:b/>
          <w:color w:val="auto"/>
          <w:kern w:val="44"/>
          <w:sz w:val="30"/>
          <w:szCs w:val="30"/>
          <w:highlight w:val="none"/>
          <w:lang w:val="zh-CN"/>
        </w:rPr>
        <w:sectPr>
          <w:headerReference r:id="rId4" w:type="first"/>
          <w:footerReference r:id="rId6" w:type="first"/>
          <w:headerReference r:id="rId3" w:type="default"/>
          <w:footerReference r:id="rId5" w:type="default"/>
          <w:pgSz w:w="11906" w:h="16838"/>
          <w:pgMar w:top="1440" w:right="1417" w:bottom="1440" w:left="1417" w:header="851" w:footer="992" w:gutter="0"/>
          <w:pgNumType w:fmt="numberInDash"/>
          <w:cols w:space="720" w:num="1"/>
          <w:titlePg/>
          <w:docGrid w:type="lines" w:linePitch="312" w:charSpace="0"/>
        </w:sectPr>
      </w:pPr>
    </w:p>
    <w:p>
      <w:pPr>
        <w:pStyle w:val="2"/>
        <w:ind w:left="0" w:leftChars="0" w:firstLine="0" w:firstLineChars="0"/>
        <w:rPr>
          <w:rFonts w:hint="eastAsia"/>
          <w:lang w:val="zh-CN"/>
        </w:rPr>
      </w:pPr>
    </w:p>
    <w:p>
      <w:pPr>
        <w:spacing w:line="340" w:lineRule="exact"/>
        <w:jc w:val="center"/>
        <w:rPr>
          <w:rFonts w:ascii="宋体" w:hAnsi="宋体" w:eastAsia="宋体" w:cs="宋体"/>
          <w:bCs/>
          <w:color w:val="auto"/>
          <w:kern w:val="2"/>
          <w:sz w:val="21"/>
          <w:szCs w:val="21"/>
          <w:highlight w:val="none"/>
          <w:lang w:val="en-US" w:eastAsia="zh-CN" w:bidi="ar-SA"/>
        </w:rPr>
      </w:pPr>
      <w:r>
        <w:rPr>
          <w:rFonts w:hint="eastAsia" w:ascii="宋体" w:hAnsi="宋体" w:cs="宋体"/>
          <w:b/>
          <w:color w:val="auto"/>
          <w:kern w:val="44"/>
          <w:sz w:val="30"/>
          <w:szCs w:val="30"/>
          <w:highlight w:val="none"/>
          <w:lang w:val="zh-CN"/>
        </w:rPr>
        <w:t>目</w:t>
      </w:r>
      <w:r>
        <w:rPr>
          <w:rFonts w:ascii="宋体" w:hAnsi="宋体" w:cs="宋体"/>
          <w:b/>
          <w:color w:val="auto"/>
          <w:kern w:val="44"/>
          <w:sz w:val="30"/>
          <w:szCs w:val="30"/>
          <w:highlight w:val="none"/>
        </w:rPr>
        <w:t xml:space="preserve">  </w:t>
      </w:r>
      <w:r>
        <w:rPr>
          <w:rFonts w:hint="eastAsia" w:ascii="宋体" w:hAnsi="宋体" w:cs="宋体"/>
          <w:b/>
          <w:color w:val="auto"/>
          <w:kern w:val="44"/>
          <w:sz w:val="30"/>
          <w:szCs w:val="30"/>
          <w:highlight w:val="none"/>
          <w:lang w:val="zh-CN"/>
        </w:rPr>
        <w:t>录</w:t>
      </w:r>
      <w:r>
        <w:rPr>
          <w:rFonts w:ascii="宋体" w:hAnsi="宋体" w:cs="宋体"/>
          <w:bCs/>
          <w:color w:val="auto"/>
          <w:szCs w:val="21"/>
          <w:highlight w:val="none"/>
        </w:rPr>
        <w:fldChar w:fldCharType="begin"/>
      </w:r>
      <w:r>
        <w:rPr>
          <w:rFonts w:ascii="宋体" w:hAnsi="宋体" w:cs="宋体"/>
          <w:bCs/>
          <w:color w:val="auto"/>
          <w:szCs w:val="21"/>
          <w:highlight w:val="none"/>
        </w:rPr>
        <w:instrText xml:space="preserve"> TOC \o "1-3" \h \z \u </w:instrText>
      </w:r>
      <w:r>
        <w:rPr>
          <w:rFonts w:ascii="宋体" w:hAnsi="宋体" w:cs="宋体"/>
          <w:bCs/>
          <w:color w:val="auto"/>
          <w:szCs w:val="21"/>
          <w:highlight w:val="none"/>
        </w:rPr>
        <w:fldChar w:fldCharType="separate"/>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_Toc11205 </w:instrText>
      </w:r>
      <w:r>
        <w:rPr>
          <w:rFonts w:ascii="宋体" w:hAnsi="宋体" w:cs="宋体"/>
          <w:bCs/>
          <w:szCs w:val="21"/>
          <w:highlight w:val="none"/>
        </w:rPr>
        <w:fldChar w:fldCharType="separate"/>
      </w:r>
      <w:r>
        <w:rPr>
          <w:rFonts w:hint="eastAsia"/>
          <w:kern w:val="44"/>
          <w:highlight w:val="none"/>
        </w:rPr>
        <w:t>第一章</w:t>
      </w:r>
      <w:r>
        <w:rPr>
          <w:kern w:val="44"/>
          <w:highlight w:val="none"/>
        </w:rPr>
        <w:t xml:space="preserve">  </w:t>
      </w:r>
      <w:r>
        <w:rPr>
          <w:rFonts w:hint="eastAsia"/>
          <w:kern w:val="44"/>
          <w:highlight w:val="none"/>
        </w:rPr>
        <w:t>竞争性磋商公告</w:t>
      </w:r>
      <w:r>
        <w:tab/>
      </w:r>
      <w:r>
        <w:fldChar w:fldCharType="begin"/>
      </w:r>
      <w:r>
        <w:instrText xml:space="preserve"> PAGEREF _Toc11205 \h </w:instrText>
      </w:r>
      <w:r>
        <w:fldChar w:fldCharType="separate"/>
      </w:r>
      <w:r>
        <w:t>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_Toc12429 </w:instrText>
      </w:r>
      <w:r>
        <w:rPr>
          <w:rFonts w:ascii="宋体" w:hAnsi="宋体" w:cs="宋体"/>
          <w:bCs/>
          <w:szCs w:val="21"/>
          <w:highlight w:val="none"/>
        </w:rPr>
        <w:fldChar w:fldCharType="separate"/>
      </w:r>
      <w:r>
        <w:rPr>
          <w:rFonts w:hint="eastAsia" w:ascii="宋体" w:hAnsi="宋体" w:cs="宋体"/>
          <w:highlight w:val="none"/>
        </w:rPr>
        <w:t>第二章</w:t>
      </w:r>
      <w:r>
        <w:rPr>
          <w:rFonts w:ascii="宋体" w:hAnsi="宋体" w:cs="宋体"/>
          <w:highlight w:val="none"/>
        </w:rPr>
        <w:t xml:space="preserve"> </w:t>
      </w:r>
      <w:r>
        <w:rPr>
          <w:rFonts w:hint="eastAsia" w:ascii="宋体" w:hAnsi="宋体" w:cs="宋体"/>
          <w:highlight w:val="none"/>
        </w:rPr>
        <w:t>供应商须知</w:t>
      </w:r>
      <w:r>
        <w:tab/>
      </w:r>
      <w:r>
        <w:fldChar w:fldCharType="begin"/>
      </w:r>
      <w:r>
        <w:instrText xml:space="preserve"> PAGEREF _Toc12429 \h </w:instrText>
      </w:r>
      <w:r>
        <w:fldChar w:fldCharType="separate"/>
      </w:r>
      <w:r>
        <w:t>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_Toc15553 </w:instrText>
      </w:r>
      <w:r>
        <w:rPr>
          <w:rFonts w:ascii="宋体" w:hAnsi="宋体" w:cs="宋体"/>
          <w:bCs/>
          <w:szCs w:val="21"/>
          <w:highlight w:val="none"/>
        </w:rPr>
        <w:fldChar w:fldCharType="separate"/>
      </w:r>
      <w:r>
        <w:rPr>
          <w:rFonts w:hint="eastAsia" w:ascii="宋体" w:hAnsi="宋体" w:cs="宋体"/>
          <w:highlight w:val="none"/>
        </w:rPr>
        <w:t>供应商须知前附表</w:t>
      </w:r>
      <w:r>
        <w:tab/>
      </w:r>
      <w:r>
        <w:fldChar w:fldCharType="begin"/>
      </w:r>
      <w:r>
        <w:instrText xml:space="preserve"> PAGEREF _Toc15553 \h </w:instrText>
      </w:r>
      <w:r>
        <w:fldChar w:fldCharType="separate"/>
      </w:r>
      <w:r>
        <w:t>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_Toc18157 </w:instrText>
      </w:r>
      <w:r>
        <w:rPr>
          <w:rFonts w:ascii="宋体" w:hAnsi="宋体" w:cs="宋体"/>
          <w:bCs/>
          <w:szCs w:val="21"/>
          <w:highlight w:val="none"/>
        </w:rPr>
        <w:fldChar w:fldCharType="separate"/>
      </w:r>
      <w:r>
        <w:rPr>
          <w:rFonts w:hint="default" w:ascii="宋体" w:hAnsi="宋体" w:eastAsia="宋体" w:cs="宋体"/>
          <w:bCs/>
        </w:rPr>
        <w:t xml:space="preserve">1. </w:t>
      </w:r>
      <w:r>
        <w:rPr>
          <w:rFonts w:hint="eastAsia" w:ascii="宋体" w:hAnsi="宋体" w:eastAsia="宋体" w:cs="宋体"/>
          <w:bCs/>
          <w:highlight w:val="none"/>
        </w:rPr>
        <w:t>总则</w:t>
      </w:r>
      <w:r>
        <w:tab/>
      </w:r>
      <w:r>
        <w:fldChar w:fldCharType="begin"/>
      </w:r>
      <w:r>
        <w:instrText xml:space="preserve"> PAGEREF _Toc18157 \h </w:instrText>
      </w:r>
      <w:r>
        <w:fldChar w:fldCharType="separate"/>
      </w:r>
      <w:r>
        <w:t>13</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_Toc24765 </w:instrText>
      </w:r>
      <w:r>
        <w:rPr>
          <w:rFonts w:ascii="宋体" w:hAnsi="宋体" w:cs="宋体"/>
          <w:bCs/>
          <w:szCs w:val="21"/>
          <w:highlight w:val="none"/>
        </w:rPr>
        <w:fldChar w:fldCharType="separate"/>
      </w:r>
      <w:r>
        <w:rPr>
          <w:rFonts w:ascii="宋体" w:hAnsi="宋体" w:eastAsia="宋体" w:cs="宋体"/>
          <w:bCs/>
          <w:highlight w:val="none"/>
        </w:rPr>
        <w:t>2.</w:t>
      </w:r>
      <w:r>
        <w:rPr>
          <w:rFonts w:hint="eastAsia" w:ascii="宋体" w:hAnsi="宋体" w:eastAsia="宋体" w:cs="宋体"/>
          <w:bCs/>
          <w:highlight w:val="none"/>
        </w:rPr>
        <w:t>磋商文件</w:t>
      </w:r>
      <w:r>
        <w:tab/>
      </w:r>
      <w:r>
        <w:fldChar w:fldCharType="begin"/>
      </w:r>
      <w:r>
        <w:instrText xml:space="preserve"> PAGEREF _Toc24765 \h </w:instrText>
      </w:r>
      <w:r>
        <w:fldChar w:fldCharType="separate"/>
      </w:r>
      <w:r>
        <w:t>14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_Toc23620 </w:instrText>
      </w:r>
      <w:r>
        <w:rPr>
          <w:rFonts w:ascii="宋体" w:hAnsi="宋体" w:cs="宋体"/>
          <w:bCs/>
          <w:szCs w:val="21"/>
          <w:highlight w:val="none"/>
        </w:rPr>
        <w:fldChar w:fldCharType="separate"/>
      </w:r>
      <w:r>
        <w:rPr>
          <w:rFonts w:ascii="宋体" w:hAnsi="宋体" w:eastAsia="宋体" w:cs="宋体"/>
          <w:bCs/>
          <w:highlight w:val="none"/>
        </w:rPr>
        <w:t>3.</w:t>
      </w:r>
      <w:r>
        <w:rPr>
          <w:rFonts w:hint="eastAsia" w:ascii="宋体" w:hAnsi="宋体" w:eastAsia="宋体" w:cs="宋体"/>
          <w:bCs/>
          <w:highlight w:val="none"/>
        </w:rPr>
        <w:t>响应文件</w:t>
      </w:r>
      <w:r>
        <w:tab/>
      </w:r>
      <w:r>
        <w:fldChar w:fldCharType="begin"/>
      </w:r>
      <w:r>
        <w:instrText xml:space="preserve"> PAGEREF _Toc23620 \h </w:instrText>
      </w:r>
      <w:r>
        <w:fldChar w:fldCharType="separate"/>
      </w:r>
      <w:r>
        <w:t>15</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_Toc30976 </w:instrText>
      </w:r>
      <w:r>
        <w:rPr>
          <w:rFonts w:ascii="宋体" w:hAnsi="宋体" w:cs="宋体"/>
          <w:bCs/>
          <w:szCs w:val="21"/>
          <w:highlight w:val="none"/>
        </w:rPr>
        <w:fldChar w:fldCharType="separate"/>
      </w:r>
      <w:r>
        <w:rPr>
          <w:rFonts w:ascii="宋体" w:hAnsi="宋体" w:eastAsia="宋体" w:cs="Times New Roman"/>
          <w:bCs/>
        </w:rPr>
        <w:t xml:space="preserve">4. </w:t>
      </w:r>
      <w:r>
        <w:rPr>
          <w:rFonts w:hint="eastAsia" w:ascii="宋体" w:hAnsi="宋体" w:eastAsia="宋体" w:cs="宋体"/>
          <w:bCs/>
          <w:highlight w:val="none"/>
        </w:rPr>
        <w:t>响应</w:t>
      </w:r>
      <w:r>
        <w:tab/>
      </w:r>
      <w:r>
        <w:fldChar w:fldCharType="begin"/>
      </w:r>
      <w:r>
        <w:instrText xml:space="preserve"> PAGEREF _Toc30976 \h </w:instrText>
      </w:r>
      <w:r>
        <w:fldChar w:fldCharType="separate"/>
      </w:r>
      <w:r>
        <w:t>16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_Toc30278 </w:instrText>
      </w:r>
      <w:r>
        <w:rPr>
          <w:rFonts w:ascii="宋体" w:hAnsi="宋体" w:cs="宋体"/>
          <w:bCs/>
          <w:szCs w:val="21"/>
          <w:highlight w:val="none"/>
        </w:rPr>
        <w:fldChar w:fldCharType="separate"/>
      </w:r>
      <w:r>
        <w:rPr>
          <w:rFonts w:ascii="宋体" w:hAnsi="宋体" w:eastAsia="宋体" w:cs="Times New Roman"/>
          <w:bCs/>
        </w:rPr>
        <w:t xml:space="preserve">5. </w:t>
      </w:r>
      <w:r>
        <w:rPr>
          <w:rFonts w:hint="eastAsia" w:ascii="宋体" w:hAnsi="宋体" w:eastAsia="宋体" w:cs="宋体"/>
          <w:bCs/>
          <w:highlight w:val="none"/>
        </w:rPr>
        <w:t>磋商开始</w:t>
      </w:r>
      <w:r>
        <w:tab/>
      </w:r>
      <w:r>
        <w:fldChar w:fldCharType="begin"/>
      </w:r>
      <w:r>
        <w:instrText xml:space="preserve"> PAGEREF _Toc30278 \h </w:instrText>
      </w:r>
      <w:r>
        <w:fldChar w:fldCharType="separate"/>
      </w:r>
      <w:r>
        <w:t>17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_Toc16307 </w:instrText>
      </w:r>
      <w:r>
        <w:rPr>
          <w:rFonts w:ascii="宋体" w:hAnsi="宋体" w:cs="宋体"/>
          <w:bCs/>
          <w:szCs w:val="21"/>
          <w:highlight w:val="none"/>
        </w:rPr>
        <w:fldChar w:fldCharType="separate"/>
      </w:r>
      <w:r>
        <w:rPr>
          <w:rFonts w:ascii="宋体" w:hAnsi="宋体" w:eastAsia="宋体" w:cs="Times New Roman"/>
          <w:bCs/>
        </w:rPr>
        <w:t xml:space="preserve">6. </w:t>
      </w:r>
      <w:r>
        <w:rPr>
          <w:rFonts w:hint="eastAsia" w:ascii="宋体" w:hAnsi="宋体" w:eastAsia="宋体" w:cs="宋体"/>
          <w:bCs/>
          <w:highlight w:val="none"/>
        </w:rPr>
        <w:t>磋商</w:t>
      </w:r>
      <w:r>
        <w:tab/>
      </w:r>
      <w:r>
        <w:fldChar w:fldCharType="begin"/>
      </w:r>
      <w:r>
        <w:instrText xml:space="preserve"> PAGEREF _Toc16307 \h </w:instrText>
      </w:r>
      <w:r>
        <w:fldChar w:fldCharType="separate"/>
      </w:r>
      <w:r>
        <w:t>18</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_Toc11425 </w:instrText>
      </w:r>
      <w:r>
        <w:rPr>
          <w:rFonts w:ascii="宋体" w:hAnsi="宋体" w:cs="宋体"/>
          <w:bCs/>
          <w:szCs w:val="21"/>
          <w:highlight w:val="none"/>
        </w:rPr>
        <w:fldChar w:fldCharType="separate"/>
      </w:r>
      <w:r>
        <w:rPr>
          <w:rFonts w:ascii="宋体" w:hAnsi="宋体" w:eastAsia="宋体" w:cs="宋体"/>
          <w:bCs/>
          <w:highlight w:val="none"/>
        </w:rPr>
        <w:t>7.</w:t>
      </w:r>
      <w:r>
        <w:rPr>
          <w:rFonts w:hint="eastAsia" w:ascii="宋体" w:hAnsi="宋体" w:eastAsia="宋体" w:cs="宋体"/>
          <w:bCs/>
          <w:highlight w:val="none"/>
        </w:rPr>
        <w:t>合同授予</w:t>
      </w:r>
      <w:r>
        <w:tab/>
      </w:r>
      <w:r>
        <w:fldChar w:fldCharType="begin"/>
      </w:r>
      <w:r>
        <w:instrText xml:space="preserve"> PAGEREF _Toc11425 \h </w:instrText>
      </w:r>
      <w:r>
        <w:fldChar w:fldCharType="separate"/>
      </w:r>
      <w:r>
        <w:t>18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_Toc9065 </w:instrText>
      </w:r>
      <w:r>
        <w:rPr>
          <w:rFonts w:ascii="宋体" w:hAnsi="宋体" w:cs="宋体"/>
          <w:bCs/>
          <w:szCs w:val="21"/>
          <w:highlight w:val="none"/>
        </w:rPr>
        <w:fldChar w:fldCharType="separate"/>
      </w:r>
      <w:r>
        <w:rPr>
          <w:rFonts w:ascii="宋体" w:hAnsi="宋体" w:eastAsia="宋体" w:cs="宋体"/>
          <w:bCs/>
          <w:highlight w:val="none"/>
        </w:rPr>
        <w:t>8.</w:t>
      </w:r>
      <w:r>
        <w:rPr>
          <w:rFonts w:hint="eastAsia" w:ascii="宋体" w:hAnsi="宋体" w:eastAsia="宋体" w:cs="宋体"/>
          <w:bCs/>
          <w:highlight w:val="none"/>
        </w:rPr>
        <w:t>重新招标</w:t>
      </w:r>
      <w:r>
        <w:tab/>
      </w:r>
      <w:r>
        <w:fldChar w:fldCharType="begin"/>
      </w:r>
      <w:r>
        <w:instrText xml:space="preserve"> PAGEREF _Toc9065 \h </w:instrText>
      </w:r>
      <w:r>
        <w:fldChar w:fldCharType="separate"/>
      </w:r>
      <w:r>
        <w:t>19</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_Toc31434 </w:instrText>
      </w:r>
      <w:r>
        <w:rPr>
          <w:rFonts w:ascii="宋体" w:hAnsi="宋体" w:cs="宋体"/>
          <w:bCs/>
          <w:szCs w:val="21"/>
          <w:highlight w:val="none"/>
        </w:rPr>
        <w:fldChar w:fldCharType="separate"/>
      </w:r>
      <w:r>
        <w:rPr>
          <w:rFonts w:ascii="宋体" w:hAnsi="宋体" w:eastAsia="宋体" w:cs="宋体"/>
          <w:bCs/>
          <w:szCs w:val="22"/>
          <w:highlight w:val="none"/>
        </w:rPr>
        <w:t>9.</w:t>
      </w:r>
      <w:r>
        <w:rPr>
          <w:rFonts w:hint="eastAsia" w:ascii="宋体" w:hAnsi="宋体" w:eastAsia="宋体" w:cs="宋体"/>
          <w:bCs/>
          <w:szCs w:val="22"/>
          <w:highlight w:val="none"/>
        </w:rPr>
        <w:t>纪律和监督</w:t>
      </w:r>
      <w:r>
        <w:tab/>
      </w:r>
      <w:r>
        <w:fldChar w:fldCharType="begin"/>
      </w:r>
      <w:r>
        <w:instrText xml:space="preserve"> PAGEREF _Toc31434 \h </w:instrText>
      </w:r>
      <w:r>
        <w:fldChar w:fldCharType="separate"/>
      </w:r>
      <w:r>
        <w:t>19</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_Toc9259 </w:instrText>
      </w:r>
      <w:r>
        <w:rPr>
          <w:rFonts w:ascii="宋体" w:hAnsi="宋体" w:cs="宋体"/>
          <w:bCs/>
          <w:szCs w:val="21"/>
          <w:highlight w:val="none"/>
        </w:rPr>
        <w:fldChar w:fldCharType="separate"/>
      </w:r>
      <w:r>
        <w:rPr>
          <w:rFonts w:ascii="宋体" w:hAnsi="宋体" w:eastAsia="宋体" w:cs="宋体"/>
          <w:highlight w:val="none"/>
        </w:rPr>
        <w:t>10.</w:t>
      </w:r>
      <w:r>
        <w:rPr>
          <w:rFonts w:hint="eastAsia" w:ascii="宋体" w:hAnsi="宋体" w:eastAsia="宋体" w:cs="宋体"/>
          <w:highlight w:val="none"/>
        </w:rPr>
        <w:t>需要补充的其他内容</w:t>
      </w:r>
      <w:r>
        <w:tab/>
      </w:r>
      <w:r>
        <w:fldChar w:fldCharType="begin"/>
      </w:r>
      <w:r>
        <w:instrText xml:space="preserve"> PAGEREF _Toc9259 \h </w:instrText>
      </w:r>
      <w:r>
        <w:fldChar w:fldCharType="separate"/>
      </w:r>
      <w:r>
        <w:t>19</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_Toc12648 </w:instrText>
      </w:r>
      <w:r>
        <w:rPr>
          <w:rFonts w:ascii="宋体" w:hAnsi="宋体" w:cs="宋体"/>
          <w:bCs/>
          <w:szCs w:val="21"/>
          <w:highlight w:val="none"/>
        </w:rPr>
        <w:fldChar w:fldCharType="separate"/>
      </w:r>
      <w:r>
        <w:rPr>
          <w:rFonts w:ascii="宋体" w:hAnsi="宋体" w:eastAsia="宋体" w:cs="宋体"/>
          <w:highlight w:val="none"/>
        </w:rPr>
        <w:t>11.</w:t>
      </w:r>
      <w:r>
        <w:rPr>
          <w:rFonts w:hint="eastAsia" w:ascii="宋体" w:hAnsi="宋体" w:eastAsia="宋体" w:cs="宋体"/>
          <w:highlight w:val="none"/>
        </w:rPr>
        <w:t>政策功能</w:t>
      </w:r>
      <w:r>
        <w:tab/>
      </w:r>
      <w:r>
        <w:fldChar w:fldCharType="begin"/>
      </w:r>
      <w:r>
        <w:instrText xml:space="preserve"> PAGEREF _Toc12648 \h </w:instrText>
      </w:r>
      <w:r>
        <w:fldChar w:fldCharType="separate"/>
      </w:r>
      <w:r>
        <w:t>20</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_Toc26050 </w:instrText>
      </w:r>
      <w:r>
        <w:rPr>
          <w:rFonts w:ascii="宋体" w:hAnsi="宋体" w:cs="宋体"/>
          <w:bCs/>
          <w:szCs w:val="21"/>
          <w:highlight w:val="none"/>
        </w:rPr>
        <w:fldChar w:fldCharType="separate"/>
      </w:r>
      <w:r>
        <w:rPr>
          <w:rFonts w:hint="eastAsia" w:asciiTheme="majorEastAsia" w:hAnsiTheme="majorEastAsia" w:eastAsiaTheme="majorEastAsia"/>
          <w:szCs w:val="32"/>
          <w:highlight w:val="none"/>
        </w:rPr>
        <w:t>第三章  评标标准和评标方法</w:t>
      </w:r>
      <w:r>
        <w:tab/>
      </w:r>
      <w:r>
        <w:fldChar w:fldCharType="begin"/>
      </w:r>
      <w:r>
        <w:instrText xml:space="preserve"> PAGEREF _Toc26050 \h </w:instrText>
      </w:r>
      <w:r>
        <w:fldChar w:fldCharType="separate"/>
      </w:r>
      <w:r>
        <w:t>22</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_Toc3061 </w:instrText>
      </w:r>
      <w:r>
        <w:rPr>
          <w:rFonts w:ascii="宋体" w:hAnsi="宋体" w:cs="宋体"/>
          <w:bCs/>
          <w:szCs w:val="21"/>
          <w:highlight w:val="none"/>
        </w:rPr>
        <w:fldChar w:fldCharType="separate"/>
      </w:r>
      <w:r>
        <w:rPr>
          <w:rFonts w:hint="eastAsia" w:ascii="宋体" w:hAnsi="宋体" w:cs="宋体"/>
          <w:lang w:eastAsia="zh-CN"/>
        </w:rPr>
        <w:t>第四章、</w:t>
      </w:r>
      <w:r>
        <w:rPr>
          <w:rFonts w:ascii="宋体" w:hAnsi="宋体" w:cs="宋体"/>
        </w:rPr>
        <w:t xml:space="preserve"> </w:t>
      </w:r>
      <w:r>
        <w:rPr>
          <w:rFonts w:hint="eastAsia" w:ascii="宋体" w:hAnsi="宋体" w:cs="宋体"/>
          <w:szCs w:val="32"/>
          <w:lang w:val="en-US" w:eastAsia="zh-CN"/>
        </w:rPr>
        <w:t>采购需求</w:t>
      </w:r>
      <w:r>
        <w:rPr>
          <w:rFonts w:hint="eastAsia" w:ascii="宋体" w:hAnsi="宋体" w:cs="宋体"/>
          <w:szCs w:val="32"/>
        </w:rPr>
        <w:t>及要求</w:t>
      </w:r>
      <w:r>
        <w:tab/>
      </w:r>
      <w:r>
        <w:fldChar w:fldCharType="begin"/>
      </w:r>
      <w:r>
        <w:instrText xml:space="preserve"> PAGEREF _Toc3061 \h </w:instrText>
      </w:r>
      <w:r>
        <w:fldChar w:fldCharType="separate"/>
      </w:r>
      <w:r>
        <w:t>27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_Toc2373 </w:instrText>
      </w:r>
      <w:r>
        <w:rPr>
          <w:rFonts w:ascii="宋体" w:hAnsi="宋体" w:cs="宋体"/>
          <w:bCs/>
          <w:szCs w:val="21"/>
          <w:highlight w:val="none"/>
        </w:rPr>
        <w:fldChar w:fldCharType="separate"/>
      </w:r>
      <w:r>
        <w:rPr>
          <w:rFonts w:hint="eastAsia" w:asciiTheme="majorEastAsia" w:hAnsiTheme="majorEastAsia" w:eastAsiaTheme="majorEastAsia"/>
          <w:szCs w:val="32"/>
          <w:highlight w:val="none"/>
        </w:rPr>
        <w:t>第五章</w:t>
      </w:r>
      <w:r>
        <w:rPr>
          <w:rFonts w:hint="eastAsia" w:asciiTheme="majorEastAsia" w:hAnsiTheme="majorEastAsia" w:eastAsiaTheme="majorEastAsia"/>
          <w:szCs w:val="28"/>
          <w:highlight w:val="none"/>
        </w:rPr>
        <w:t xml:space="preserve">  </w:t>
      </w:r>
      <w:r>
        <w:rPr>
          <w:rFonts w:hint="eastAsia" w:asciiTheme="majorEastAsia" w:hAnsiTheme="majorEastAsia" w:eastAsiaTheme="majorEastAsia"/>
          <w:szCs w:val="32"/>
          <w:highlight w:val="none"/>
        </w:rPr>
        <w:t>合同签订及条款</w:t>
      </w:r>
      <w:r>
        <w:tab/>
      </w:r>
      <w:r>
        <w:fldChar w:fldCharType="begin"/>
      </w:r>
      <w:r>
        <w:instrText xml:space="preserve"> PAGEREF _Toc2373 \h </w:instrText>
      </w:r>
      <w:r>
        <w:fldChar w:fldCharType="separate"/>
      </w:r>
      <w:r>
        <w:t>29</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_Toc21644 </w:instrText>
      </w:r>
      <w:r>
        <w:rPr>
          <w:rFonts w:ascii="宋体" w:hAnsi="宋体" w:cs="宋体"/>
          <w:bCs/>
          <w:szCs w:val="21"/>
          <w:highlight w:val="none"/>
        </w:rPr>
        <w:fldChar w:fldCharType="separate"/>
      </w:r>
      <w:r>
        <w:rPr>
          <w:rFonts w:hint="eastAsia" w:ascii="宋体" w:hAnsi="宋体" w:cs="宋体"/>
          <w:highlight w:val="none"/>
        </w:rPr>
        <w:t>第六章</w:t>
      </w:r>
      <w:r>
        <w:rPr>
          <w:rFonts w:ascii="宋体" w:hAnsi="宋体" w:cs="宋体"/>
          <w:highlight w:val="none"/>
        </w:rPr>
        <w:t xml:space="preserve">  </w:t>
      </w:r>
      <w:r>
        <w:rPr>
          <w:rFonts w:hint="eastAsia" w:ascii="宋体" w:hAnsi="宋体" w:cs="宋体"/>
          <w:highlight w:val="none"/>
        </w:rPr>
        <w:t>响应文件格式</w:t>
      </w:r>
      <w:r>
        <w:tab/>
      </w:r>
      <w:r>
        <w:fldChar w:fldCharType="begin"/>
      </w:r>
      <w:r>
        <w:instrText xml:space="preserve"> PAGEREF _Toc21644 \h </w:instrText>
      </w:r>
      <w:r>
        <w:fldChar w:fldCharType="separate"/>
      </w:r>
      <w:r>
        <w:t>34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_Toc12352 </w:instrText>
      </w:r>
      <w:r>
        <w:rPr>
          <w:rFonts w:ascii="宋体" w:hAnsi="宋体" w:cs="宋体"/>
          <w:bCs/>
          <w:szCs w:val="21"/>
          <w:highlight w:val="none"/>
        </w:rPr>
        <w:fldChar w:fldCharType="separate"/>
      </w:r>
      <w:r>
        <w:rPr>
          <w:rFonts w:hint="eastAsia" w:ascii="宋体" w:hAnsi="宋体" w:cs="宋体"/>
          <w:highlight w:val="none"/>
        </w:rPr>
        <w:t>一、磋商函及磋商函附录</w:t>
      </w:r>
      <w:r>
        <w:tab/>
      </w:r>
      <w:r>
        <w:fldChar w:fldCharType="begin"/>
      </w:r>
      <w:r>
        <w:instrText xml:space="preserve"> PAGEREF _Toc12352 \h </w:instrText>
      </w:r>
      <w:r>
        <w:fldChar w:fldCharType="separate"/>
      </w:r>
      <w:r>
        <w:t>36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_Toc3837 </w:instrText>
      </w:r>
      <w:r>
        <w:rPr>
          <w:rFonts w:ascii="宋体" w:hAnsi="宋体" w:cs="宋体"/>
          <w:bCs/>
          <w:szCs w:val="21"/>
          <w:highlight w:val="none"/>
        </w:rPr>
        <w:fldChar w:fldCharType="separate"/>
      </w:r>
      <w:r>
        <w:rPr>
          <w:rFonts w:hint="eastAsia" w:ascii="宋体" w:hAnsi="宋体" w:cs="宋体"/>
          <w:highlight w:val="none"/>
        </w:rPr>
        <w:t>（一）磋商函</w:t>
      </w:r>
      <w:r>
        <w:tab/>
      </w:r>
      <w:r>
        <w:fldChar w:fldCharType="begin"/>
      </w:r>
      <w:r>
        <w:instrText xml:space="preserve"> PAGEREF _Toc3837 \h </w:instrText>
      </w:r>
      <w:r>
        <w:fldChar w:fldCharType="separate"/>
      </w:r>
      <w:r>
        <w:t>36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_Toc24045 </w:instrText>
      </w:r>
      <w:r>
        <w:rPr>
          <w:rFonts w:ascii="宋体" w:hAnsi="宋体" w:cs="宋体"/>
          <w:bCs/>
          <w:szCs w:val="21"/>
          <w:highlight w:val="none"/>
        </w:rPr>
        <w:fldChar w:fldCharType="separate"/>
      </w:r>
      <w:r>
        <w:rPr>
          <w:rFonts w:hint="eastAsia" w:ascii="宋体" w:hAnsi="宋体" w:cs="宋体"/>
        </w:rPr>
        <w:t xml:space="preserve">（二） </w:t>
      </w:r>
      <w:r>
        <w:rPr>
          <w:rFonts w:hint="eastAsia" w:ascii="宋体" w:hAnsi="宋体" w:cs="宋体"/>
          <w:highlight w:val="none"/>
        </w:rPr>
        <w:t>磋商函附录</w:t>
      </w:r>
      <w:r>
        <w:tab/>
      </w:r>
      <w:r>
        <w:fldChar w:fldCharType="begin"/>
      </w:r>
      <w:r>
        <w:instrText xml:space="preserve"> PAGEREF _Toc24045 \h </w:instrText>
      </w:r>
      <w:r>
        <w:fldChar w:fldCharType="separate"/>
      </w:r>
      <w:r>
        <w:t>37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_Toc11671 </w:instrText>
      </w:r>
      <w:r>
        <w:rPr>
          <w:rFonts w:ascii="宋体" w:hAnsi="宋体" w:cs="宋体"/>
          <w:bCs/>
          <w:szCs w:val="21"/>
          <w:highlight w:val="none"/>
        </w:rPr>
        <w:fldChar w:fldCharType="separate"/>
      </w:r>
      <w:r>
        <w:rPr>
          <w:rFonts w:hint="eastAsia" w:ascii="宋体" w:hAnsi="宋体" w:cs="宋体"/>
          <w:bCs/>
          <w:szCs w:val="32"/>
          <w:highlight w:val="none"/>
          <w:lang w:val="en-US" w:eastAsia="zh-CN"/>
        </w:rPr>
        <w:t>二、</w:t>
      </w:r>
      <w:r>
        <w:rPr>
          <w:rFonts w:hint="eastAsia" w:ascii="宋体" w:hAnsi="宋体" w:eastAsia="宋体" w:cs="宋体"/>
          <w:bCs/>
          <w:szCs w:val="32"/>
          <w:highlight w:val="none"/>
          <w:lang w:val="en-US" w:eastAsia="zh-CN"/>
        </w:rPr>
        <w:t>声明函</w:t>
      </w:r>
      <w:r>
        <w:tab/>
      </w:r>
      <w:r>
        <w:fldChar w:fldCharType="begin"/>
      </w:r>
      <w:r>
        <w:instrText xml:space="preserve"> PAGEREF _Toc11671 \h </w:instrText>
      </w:r>
      <w:r>
        <w:fldChar w:fldCharType="separate"/>
      </w:r>
      <w:r>
        <w:t>39</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_Toc20309 </w:instrText>
      </w:r>
      <w:r>
        <w:rPr>
          <w:rFonts w:ascii="宋体" w:hAnsi="宋体" w:cs="宋体"/>
          <w:bCs/>
          <w:szCs w:val="21"/>
          <w:highlight w:val="none"/>
        </w:rPr>
        <w:fldChar w:fldCharType="separate"/>
      </w:r>
      <w:r>
        <w:rPr>
          <w:rFonts w:hint="eastAsia" w:ascii="宋体" w:hAnsi="宋体" w:cs="宋体"/>
          <w:highlight w:val="none"/>
          <w:lang w:eastAsia="zh-CN"/>
        </w:rPr>
        <w:t>三、技术及综合部分</w:t>
      </w:r>
      <w:r>
        <w:tab/>
      </w:r>
      <w:r>
        <w:fldChar w:fldCharType="begin"/>
      </w:r>
      <w:r>
        <w:instrText xml:space="preserve"> PAGEREF _Toc20309 \h </w:instrText>
      </w:r>
      <w:r>
        <w:fldChar w:fldCharType="separate"/>
      </w:r>
      <w:r>
        <w:t>40</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_Toc9559 </w:instrText>
      </w:r>
      <w:r>
        <w:rPr>
          <w:rFonts w:ascii="宋体" w:hAnsi="宋体" w:cs="宋体"/>
          <w:bCs/>
          <w:szCs w:val="21"/>
          <w:highlight w:val="none"/>
        </w:rPr>
        <w:fldChar w:fldCharType="separate"/>
      </w:r>
      <w:r>
        <w:rPr>
          <w:rFonts w:hint="eastAsia" w:ascii="宋体" w:hAnsi="宋体" w:cs="宋体"/>
          <w:highlight w:val="none"/>
          <w:lang w:eastAsia="zh-CN"/>
        </w:rPr>
        <w:t>四、履约承诺函</w:t>
      </w:r>
      <w:r>
        <w:tab/>
      </w:r>
      <w:r>
        <w:fldChar w:fldCharType="begin"/>
      </w:r>
      <w:r>
        <w:instrText xml:space="preserve"> PAGEREF _Toc9559 \h </w:instrText>
      </w:r>
      <w:r>
        <w:fldChar w:fldCharType="separate"/>
      </w:r>
      <w:r>
        <w:t>41</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_Toc26962 </w:instrText>
      </w:r>
      <w:r>
        <w:rPr>
          <w:rFonts w:ascii="宋体" w:hAnsi="宋体" w:cs="宋体"/>
          <w:bCs/>
          <w:szCs w:val="21"/>
          <w:highlight w:val="none"/>
        </w:rPr>
        <w:fldChar w:fldCharType="separate"/>
      </w:r>
      <w:r>
        <w:rPr>
          <w:rFonts w:hint="eastAsia" w:ascii="宋体" w:hAnsi="宋体" w:cs="宋体"/>
          <w:highlight w:val="none"/>
          <w:lang w:eastAsia="zh-CN"/>
        </w:rPr>
        <w:t>五</w:t>
      </w:r>
      <w:r>
        <w:rPr>
          <w:rFonts w:hint="eastAsia" w:ascii="宋体" w:hAnsi="宋体" w:cs="宋体"/>
          <w:highlight w:val="none"/>
        </w:rPr>
        <w:t>、</w:t>
      </w:r>
      <w:r>
        <w:rPr>
          <w:rFonts w:hint="eastAsia" w:ascii="宋体" w:hAnsi="宋体" w:cs="宋体"/>
          <w:highlight w:val="none"/>
          <w:lang w:eastAsia="zh-CN"/>
        </w:rPr>
        <w:t>（</w:t>
      </w:r>
      <w:r>
        <w:rPr>
          <w:rFonts w:hint="eastAsia" w:ascii="宋体" w:hAnsi="宋体" w:cs="宋体"/>
          <w:highlight w:val="none"/>
          <w:lang w:val="en-US" w:eastAsia="zh-CN"/>
        </w:rPr>
        <w:t>1</w:t>
      </w:r>
      <w:r>
        <w:rPr>
          <w:rFonts w:hint="eastAsia" w:ascii="宋体" w:hAnsi="宋体" w:cs="宋体"/>
          <w:highlight w:val="none"/>
          <w:lang w:eastAsia="zh-CN"/>
        </w:rPr>
        <w:t>）</w:t>
      </w:r>
      <w:r>
        <w:rPr>
          <w:rFonts w:hint="eastAsia" w:ascii="宋体" w:hAnsi="宋体" w:cs="宋体"/>
          <w:highlight w:val="none"/>
        </w:rPr>
        <w:t>法定代表人（负责人）身份证明</w:t>
      </w:r>
      <w:r>
        <w:tab/>
      </w:r>
      <w:r>
        <w:fldChar w:fldCharType="begin"/>
      </w:r>
      <w:r>
        <w:instrText xml:space="preserve"> PAGEREF _Toc26962 \h </w:instrText>
      </w:r>
      <w:r>
        <w:fldChar w:fldCharType="separate"/>
      </w:r>
      <w:r>
        <w:t>42</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_Toc9293 </w:instrText>
      </w:r>
      <w:r>
        <w:rPr>
          <w:rFonts w:ascii="宋体" w:hAnsi="宋体" w:cs="宋体"/>
          <w:bCs/>
          <w:szCs w:val="21"/>
          <w:highlight w:val="none"/>
        </w:rPr>
        <w:fldChar w:fldCharType="separate"/>
      </w:r>
      <w:r>
        <w:rPr>
          <w:rFonts w:hint="eastAsia" w:ascii="宋体" w:cs="宋体"/>
          <w:highlight w:val="none"/>
          <w:lang w:eastAsia="zh-CN"/>
        </w:rPr>
        <w:t>（</w:t>
      </w:r>
      <w:r>
        <w:rPr>
          <w:rFonts w:hint="eastAsia" w:ascii="宋体" w:cs="宋体"/>
          <w:highlight w:val="none"/>
          <w:lang w:val="en-US" w:eastAsia="zh-CN"/>
        </w:rPr>
        <w:t>2）</w:t>
      </w:r>
      <w:r>
        <w:rPr>
          <w:rFonts w:hint="eastAsia" w:ascii="宋体" w:hAnsi="宋体" w:cs="宋体"/>
          <w:highlight w:val="none"/>
        </w:rPr>
        <w:t>授权委托书</w:t>
      </w:r>
      <w:r>
        <w:tab/>
      </w:r>
      <w:r>
        <w:fldChar w:fldCharType="begin"/>
      </w:r>
      <w:r>
        <w:instrText xml:space="preserve"> PAGEREF _Toc9293 \h </w:instrText>
      </w:r>
      <w:r>
        <w:fldChar w:fldCharType="separate"/>
      </w:r>
      <w:r>
        <w:t>43</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_Toc5065 </w:instrText>
      </w:r>
      <w:r>
        <w:rPr>
          <w:rFonts w:ascii="宋体" w:hAnsi="宋体" w:cs="宋体"/>
          <w:bCs/>
          <w:szCs w:val="21"/>
          <w:highlight w:val="none"/>
        </w:rPr>
        <w:fldChar w:fldCharType="separate"/>
      </w:r>
      <w:r>
        <w:rPr>
          <w:rFonts w:hint="eastAsia" w:ascii="宋体" w:hAnsi="宋体" w:cs="宋体"/>
          <w:highlight w:val="none"/>
          <w:lang w:eastAsia="zh-CN"/>
        </w:rPr>
        <w:t>六</w:t>
      </w:r>
      <w:r>
        <w:rPr>
          <w:rFonts w:hint="eastAsia" w:ascii="宋体" w:hAnsi="宋体" w:cs="宋体"/>
          <w:highlight w:val="none"/>
        </w:rPr>
        <w:t>、供应商基本情况表</w:t>
      </w:r>
      <w:r>
        <w:tab/>
      </w:r>
      <w:r>
        <w:fldChar w:fldCharType="begin"/>
      </w:r>
      <w:r>
        <w:instrText xml:space="preserve"> PAGEREF _Toc5065 \h </w:instrText>
      </w:r>
      <w:r>
        <w:fldChar w:fldCharType="separate"/>
      </w:r>
      <w:r>
        <w:t>44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_Toc1149 </w:instrText>
      </w:r>
      <w:r>
        <w:rPr>
          <w:rFonts w:ascii="宋体" w:hAnsi="宋体" w:cs="宋体"/>
          <w:bCs/>
          <w:szCs w:val="21"/>
          <w:highlight w:val="none"/>
        </w:rPr>
        <w:fldChar w:fldCharType="separate"/>
      </w:r>
      <w:r>
        <w:rPr>
          <w:rFonts w:hint="eastAsia" w:ascii="宋体" w:hAnsi="宋体" w:cs="宋体"/>
          <w:highlight w:val="none"/>
          <w:lang w:eastAsia="zh-CN"/>
        </w:rPr>
        <w:t>七、</w:t>
      </w:r>
      <w:r>
        <w:rPr>
          <w:rFonts w:hint="eastAsia" w:ascii="宋体" w:hAnsi="宋体" w:cs="宋体"/>
          <w:highlight w:val="none"/>
          <w:lang w:val="en-US" w:eastAsia="zh-CN"/>
        </w:rPr>
        <w:t>(1)</w:t>
      </w:r>
      <w:r>
        <w:rPr>
          <w:rFonts w:hint="eastAsia" w:ascii="宋体" w:hAnsi="宋体" w:cs="宋体"/>
          <w:highlight w:val="none"/>
          <w:lang w:eastAsia="zh-CN"/>
        </w:rPr>
        <w:t>项目负责人基本情况表</w:t>
      </w:r>
      <w:r>
        <w:tab/>
      </w:r>
      <w:r>
        <w:fldChar w:fldCharType="begin"/>
      </w:r>
      <w:r>
        <w:instrText xml:space="preserve"> PAGEREF _Toc1149 \h </w:instrText>
      </w:r>
      <w:r>
        <w:fldChar w:fldCharType="separate"/>
      </w:r>
      <w:r>
        <w:t>45</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_Toc21401 </w:instrText>
      </w:r>
      <w:r>
        <w:rPr>
          <w:rFonts w:ascii="宋体" w:hAnsi="宋体" w:cs="宋体"/>
          <w:bCs/>
          <w:szCs w:val="21"/>
          <w:highlight w:val="none"/>
        </w:rPr>
        <w:fldChar w:fldCharType="separate"/>
      </w:r>
      <w:r>
        <w:rPr>
          <w:rFonts w:hint="eastAsia" w:ascii="宋体" w:hAnsi="宋体" w:cs="宋体"/>
          <w:highlight w:val="none"/>
          <w:lang w:val="en-US" w:eastAsia="zh-CN"/>
        </w:rPr>
        <w:t>(2)拟投入本项目其他人员表</w:t>
      </w:r>
      <w:r>
        <w:tab/>
      </w:r>
      <w:r>
        <w:fldChar w:fldCharType="begin"/>
      </w:r>
      <w:r>
        <w:instrText xml:space="preserve"> PAGEREF _Toc21401 \h </w:instrText>
      </w:r>
      <w:r>
        <w:fldChar w:fldCharType="separate"/>
      </w:r>
      <w:r>
        <w:t>46</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_Toc9868 </w:instrText>
      </w:r>
      <w:r>
        <w:rPr>
          <w:rFonts w:ascii="宋体" w:hAnsi="宋体" w:cs="宋体"/>
          <w:bCs/>
          <w:szCs w:val="21"/>
          <w:highlight w:val="none"/>
        </w:rPr>
        <w:fldChar w:fldCharType="separate"/>
      </w:r>
      <w:r>
        <w:rPr>
          <w:rFonts w:hint="eastAsia" w:ascii="宋体" w:hAnsi="宋体" w:cs="仿宋_GB2312"/>
          <w:szCs w:val="21"/>
          <w:highlight w:val="none"/>
        </w:rPr>
        <w:t>注：提供拟投入本项目人员职称证书</w:t>
      </w:r>
      <w:r>
        <w:rPr>
          <w:rFonts w:hint="eastAsia" w:ascii="宋体" w:hAnsi="宋体" w:eastAsia="宋体" w:cs="仿宋_GB2312"/>
          <w:szCs w:val="21"/>
          <w:highlight w:val="none"/>
          <w:lang w:val="en-US" w:eastAsia="zh-CN"/>
        </w:rPr>
        <w:t>或注册证书</w:t>
      </w:r>
      <w:r>
        <w:tab/>
      </w:r>
      <w:r>
        <w:fldChar w:fldCharType="begin"/>
      </w:r>
      <w:r>
        <w:instrText xml:space="preserve"> PAGEREF _Toc9868 \h </w:instrText>
      </w:r>
      <w:r>
        <w:fldChar w:fldCharType="separate"/>
      </w:r>
      <w:r>
        <w:t>46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_Toc16652 </w:instrText>
      </w:r>
      <w:r>
        <w:rPr>
          <w:rFonts w:ascii="宋体" w:hAnsi="宋体" w:cs="宋体"/>
          <w:bCs/>
          <w:szCs w:val="21"/>
          <w:highlight w:val="none"/>
        </w:rPr>
        <w:fldChar w:fldCharType="separate"/>
      </w:r>
      <w:r>
        <w:rPr>
          <w:rFonts w:hint="eastAsia" w:ascii="Times New Roman" w:hAnsi="Times New Roman"/>
          <w:szCs w:val="32"/>
          <w:highlight w:val="none"/>
          <w:lang w:eastAsia="zh-CN"/>
        </w:rPr>
        <w:t>八</w:t>
      </w:r>
      <w:r>
        <w:rPr>
          <w:rFonts w:ascii="Times New Roman" w:hAnsi="Times New Roman" w:eastAsia="宋体"/>
          <w:szCs w:val="32"/>
          <w:highlight w:val="none"/>
        </w:rPr>
        <w:t>．</w:t>
      </w:r>
      <w:r>
        <w:rPr>
          <w:rFonts w:hint="eastAsia" w:ascii="宋体" w:hAnsi="宋体" w:cs="宋体"/>
          <w:szCs w:val="32"/>
          <w:highlight w:val="none"/>
        </w:rPr>
        <w:t>企业业绩</w:t>
      </w:r>
      <w:r>
        <w:rPr>
          <w:rFonts w:hint="eastAsia" w:ascii="宋体" w:hAnsi="宋体" w:cs="宋体"/>
          <w:szCs w:val="24"/>
          <w:highlight w:val="none"/>
        </w:rPr>
        <w:t>（如有）</w:t>
      </w:r>
      <w:r>
        <w:tab/>
      </w:r>
      <w:r>
        <w:fldChar w:fldCharType="begin"/>
      </w:r>
      <w:r>
        <w:instrText xml:space="preserve"> PAGEREF _Toc16652 \h </w:instrText>
      </w:r>
      <w:r>
        <w:fldChar w:fldCharType="separate"/>
      </w:r>
      <w:r>
        <w:t>47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_Toc31471 </w:instrText>
      </w:r>
      <w:r>
        <w:rPr>
          <w:rFonts w:ascii="宋体" w:hAnsi="宋体" w:cs="宋体"/>
          <w:bCs/>
          <w:szCs w:val="21"/>
          <w:highlight w:val="none"/>
        </w:rPr>
        <w:fldChar w:fldCharType="separate"/>
      </w:r>
      <w:r>
        <w:rPr>
          <w:rFonts w:hint="eastAsia" w:ascii="Times New Roman" w:hAnsi="Times New Roman"/>
          <w:szCs w:val="32"/>
          <w:highlight w:val="none"/>
          <w:lang w:eastAsia="zh-CN"/>
        </w:rPr>
        <w:t>九、</w:t>
      </w:r>
      <w:r>
        <w:rPr>
          <w:rFonts w:hint="eastAsia" w:ascii="宋体" w:hAnsi="宋体" w:cs="宋体"/>
          <w:szCs w:val="32"/>
        </w:rPr>
        <w:t>服务承诺及优惠条件</w:t>
      </w:r>
      <w:r>
        <w:tab/>
      </w:r>
      <w:r>
        <w:fldChar w:fldCharType="begin"/>
      </w:r>
      <w:r>
        <w:instrText xml:space="preserve"> PAGEREF _Toc31471 \h </w:instrText>
      </w:r>
      <w:r>
        <w:fldChar w:fldCharType="separate"/>
      </w:r>
      <w:r>
        <w:t>48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_Toc9938 </w:instrText>
      </w:r>
      <w:r>
        <w:rPr>
          <w:rFonts w:ascii="宋体" w:hAnsi="宋体" w:cs="宋体"/>
          <w:bCs/>
          <w:szCs w:val="21"/>
          <w:highlight w:val="none"/>
        </w:rPr>
        <w:fldChar w:fldCharType="separate"/>
      </w:r>
      <w:r>
        <w:rPr>
          <w:rFonts w:hint="eastAsia" w:ascii="宋体" w:hAnsi="宋体" w:cs="宋体"/>
          <w:highlight w:val="none"/>
          <w:lang w:eastAsia="zh-CN"/>
        </w:rPr>
        <w:t>十</w:t>
      </w:r>
      <w:r>
        <w:rPr>
          <w:rFonts w:hint="eastAsia" w:ascii="宋体" w:hAnsi="宋体" w:cs="宋体"/>
          <w:highlight w:val="none"/>
        </w:rPr>
        <w:t>、反商业贿赂承诺书</w:t>
      </w:r>
      <w:r>
        <w:tab/>
      </w:r>
      <w:r>
        <w:fldChar w:fldCharType="begin"/>
      </w:r>
      <w:r>
        <w:instrText xml:space="preserve"> PAGEREF _Toc9938 \h </w:instrText>
      </w:r>
      <w:r>
        <w:fldChar w:fldCharType="separate"/>
      </w:r>
      <w:r>
        <w:t>49</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_Toc30071 </w:instrText>
      </w:r>
      <w:r>
        <w:rPr>
          <w:rFonts w:ascii="宋体" w:hAnsi="宋体" w:cs="宋体"/>
          <w:bCs/>
          <w:szCs w:val="21"/>
          <w:highlight w:val="none"/>
        </w:rPr>
        <w:fldChar w:fldCharType="separate"/>
      </w:r>
      <w:r>
        <w:rPr>
          <w:rFonts w:hint="eastAsia" w:ascii="宋体" w:hAnsi="宋体" w:cs="宋体"/>
          <w:highlight w:val="none"/>
          <w:lang w:eastAsia="zh-CN"/>
        </w:rPr>
        <w:t>十一</w:t>
      </w:r>
      <w:r>
        <w:rPr>
          <w:rFonts w:hint="eastAsia" w:ascii="宋体" w:hAnsi="宋体" w:cs="宋体"/>
          <w:highlight w:val="none"/>
        </w:rPr>
        <w:t>、无行贿犯罪记录承诺书</w:t>
      </w:r>
      <w:r>
        <w:tab/>
      </w:r>
      <w:r>
        <w:fldChar w:fldCharType="begin"/>
      </w:r>
      <w:r>
        <w:instrText xml:space="preserve"> PAGEREF _Toc30071 \h </w:instrText>
      </w:r>
      <w:r>
        <w:fldChar w:fldCharType="separate"/>
      </w:r>
      <w:r>
        <w:t>50</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_Toc13771 </w:instrText>
      </w:r>
      <w:r>
        <w:rPr>
          <w:rFonts w:ascii="宋体" w:hAnsi="宋体" w:cs="宋体"/>
          <w:bCs/>
          <w:szCs w:val="21"/>
          <w:highlight w:val="none"/>
        </w:rPr>
        <w:fldChar w:fldCharType="separate"/>
      </w:r>
      <w:r>
        <w:rPr>
          <w:rFonts w:hint="eastAsia" w:ascii="宋体" w:hAnsi="宋体" w:cs="宋体"/>
          <w:highlight w:val="none"/>
          <w:lang w:eastAsia="zh-CN"/>
        </w:rPr>
        <w:t>十二</w:t>
      </w:r>
      <w:r>
        <w:rPr>
          <w:rFonts w:hint="eastAsia" w:ascii="宋体" w:hAnsi="宋体" w:cs="宋体"/>
          <w:highlight w:val="none"/>
        </w:rPr>
        <w:t>、</w:t>
      </w:r>
      <w:r>
        <w:rPr>
          <w:rFonts w:ascii="宋体" w:hAnsi="宋体" w:cs="宋体"/>
          <w:highlight w:val="none"/>
        </w:rPr>
        <w:t xml:space="preserve"> </w:t>
      </w:r>
      <w:r>
        <w:rPr>
          <w:rFonts w:hint="eastAsia" w:ascii="宋体" w:hAnsi="宋体" w:cs="宋体"/>
          <w:highlight w:val="none"/>
        </w:rPr>
        <w:t>资</w:t>
      </w:r>
      <w:r>
        <w:rPr>
          <w:rFonts w:ascii="宋体" w:hAnsi="宋体" w:cs="宋体"/>
          <w:highlight w:val="none"/>
        </w:rPr>
        <w:t xml:space="preserve"> </w:t>
      </w:r>
      <w:r>
        <w:rPr>
          <w:rFonts w:hint="eastAsia" w:ascii="宋体" w:hAnsi="宋体" w:cs="宋体"/>
          <w:highlight w:val="none"/>
        </w:rPr>
        <w:t>格</w:t>
      </w:r>
      <w:r>
        <w:rPr>
          <w:rFonts w:ascii="宋体" w:hAnsi="宋体" w:cs="宋体"/>
          <w:highlight w:val="none"/>
        </w:rPr>
        <w:t xml:space="preserve"> </w:t>
      </w:r>
      <w:r>
        <w:rPr>
          <w:rFonts w:hint="eastAsia" w:ascii="宋体" w:hAnsi="宋体" w:cs="宋体"/>
          <w:highlight w:val="none"/>
        </w:rPr>
        <w:t>证</w:t>
      </w:r>
      <w:r>
        <w:rPr>
          <w:rFonts w:ascii="宋体" w:hAnsi="宋体" w:cs="宋体"/>
          <w:highlight w:val="none"/>
        </w:rPr>
        <w:t xml:space="preserve"> </w:t>
      </w:r>
      <w:r>
        <w:rPr>
          <w:rFonts w:hint="eastAsia" w:ascii="宋体" w:hAnsi="宋体" w:cs="宋体"/>
          <w:highlight w:val="none"/>
        </w:rPr>
        <w:t>明</w:t>
      </w:r>
      <w:r>
        <w:rPr>
          <w:rFonts w:ascii="宋体" w:hAnsi="宋体" w:cs="宋体"/>
          <w:highlight w:val="none"/>
        </w:rPr>
        <w:t xml:space="preserve"> </w:t>
      </w:r>
      <w:r>
        <w:rPr>
          <w:rFonts w:hint="eastAsia" w:ascii="宋体" w:hAnsi="宋体" w:cs="宋体"/>
          <w:highlight w:val="none"/>
        </w:rPr>
        <w:t>文</w:t>
      </w:r>
      <w:r>
        <w:rPr>
          <w:rFonts w:ascii="宋体" w:hAnsi="宋体" w:cs="宋体"/>
          <w:highlight w:val="none"/>
        </w:rPr>
        <w:t xml:space="preserve"> </w:t>
      </w:r>
      <w:r>
        <w:rPr>
          <w:rFonts w:hint="eastAsia" w:ascii="宋体" w:hAnsi="宋体" w:cs="宋体"/>
          <w:highlight w:val="none"/>
        </w:rPr>
        <w:t>件</w:t>
      </w:r>
      <w:r>
        <w:tab/>
      </w:r>
      <w:r>
        <w:fldChar w:fldCharType="begin"/>
      </w:r>
      <w:r>
        <w:instrText xml:space="preserve"> PAGEREF _Toc13771 \h </w:instrText>
      </w:r>
      <w:r>
        <w:fldChar w:fldCharType="separate"/>
      </w:r>
      <w:r>
        <w:t>51</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_Toc18039 </w:instrText>
      </w:r>
      <w:r>
        <w:rPr>
          <w:rFonts w:ascii="宋体" w:hAnsi="宋体" w:cs="宋体"/>
          <w:bCs/>
          <w:szCs w:val="21"/>
          <w:highlight w:val="none"/>
        </w:rPr>
        <w:fldChar w:fldCharType="separate"/>
      </w:r>
      <w:r>
        <w:rPr>
          <w:rFonts w:hint="eastAsia" w:ascii="宋体" w:hAnsi="宋体" w:cs="宋体"/>
          <w:bCs/>
          <w:kern w:val="28"/>
          <w:szCs w:val="32"/>
          <w:highlight w:val="none"/>
        </w:rPr>
        <w:t>十</w:t>
      </w:r>
      <w:r>
        <w:rPr>
          <w:rFonts w:hint="eastAsia" w:ascii="宋体" w:hAnsi="宋体" w:cs="宋体"/>
          <w:bCs/>
          <w:kern w:val="28"/>
          <w:szCs w:val="32"/>
          <w:highlight w:val="none"/>
          <w:lang w:eastAsia="zh-CN"/>
        </w:rPr>
        <w:t>四</w:t>
      </w:r>
      <w:r>
        <w:rPr>
          <w:rFonts w:hint="eastAsia" w:ascii="宋体" w:hAnsi="宋体" w:cs="宋体"/>
          <w:bCs/>
          <w:kern w:val="28"/>
          <w:szCs w:val="32"/>
          <w:highlight w:val="none"/>
        </w:rPr>
        <w:t>、投标承诺函</w:t>
      </w:r>
      <w:r>
        <w:tab/>
      </w:r>
      <w:r>
        <w:fldChar w:fldCharType="begin"/>
      </w:r>
      <w:r>
        <w:instrText xml:space="preserve"> PAGEREF _Toc18039 \h </w:instrText>
      </w:r>
      <w:r>
        <w:fldChar w:fldCharType="separate"/>
      </w:r>
      <w:r>
        <w:t>54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_Toc23595 </w:instrText>
      </w:r>
      <w:r>
        <w:rPr>
          <w:rFonts w:ascii="宋体" w:hAnsi="宋体" w:cs="宋体"/>
          <w:bCs/>
          <w:szCs w:val="21"/>
          <w:highlight w:val="none"/>
        </w:rPr>
        <w:fldChar w:fldCharType="separate"/>
      </w:r>
      <w:r>
        <w:rPr>
          <w:rFonts w:hint="eastAsia" w:ascii="宋体" w:hAnsi="宋体" w:cs="宋体"/>
          <w:kern w:val="0"/>
          <w:szCs w:val="32"/>
          <w:highlight w:val="none"/>
        </w:rPr>
        <w:t>十</w:t>
      </w:r>
      <w:r>
        <w:rPr>
          <w:rFonts w:hint="eastAsia" w:ascii="宋体" w:hAnsi="宋体" w:cs="宋体"/>
          <w:kern w:val="0"/>
          <w:szCs w:val="32"/>
          <w:highlight w:val="none"/>
          <w:lang w:val="en-US" w:eastAsia="zh-CN"/>
        </w:rPr>
        <w:t>五</w:t>
      </w:r>
      <w:r>
        <w:rPr>
          <w:rFonts w:hint="eastAsia" w:ascii="宋体" w:hAnsi="宋体" w:cs="宋体"/>
          <w:kern w:val="0"/>
          <w:szCs w:val="32"/>
          <w:highlight w:val="none"/>
        </w:rPr>
        <w:t>、温县政府采购供应商资格信用</w:t>
      </w:r>
      <w:r>
        <w:rPr>
          <w:rFonts w:hint="eastAsia" w:ascii="宋体" w:hAnsi="宋体" w:cs="宋体"/>
          <w:kern w:val="0"/>
          <w:szCs w:val="32"/>
          <w:highlight w:val="none"/>
          <w:lang w:eastAsia="zh-CN"/>
        </w:rPr>
        <w:t>承诺函</w:t>
      </w:r>
      <w:r>
        <w:tab/>
      </w:r>
      <w:r>
        <w:fldChar w:fldCharType="begin"/>
      </w:r>
      <w:r>
        <w:instrText xml:space="preserve"> PAGEREF _Toc23595 \h </w:instrText>
      </w:r>
      <w:r>
        <w:fldChar w:fldCharType="separate"/>
      </w:r>
      <w:r>
        <w:t>55</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_Toc19924 </w:instrText>
      </w:r>
      <w:r>
        <w:rPr>
          <w:rFonts w:ascii="宋体" w:hAnsi="宋体" w:cs="宋体"/>
          <w:bCs/>
          <w:szCs w:val="21"/>
          <w:highlight w:val="none"/>
        </w:rPr>
        <w:fldChar w:fldCharType="separate"/>
      </w:r>
      <w:r>
        <w:rPr>
          <w:rFonts w:hint="eastAsia" w:ascii="宋体" w:hAnsi="宋体" w:cs="宋体"/>
          <w:highlight w:val="none"/>
        </w:rPr>
        <w:t>十</w:t>
      </w:r>
      <w:r>
        <w:rPr>
          <w:rFonts w:hint="eastAsia" w:ascii="宋体" w:hAnsi="宋体" w:cs="宋体"/>
          <w:highlight w:val="none"/>
          <w:lang w:eastAsia="zh-CN"/>
        </w:rPr>
        <w:t>六</w:t>
      </w:r>
      <w:r>
        <w:rPr>
          <w:rFonts w:hint="eastAsia" w:ascii="宋体" w:hAnsi="宋体" w:cs="宋体"/>
          <w:highlight w:val="none"/>
        </w:rPr>
        <w:t>、供应商认为需要提供的其它材料</w:t>
      </w:r>
      <w:r>
        <w:tab/>
      </w:r>
      <w:r>
        <w:fldChar w:fldCharType="begin"/>
      </w:r>
      <w:r>
        <w:instrText xml:space="preserve"> PAGEREF _Toc19924 \h </w:instrText>
      </w:r>
      <w:r>
        <w:fldChar w:fldCharType="separate"/>
      </w:r>
      <w:r>
        <w:t>56</w:t>
      </w:r>
      <w:r>
        <w:fldChar w:fldCharType="end"/>
      </w:r>
      <w:r>
        <w:rPr>
          <w:rFonts w:ascii="宋体" w:hAnsi="宋体" w:cs="宋体"/>
          <w:bCs/>
          <w:color w:val="auto"/>
          <w:szCs w:val="21"/>
          <w:highlight w:val="none"/>
        </w:rPr>
        <w:fldChar w:fldCharType="end"/>
      </w:r>
    </w:p>
    <w:p>
      <w:pPr>
        <w:spacing w:line="340" w:lineRule="exact"/>
        <w:jc w:val="center"/>
        <w:rPr>
          <w:color w:val="auto"/>
          <w:highlight w:val="none"/>
        </w:rPr>
      </w:pPr>
      <w:r>
        <w:rPr>
          <w:rFonts w:ascii="宋体" w:hAnsi="宋体" w:cs="宋体"/>
          <w:bCs/>
          <w:color w:val="auto"/>
          <w:szCs w:val="21"/>
          <w:highlight w:val="none"/>
        </w:rPr>
        <w:fldChar w:fldCharType="end"/>
      </w:r>
    </w:p>
    <w:p>
      <w:pPr>
        <w:tabs>
          <w:tab w:val="left" w:pos="7671"/>
        </w:tabs>
        <w:rPr>
          <w:rFonts w:hint="eastAsia" w:eastAsia="宋体"/>
          <w:color w:val="auto"/>
          <w:highlight w:val="none"/>
          <w:lang w:eastAsia="zh-CN"/>
        </w:rPr>
      </w:pPr>
      <w:r>
        <w:rPr>
          <w:rFonts w:hint="eastAsia"/>
          <w:color w:val="auto"/>
          <w:highlight w:val="none"/>
          <w:lang w:eastAsia="zh-CN"/>
        </w:rPr>
        <w:tab/>
      </w:r>
    </w:p>
    <w:p>
      <w:pPr>
        <w:pStyle w:val="6"/>
        <w:jc w:val="center"/>
        <w:rPr>
          <w:rFonts w:ascii="宋体" w:cs="宋体"/>
          <w:color w:val="auto"/>
          <w:kern w:val="44"/>
          <w:highlight w:val="none"/>
        </w:rPr>
      </w:pPr>
      <w:bookmarkStart w:id="0" w:name="_Toc11205"/>
      <w:r>
        <w:rPr>
          <w:rFonts w:hint="eastAsia"/>
          <w:color w:val="auto"/>
          <w:kern w:val="44"/>
          <w:highlight w:val="none"/>
        </w:rPr>
        <w:t>第一章</w:t>
      </w:r>
      <w:r>
        <w:rPr>
          <w:color w:val="auto"/>
          <w:kern w:val="44"/>
          <w:highlight w:val="none"/>
        </w:rPr>
        <w:t xml:space="preserve">  </w:t>
      </w:r>
      <w:r>
        <w:rPr>
          <w:rFonts w:hint="eastAsia"/>
          <w:color w:val="auto"/>
          <w:kern w:val="44"/>
          <w:highlight w:val="none"/>
        </w:rPr>
        <w:t>竞争性磋商公告</w:t>
      </w:r>
      <w:bookmarkEnd w:id="0"/>
    </w:p>
    <w:p>
      <w:pPr>
        <w:pageBreakBefore w:val="0"/>
        <w:kinsoku/>
        <w:wordWrap/>
        <w:overflowPunct/>
        <w:topLinePunct w:val="0"/>
        <w:autoSpaceDE/>
        <w:autoSpaceDN/>
        <w:bidi w:val="0"/>
        <w:adjustRightInd/>
        <w:snapToGrid/>
        <w:spacing w:line="380" w:lineRule="exact"/>
        <w:jc w:val="center"/>
        <w:textAlignment w:val="auto"/>
        <w:rPr>
          <w:rFonts w:hint="eastAsia" w:ascii="宋体" w:hAnsi="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温县施工图审查政府购买服务项目（三包）二次</w:t>
      </w:r>
    </w:p>
    <w:p>
      <w:pPr>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竞争性磋商公告</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项目概况:</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温县施工图审查政府购买服务项目</w:t>
      </w:r>
      <w:r>
        <w:rPr>
          <w:rFonts w:hint="eastAsia" w:ascii="宋体" w:hAnsi="宋体" w:eastAsia="宋体" w:cs="宋体"/>
          <w:color w:val="auto"/>
          <w:szCs w:val="21"/>
          <w:highlight w:val="none"/>
        </w:rPr>
        <w:t>的潜</w:t>
      </w:r>
      <w:r>
        <w:rPr>
          <w:rFonts w:hint="eastAsia" w:ascii="宋体" w:hAnsi="宋体" w:cs="宋体"/>
          <w:color w:val="auto"/>
          <w:szCs w:val="21"/>
          <w:highlight w:val="none"/>
        </w:rPr>
        <w:t>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应在焦作市公共资源交易中心网站会员系统获取磋商文件，并于</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 17</w:t>
      </w:r>
      <w:r>
        <w:rPr>
          <w:rFonts w:hint="eastAsia" w:ascii="宋体" w:hAnsi="宋体" w:cs="宋体"/>
          <w:color w:val="auto"/>
          <w:szCs w:val="21"/>
          <w:highlight w:val="none"/>
          <w:u w:val="single"/>
        </w:rPr>
        <w:t xml:space="preserve">日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时</w:t>
      </w:r>
      <w:r>
        <w:rPr>
          <w:rFonts w:hint="eastAsia" w:ascii="宋体" w:hAnsi="宋体" w:cs="宋体"/>
          <w:color w:val="auto"/>
          <w:szCs w:val="21"/>
          <w:highlight w:val="none"/>
          <w:u w:val="single"/>
          <w:lang w:val="en-US" w:eastAsia="zh-CN"/>
        </w:rPr>
        <w:t xml:space="preserve"> 00 </w:t>
      </w:r>
      <w:r>
        <w:rPr>
          <w:rFonts w:hint="eastAsia" w:ascii="宋体" w:hAnsi="宋体" w:cs="宋体"/>
          <w:color w:val="auto"/>
          <w:szCs w:val="21"/>
          <w:highlight w:val="none"/>
          <w:u w:val="single"/>
        </w:rPr>
        <w:t>分</w:t>
      </w:r>
      <w:r>
        <w:rPr>
          <w:rFonts w:hint="eastAsia" w:ascii="宋体" w:hAnsi="宋体" w:cs="宋体"/>
          <w:color w:val="auto"/>
          <w:szCs w:val="21"/>
          <w:highlight w:val="none"/>
        </w:rPr>
        <w:t>（北京时间）前递交磋商响应文件。</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一、项目基本情况:</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1.项目编号</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温政采【202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06-34</w:t>
      </w:r>
      <w:r>
        <w:rPr>
          <w:rFonts w:hint="eastAsia" w:ascii="宋体" w:hAnsi="宋体" w:cs="宋体"/>
          <w:color w:val="auto"/>
          <w:szCs w:val="21"/>
          <w:highlight w:val="none"/>
        </w:rPr>
        <w:t>号</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rPr>
        <w:t>2.项目名称：</w:t>
      </w:r>
      <w:r>
        <w:rPr>
          <w:rFonts w:hint="eastAsia" w:ascii="宋体" w:hAnsi="宋体" w:cs="宋体"/>
          <w:color w:val="auto"/>
          <w:szCs w:val="21"/>
          <w:highlight w:val="none"/>
          <w:lang w:val="en-US" w:eastAsia="zh-CN"/>
        </w:rPr>
        <w:t>温县施工图审查政府购买服务项目</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3.采购方式：竞争性磋商</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4.预算金额：165万元</w:t>
      </w:r>
    </w:p>
    <w:p>
      <w:pPr>
        <w:pageBreakBefore w:val="0"/>
        <w:kinsoku/>
        <w:wordWrap/>
        <w:overflowPunct/>
        <w:topLinePunct w:val="0"/>
        <w:autoSpaceDE/>
        <w:autoSpaceDN/>
        <w:bidi w:val="0"/>
        <w:adjustRightInd/>
        <w:snapToGrid/>
        <w:spacing w:line="380" w:lineRule="exact"/>
        <w:ind w:firstLine="630" w:firstLineChars="300"/>
        <w:textAlignment w:val="auto"/>
        <w:rPr>
          <w:rFonts w:ascii="宋体" w:hAnsi="宋体" w:cs="宋体"/>
          <w:color w:val="auto"/>
          <w:szCs w:val="21"/>
          <w:highlight w:val="none"/>
        </w:rPr>
      </w:pPr>
      <w:r>
        <w:rPr>
          <w:rFonts w:hint="eastAsia" w:ascii="宋体" w:hAnsi="宋体" w:cs="宋体"/>
          <w:color w:val="auto"/>
          <w:szCs w:val="21"/>
          <w:highlight w:val="none"/>
          <w:lang w:eastAsia="zh-CN"/>
        </w:rPr>
        <w:t>最高限价</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165</w:t>
      </w:r>
      <w:r>
        <w:rPr>
          <w:rFonts w:hint="eastAsia" w:ascii="宋体" w:hAnsi="宋体" w:cs="宋体"/>
          <w:color w:val="auto"/>
          <w:szCs w:val="21"/>
          <w:highlight w:val="none"/>
        </w:rPr>
        <w:t>万元</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317"/>
        <w:gridCol w:w="2385"/>
        <w:gridCol w:w="149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序号</w:t>
            </w:r>
          </w:p>
        </w:tc>
        <w:tc>
          <w:tcPr>
            <w:tcW w:w="2317"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包号</w:t>
            </w:r>
          </w:p>
        </w:tc>
        <w:tc>
          <w:tcPr>
            <w:tcW w:w="238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包名称</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包预算（元）</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Cs w:val="21"/>
                <w:lang w:val="en-US" w:eastAsia="zh-CN"/>
              </w:rPr>
            </w:pPr>
            <w:r>
              <w:rPr>
                <w:rFonts w:hint="eastAsia" w:ascii="宋体" w:hAnsi="宋体" w:cs="宋体"/>
                <w:szCs w:val="21"/>
                <w:lang w:val="en-US" w:eastAsia="zh-CN"/>
              </w:rPr>
              <w:t>1</w:t>
            </w:r>
          </w:p>
        </w:tc>
        <w:tc>
          <w:tcPr>
            <w:tcW w:w="2317"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Cs w:val="21"/>
                <w:lang w:val="en-US" w:eastAsia="zh-CN"/>
              </w:rPr>
            </w:pPr>
            <w:r>
              <w:rPr>
                <w:rFonts w:hint="eastAsia" w:ascii="宋体" w:hAnsi="宋体" w:cs="宋体"/>
                <w:color w:val="auto"/>
                <w:szCs w:val="21"/>
                <w:highlight w:val="none"/>
              </w:rPr>
              <w:t>温</w:t>
            </w:r>
            <w:r>
              <w:rPr>
                <w:rFonts w:hint="eastAsia" w:ascii="宋体" w:hAnsi="宋体" w:cs="宋体"/>
                <w:color w:val="auto"/>
                <w:szCs w:val="21"/>
                <w:highlight w:val="none"/>
                <w:lang w:eastAsia="zh-CN"/>
              </w:rPr>
              <w:t>交易</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58</w:t>
            </w:r>
            <w:r>
              <w:rPr>
                <w:rFonts w:hint="eastAsia" w:ascii="宋体" w:hAnsi="宋体" w:cs="宋体"/>
                <w:color w:val="auto"/>
                <w:szCs w:val="21"/>
                <w:highlight w:val="none"/>
              </w:rPr>
              <w:t>号</w:t>
            </w:r>
            <w:r>
              <w:rPr>
                <w:rFonts w:hint="eastAsia" w:ascii="宋体" w:hAnsi="宋体" w:cs="宋体"/>
                <w:color w:val="auto"/>
                <w:szCs w:val="21"/>
                <w:highlight w:val="none"/>
                <w:lang w:val="en-US" w:eastAsia="zh-CN"/>
              </w:rPr>
              <w:t>-3</w:t>
            </w:r>
          </w:p>
        </w:tc>
        <w:tc>
          <w:tcPr>
            <w:tcW w:w="2385" w:type="dxa"/>
            <w:noWrap w:val="0"/>
            <w:vAlign w:val="center"/>
          </w:tcPr>
          <w:p>
            <w:pPr>
              <w:keepNext w:val="0"/>
              <w:keepLines w:val="0"/>
              <w:pageBreakBefore w:val="0"/>
              <w:kinsoku/>
              <w:wordWrap/>
              <w:overflowPunct/>
              <w:topLinePunct w:val="0"/>
              <w:autoSpaceDE/>
              <w:autoSpaceDN/>
              <w:bidi w:val="0"/>
              <w:adjustRightInd/>
              <w:snapToGrid/>
              <w:spacing w:line="380" w:lineRule="exact"/>
              <w:ind w:left="420" w:leftChars="200" w:firstLine="0" w:firstLine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温县施工图审查政府购买服务项目（三包）</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490000</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490000</w:t>
            </w:r>
          </w:p>
        </w:tc>
      </w:tr>
    </w:tbl>
    <w:p>
      <w:pPr>
        <w:pageBreakBefore w:val="0"/>
        <w:numPr>
          <w:ilvl w:val="0"/>
          <w:numId w:val="0"/>
        </w:numPr>
        <w:kinsoku/>
        <w:wordWrap/>
        <w:overflowPunct/>
        <w:topLinePunct w:val="0"/>
        <w:autoSpaceDE/>
        <w:autoSpaceDN/>
        <w:bidi w:val="0"/>
        <w:adjustRightInd/>
        <w:snapToGrid/>
        <w:spacing w:line="380" w:lineRule="exact"/>
        <w:jc w:val="left"/>
        <w:textAlignment w:val="auto"/>
        <w:rPr>
          <w:rFonts w:hint="eastAsia" w:ascii="宋体" w:hAnsi="宋体" w:cs="宋体"/>
          <w:color w:val="auto"/>
          <w:szCs w:val="21"/>
          <w:highlight w:val="none"/>
        </w:rPr>
      </w:pPr>
    </w:p>
    <w:p>
      <w:pPr>
        <w:spacing w:line="440" w:lineRule="exact"/>
        <w:ind w:firstLine="210" w:firstLineChars="1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5.采购内容：温县房屋建筑和市政</w:t>
      </w:r>
      <w:r>
        <w:rPr>
          <w:rFonts w:hint="eastAsia" w:ascii="宋体" w:hAnsi="宋体" w:cs="宋体"/>
          <w:color w:val="auto"/>
          <w:szCs w:val="21"/>
          <w:highlight w:val="none"/>
          <w:lang w:eastAsia="zh-CN"/>
        </w:rPr>
        <w:t>工程施工图审查政府购买服务。</w:t>
      </w:r>
    </w:p>
    <w:p>
      <w:pPr>
        <w:spacing w:line="44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采购需求：</w:t>
      </w:r>
      <w:r>
        <w:rPr>
          <w:rFonts w:hint="eastAsia" w:ascii="宋体" w:hAnsi="宋体" w:eastAsia="宋体" w:cs="宋体"/>
          <w:color w:val="auto"/>
          <w:szCs w:val="21"/>
          <w:highlight w:val="none"/>
          <w:lang w:eastAsia="zh-CN"/>
        </w:rPr>
        <w:t>按照《关于贯彻落实河南省人民政府办公厅“联合图审”方案有关工作的通知》（豫建设【2019】57号）要求，为提高施工图联合审查服务质量和效率，温县住房和城乡建设局拟选择</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eastAsia="zh-CN"/>
        </w:rPr>
        <w:t>家施工图审查服务机构，承担温县行政区规划范围内建设项目图纸审查服务。</w:t>
      </w:r>
      <w:r>
        <w:rPr>
          <w:rFonts w:hint="eastAsia" w:ascii="宋体" w:hAnsi="宋体" w:eastAsia="宋体" w:cs="宋体"/>
          <w:color w:val="auto"/>
          <w:szCs w:val="21"/>
          <w:highlight w:val="none"/>
          <w:lang w:val="en-US" w:eastAsia="zh-CN"/>
        </w:rPr>
        <w:t>注：</w:t>
      </w:r>
      <w:r>
        <w:rPr>
          <w:rFonts w:hint="eastAsia" w:ascii="宋体" w:hAnsi="宋体" w:cs="宋体"/>
          <w:color w:val="auto"/>
          <w:szCs w:val="21"/>
          <w:highlight w:val="none"/>
          <w:lang w:val="en-US" w:eastAsia="zh-CN"/>
        </w:rPr>
        <w:t>选定1家市政项目施工图审查服务机构</w:t>
      </w:r>
      <w:r>
        <w:rPr>
          <w:rFonts w:hint="eastAsia" w:ascii="宋体" w:hAnsi="宋体" w:eastAsia="宋体" w:cs="宋体"/>
          <w:color w:val="auto"/>
          <w:szCs w:val="21"/>
          <w:highlight w:val="none"/>
          <w:lang w:eastAsia="zh-CN"/>
        </w:rPr>
        <w:t>（包括但不限于标的的名称、数量、简要技术需求或服务要求等）。</w:t>
      </w:r>
    </w:p>
    <w:p>
      <w:pPr>
        <w:pageBreakBefore w:val="0"/>
        <w:numPr>
          <w:ilvl w:val="0"/>
          <w:numId w:val="0"/>
        </w:numPr>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资金来源：</w:t>
      </w:r>
      <w:r>
        <w:rPr>
          <w:rFonts w:hint="eastAsia" w:ascii="宋体" w:hAnsi="宋体" w:cs="宋体"/>
          <w:color w:val="auto"/>
          <w:szCs w:val="21"/>
          <w:highlight w:val="none"/>
          <w:lang w:eastAsia="zh-CN"/>
        </w:rPr>
        <w:t>县</w:t>
      </w:r>
      <w:r>
        <w:rPr>
          <w:rFonts w:hint="eastAsia" w:ascii="宋体" w:hAnsi="宋体" w:eastAsia="宋体" w:cs="宋体"/>
          <w:color w:val="auto"/>
          <w:szCs w:val="21"/>
          <w:highlight w:val="none"/>
          <w:lang w:eastAsia="zh-CN"/>
        </w:rPr>
        <w:t>财政资金。</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.质量要求：</w:t>
      </w:r>
      <w:r>
        <w:rPr>
          <w:rFonts w:hint="eastAsia" w:ascii="宋体" w:hAnsi="宋体" w:eastAsia="宋体" w:cs="宋体"/>
          <w:color w:val="auto"/>
          <w:szCs w:val="21"/>
          <w:highlight w:val="none"/>
          <w:lang w:eastAsia="zh-CN"/>
        </w:rPr>
        <w:t>合格，满足国家及</w:t>
      </w:r>
      <w:r>
        <w:rPr>
          <w:rFonts w:hint="eastAsia" w:ascii="宋体" w:hAnsi="宋体" w:cs="宋体"/>
          <w:color w:val="auto"/>
          <w:szCs w:val="21"/>
          <w:highlight w:val="none"/>
          <w:lang w:eastAsia="zh-CN"/>
        </w:rPr>
        <w:t>相关</w:t>
      </w:r>
      <w:r>
        <w:rPr>
          <w:rFonts w:hint="eastAsia" w:ascii="宋体" w:hAnsi="宋体" w:eastAsia="宋体" w:cs="宋体"/>
          <w:color w:val="auto"/>
          <w:szCs w:val="21"/>
          <w:highlight w:val="none"/>
          <w:lang w:eastAsia="zh-CN"/>
        </w:rPr>
        <w:t>行业规范</w:t>
      </w:r>
      <w:r>
        <w:rPr>
          <w:rFonts w:hint="eastAsia" w:ascii="宋体" w:hAnsi="宋体" w:cs="宋体"/>
          <w:color w:val="auto"/>
          <w:szCs w:val="21"/>
          <w:highlight w:val="none"/>
          <w:lang w:eastAsia="zh-CN"/>
        </w:rPr>
        <w:t>及标准</w:t>
      </w:r>
      <w:r>
        <w:rPr>
          <w:rFonts w:hint="eastAsia" w:ascii="宋体" w:hAnsi="宋体" w:eastAsia="宋体" w:cs="宋体"/>
          <w:color w:val="auto"/>
          <w:szCs w:val="21"/>
          <w:highlight w:val="none"/>
          <w:lang w:eastAsia="zh-CN"/>
        </w:rPr>
        <w:t>。</w:t>
      </w:r>
    </w:p>
    <w:p>
      <w:pPr>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eastAsia="zh-CN"/>
        </w:rPr>
        <w:t>.合同履行期限：</w:t>
      </w:r>
      <w:r>
        <w:rPr>
          <w:rFonts w:hint="eastAsia" w:ascii="宋体" w:hAnsi="宋体" w:eastAsia="宋体" w:cs="宋体"/>
          <w:color w:val="auto"/>
          <w:szCs w:val="21"/>
          <w:highlight w:val="none"/>
          <w:lang w:val="en-US" w:eastAsia="zh-CN"/>
        </w:rPr>
        <w:t>自合同签订生效之日起</w:t>
      </w:r>
      <w:r>
        <w:rPr>
          <w:rFonts w:hint="eastAsia" w:ascii="宋体" w:hAnsi="宋体" w:cs="宋体"/>
          <w:color w:val="auto"/>
          <w:szCs w:val="21"/>
          <w:highlight w:val="none"/>
          <w:lang w:val="en-US" w:eastAsia="zh-CN"/>
        </w:rPr>
        <w:t>一</w:t>
      </w:r>
      <w:r>
        <w:rPr>
          <w:rFonts w:hint="eastAsia" w:ascii="宋体" w:hAnsi="宋体" w:eastAsia="宋体" w:cs="宋体"/>
          <w:color w:val="auto"/>
          <w:szCs w:val="21"/>
          <w:highlight w:val="none"/>
          <w:lang w:val="en-US" w:eastAsia="zh-CN"/>
        </w:rPr>
        <w:t>年。</w:t>
      </w:r>
    </w:p>
    <w:p>
      <w:pPr>
        <w:spacing w:line="44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9.</w:t>
      </w:r>
      <w:r>
        <w:rPr>
          <w:rFonts w:hint="default" w:ascii="宋体" w:hAnsi="宋体" w:eastAsia="宋体" w:cs="宋体"/>
          <w:color w:val="auto"/>
          <w:szCs w:val="21"/>
          <w:highlight w:val="none"/>
          <w:lang w:val="en-US" w:eastAsia="zh-CN"/>
        </w:rPr>
        <w:t>是否接受进口产品：否</w:t>
      </w:r>
    </w:p>
    <w:p>
      <w:pPr>
        <w:pageBreakBefore w:val="0"/>
        <w:numPr>
          <w:ilvl w:val="0"/>
          <w:numId w:val="0"/>
        </w:numPr>
        <w:kinsoku/>
        <w:wordWrap/>
        <w:overflowPunct/>
        <w:topLinePunct w:val="0"/>
        <w:autoSpaceDE/>
        <w:autoSpaceDN/>
        <w:bidi w:val="0"/>
        <w:adjustRightInd/>
        <w:snapToGrid/>
        <w:spacing w:line="380" w:lineRule="exact"/>
        <w:ind w:firstLine="420" w:firstLineChars="200"/>
        <w:jc w:val="left"/>
        <w:textAlignment w:val="auto"/>
        <w:rPr>
          <w:rFonts w:hint="eastAsia" w:eastAsia="宋体"/>
          <w:lang w:val="en-US" w:eastAsia="zh-CN"/>
        </w:rPr>
      </w:pPr>
      <w:r>
        <w:rPr>
          <w:rFonts w:hint="eastAsia" w:ascii="宋体" w:hAnsi="宋体" w:cs="宋体"/>
          <w:color w:val="auto"/>
          <w:szCs w:val="21"/>
          <w:highlight w:val="none"/>
          <w:lang w:val="en-US" w:eastAsia="zh-CN"/>
        </w:rPr>
        <w:t>10.</w:t>
      </w:r>
      <w:r>
        <w:rPr>
          <w:rFonts w:hint="default" w:ascii="宋体" w:hAnsi="宋体" w:cs="宋体"/>
          <w:color w:val="auto"/>
          <w:szCs w:val="21"/>
          <w:highlight w:val="none"/>
          <w:lang w:val="en-US" w:eastAsia="zh-CN"/>
        </w:rPr>
        <w:t>是否专门面向中小企业：</w:t>
      </w:r>
      <w:r>
        <w:rPr>
          <w:rFonts w:hint="eastAsia" w:ascii="宋体" w:hAnsi="宋体" w:cs="宋体"/>
          <w:color w:val="auto"/>
          <w:szCs w:val="21"/>
          <w:highlight w:val="none"/>
          <w:lang w:val="en-US" w:eastAsia="zh-CN"/>
        </w:rPr>
        <w:t>否</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二、申请人的资格要求：</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1.1具有独立承担民事责任的能力；</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1.2具有良好的商业信誉和健全的财务会计制度；</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1.3具有履行合同所必需的设备和专业技术能力；</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1.4有依法缴纳税收和社会保障资金的良好记录；</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1.5参加政府采购活动前三年内，在经营活动中没有重大违法记录；</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1.6法律、行政法规规定的其他条件；</w:t>
      </w:r>
    </w:p>
    <w:p>
      <w:pPr>
        <w:pStyle w:val="9"/>
        <w:pageBreakBefore w:val="0"/>
        <w:kinsoku/>
        <w:wordWrap/>
        <w:overflowPunct/>
        <w:topLinePunct w:val="0"/>
        <w:autoSpaceDE/>
        <w:autoSpaceDN/>
        <w:bidi w:val="0"/>
        <w:adjustRightInd/>
        <w:snapToGrid/>
        <w:spacing w:before="20" w:after="20" w:line="380" w:lineRule="exact"/>
        <w:ind w:firstLine="422" w:firstLineChars="200"/>
        <w:textAlignment w:val="auto"/>
        <w:rPr>
          <w:color w:val="auto"/>
          <w:highlight w:val="none"/>
        </w:rPr>
      </w:pPr>
      <w:r>
        <w:rPr>
          <w:rFonts w:hint="eastAsia" w:ascii="Times New Roman" w:hAnsi="Times New Roman"/>
          <w:color w:val="auto"/>
          <w:sz w:val="21"/>
          <w:szCs w:val="21"/>
          <w:highlight w:val="none"/>
        </w:rPr>
        <w:t>备注：供应商在投标（响应）时，按照规定提供相关信用承诺函，无需再提交1</w:t>
      </w:r>
      <w:r>
        <w:rPr>
          <w:rFonts w:ascii="Times New Roman" w:hAnsi="Times New Roman"/>
          <w:color w:val="auto"/>
          <w:sz w:val="21"/>
          <w:szCs w:val="21"/>
          <w:highlight w:val="none"/>
        </w:rPr>
        <w:t>.1-1.5</w:t>
      </w:r>
      <w:r>
        <w:rPr>
          <w:rFonts w:hint="eastAsia" w:ascii="Times New Roman" w:hAnsi="Times New Roman"/>
          <w:color w:val="auto"/>
          <w:sz w:val="21"/>
          <w:szCs w:val="21"/>
          <w:highlight w:val="none"/>
        </w:rPr>
        <w:t>证明材料。</w:t>
      </w:r>
    </w:p>
    <w:p>
      <w:pPr>
        <w:spacing w:before="147" w:line="380" w:lineRule="exact"/>
        <w:ind w:left="35" w:right="71" w:firstLine="434" w:firstLineChars="207"/>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落实政府采购政策需满足的资格要求：本项目落实节能环保、中小微企业扶持、促进残疾人就业等相关政府采购政策。</w:t>
      </w:r>
    </w:p>
    <w:p>
      <w:pPr>
        <w:pageBreakBefore w:val="0"/>
        <w:numPr>
          <w:ilvl w:val="0"/>
          <w:numId w:val="0"/>
        </w:numPr>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3.本项目</w:t>
      </w:r>
      <w:r>
        <w:rPr>
          <w:rFonts w:hint="eastAsia" w:ascii="宋体" w:hAnsi="宋体" w:cs="宋体"/>
          <w:color w:val="auto"/>
          <w:szCs w:val="21"/>
          <w:highlight w:val="none"/>
          <w:lang w:eastAsia="zh-CN"/>
        </w:rPr>
        <w:t>特定</w:t>
      </w:r>
      <w:r>
        <w:rPr>
          <w:rFonts w:hint="eastAsia" w:ascii="宋体" w:hAnsi="宋体" w:cs="宋体"/>
          <w:color w:val="auto"/>
          <w:szCs w:val="21"/>
          <w:highlight w:val="none"/>
        </w:rPr>
        <w:t>资格要求：</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3.1</w:t>
      </w:r>
      <w:r>
        <w:rPr>
          <w:rFonts w:hint="eastAsia" w:ascii="宋体" w:hAnsi="宋体" w:cs="宋体"/>
          <w:color w:val="auto"/>
          <w:szCs w:val="21"/>
          <w:highlight w:val="none"/>
          <w:lang w:eastAsia="zh-CN"/>
        </w:rPr>
        <w:t>供应商需具</w:t>
      </w:r>
      <w:r>
        <w:rPr>
          <w:rFonts w:hint="eastAsia" w:ascii="宋体" w:hAnsi="宋体" w:eastAsia="宋体" w:cs="宋体"/>
          <w:color w:val="auto"/>
          <w:szCs w:val="21"/>
          <w:highlight w:val="none"/>
          <w:lang w:eastAsia="zh-CN"/>
        </w:rPr>
        <w:t>备建设行政主管部门颁发的施工图设计文件审查机构市政基础设施工程一类资格证书；</w:t>
      </w:r>
    </w:p>
    <w:p>
      <w:pPr>
        <w:spacing w:line="440" w:lineRule="exact"/>
        <w:ind w:firstLine="632" w:firstLineChars="300"/>
        <w:rPr>
          <w:rFonts w:ascii="宋体" w:hAnsi="宋体" w:eastAsia="宋体" w:cs="宋体"/>
          <w:color w:val="333333"/>
          <w:sz w:val="21"/>
          <w:szCs w:val="21"/>
        </w:rPr>
      </w:pPr>
      <w:r>
        <w:rPr>
          <w:rFonts w:hint="eastAsia" w:ascii="宋体" w:hAnsi="宋体" w:eastAsia="宋体" w:cs="宋体"/>
          <w:b/>
          <w:bCs/>
          <w:sz w:val="21"/>
          <w:szCs w:val="21"/>
        </w:rPr>
        <w:t>一个投标人可同时投多个标段，只允许中一个标段。若出现投标人在多个标段均为第一中标候选人时，则按金额较大标段优先中标，其它标段按中标候选人排序顺延中标。</w:t>
      </w:r>
    </w:p>
    <w:p>
      <w:pPr>
        <w:pStyle w:val="45"/>
        <w:keepNext w:val="0"/>
        <w:keepLines w:val="0"/>
        <w:pageBreakBefore w:val="0"/>
        <w:kinsoku/>
        <w:wordWrap/>
        <w:overflowPunct/>
        <w:topLinePunct w:val="0"/>
        <w:bidi w:val="0"/>
        <w:snapToGrid/>
        <w:spacing w:line="480" w:lineRule="exact"/>
        <w:ind w:left="0" w:lef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3.2符合《房屋建筑和市政基础设施工程施工图设计文件审查管理办法》（住房和城乡建设部令第13号）的资格管理规定，具有施工图审查服务能力和履行合同能力的企业,且须符合豫建设【2019】57号文的要求；</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eastAsia="宋体" w:cs="宋体"/>
          <w:color w:val="auto"/>
          <w:szCs w:val="21"/>
          <w:highlight w:val="none"/>
          <w:lang w:val="en-US" w:eastAsia="zh-CN"/>
        </w:rPr>
        <w:t>3.3</w:t>
      </w:r>
      <w:r>
        <w:rPr>
          <w:rFonts w:hint="eastAsia" w:ascii="宋体" w:hAnsi="宋体" w:eastAsia="宋体" w:cs="宋体"/>
          <w:color w:val="auto"/>
          <w:szCs w:val="21"/>
          <w:highlight w:val="none"/>
          <w:lang w:eastAsia="zh-CN"/>
        </w:rPr>
        <w:t>信誉要求：根据《关于在政府采购活动中查询及使用信用记</w:t>
      </w:r>
      <w:r>
        <w:rPr>
          <w:rFonts w:hint="eastAsia" w:ascii="宋体" w:hAnsi="宋体" w:cs="宋体"/>
          <w:color w:val="auto"/>
          <w:szCs w:val="21"/>
          <w:highlight w:val="none"/>
        </w:rPr>
        <w:t>录有关问题的通知》(财库[2016]125号)的规定，</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通过“信用中国”网（www.creditchina.gov.cn）、中国政府采购网（www.ccgp.gov.cn）等渠道在资格审查环节查询投标人信用记录，被列入失信被执行人、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、政府采购严重违法失信行为记录名单的单位将被拒绝参与本项目政府采购活动；信用信息查询记录和证据将同采购文件等资料一同归档保存。（网站查询时间为磋商公告发布之后）；</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必须提供无行贿犯罪记录承诺书，(出具由“中国裁判文书网”网站查询近三年来法人、法定代表人、</w:t>
      </w:r>
      <w:r>
        <w:rPr>
          <w:rFonts w:hint="eastAsia" w:ascii="宋体" w:hAnsi="宋体" w:cs="宋体"/>
          <w:color w:val="auto"/>
          <w:szCs w:val="21"/>
          <w:highlight w:val="none"/>
          <w:lang w:eastAsia="zh-CN"/>
        </w:rPr>
        <w:t>授权</w:t>
      </w:r>
      <w:r>
        <w:rPr>
          <w:rFonts w:hint="eastAsia" w:ascii="宋体" w:hAnsi="宋体" w:cs="宋体"/>
          <w:color w:val="auto"/>
          <w:szCs w:val="21"/>
          <w:highlight w:val="none"/>
        </w:rPr>
        <w:t>委托人无行贿犯罪记录网页截图)；若有行贿犯罪记录则取消其投标资格；（</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需提供网站查询截图，查询时间为磋商公告发布之后）；</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供应商必须提供投标承诺函。</w:t>
      </w:r>
    </w:p>
    <w:p>
      <w:pPr>
        <w:numPr>
          <w:ilvl w:val="0"/>
          <w:numId w:val="0"/>
        </w:numPr>
        <w:spacing w:line="400" w:lineRule="exact"/>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3.6</w:t>
      </w:r>
      <w:r>
        <w:rPr>
          <w:rFonts w:hint="eastAsia" w:ascii="宋体" w:hAnsi="宋体" w:eastAsia="宋体" w:cs="宋体"/>
          <w:color w:val="auto"/>
          <w:kern w:val="2"/>
          <w:sz w:val="21"/>
          <w:szCs w:val="21"/>
          <w:highlight w:val="none"/>
          <w:lang w:val="en-US" w:eastAsia="zh-CN" w:bidi="ar-SA"/>
        </w:rPr>
        <w:t>本项目不接受联合体投标。</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三、获取磋商文件:</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7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6</w:t>
      </w:r>
      <w:r>
        <w:rPr>
          <w:rFonts w:hint="eastAsia" w:ascii="宋体" w:hAnsi="宋体" w:cs="宋体"/>
          <w:color w:val="auto"/>
          <w:szCs w:val="21"/>
          <w:highlight w:val="none"/>
          <w:u w:val="single"/>
        </w:rPr>
        <w:t>日至</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12</w:t>
      </w:r>
      <w:r>
        <w:rPr>
          <w:rFonts w:hint="eastAsia" w:ascii="宋体" w:hAnsi="宋体" w:cs="宋体"/>
          <w:color w:val="auto"/>
          <w:szCs w:val="21"/>
          <w:highlight w:val="none"/>
          <w:u w:val="single"/>
        </w:rPr>
        <w:t>日</w:t>
      </w:r>
      <w:r>
        <w:rPr>
          <w:rFonts w:hint="eastAsia" w:ascii="宋体" w:hAnsi="宋体" w:cs="宋体"/>
          <w:color w:val="auto"/>
          <w:szCs w:val="21"/>
          <w:highlight w:val="none"/>
        </w:rPr>
        <w:t>，每天上午8：00至12:00，下午12:00至23:00（北京时间，法定节假日除外）；</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地点：焦作市公共资源交易中心网站；</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售价：0元；</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方式：本项目采用网上获取磋商文件，凡有意参加投标者，请登陆焦作市公共资源交易中心网站会员系统进行网上下载磋商文件。</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特别提醒：获取磋商文件前请到焦作市公共资源交易中心官网首页---下载中心--下载《焦作市电子招投标系统操作手册》按要求下载磋商文件。平台统一技术服务电话为：400-998-0000，服务QQ：4008503300，服务时间：周一至周日8：00-17：30。凡未在规定时间内获取磋商文件的视为无效标。</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四、提交磋商响应文件截止时间、开标时间和地点:</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 17 </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 xml:space="preserve">  9 </w:t>
      </w:r>
      <w:r>
        <w:rPr>
          <w:rFonts w:hint="eastAsia" w:ascii="宋体" w:hAnsi="宋体" w:cs="宋体"/>
          <w:color w:val="auto"/>
          <w:szCs w:val="21"/>
          <w:highlight w:val="none"/>
          <w:u w:val="single"/>
        </w:rPr>
        <w:t xml:space="preserve">点 </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 xml:space="preserve"> 分</w:t>
      </w:r>
      <w:r>
        <w:rPr>
          <w:rFonts w:hint="eastAsia" w:ascii="宋体" w:hAnsi="宋体" w:cs="宋体"/>
          <w:color w:val="auto"/>
          <w:szCs w:val="21"/>
          <w:highlight w:val="none"/>
        </w:rPr>
        <w:t>（北京时间）；</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地点：温县公共资源交易中心开标室（具体详见开标当日公示牌）。</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五、公告期限：自本公告发布之日起5个工作日。</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六、其他补充事宜：</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本项目采用“远程不见面”的开标方式，潜在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文件制作和上传等。为避免网络拥堵等不可控因素影响</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文件的上传，请提前上传</w:t>
      </w:r>
      <w:r>
        <w:rPr>
          <w:rFonts w:hint="eastAsia" w:ascii="宋体" w:hAnsi="宋体" w:cs="宋体"/>
          <w:color w:val="auto"/>
          <w:szCs w:val="21"/>
          <w:highlight w:val="none"/>
          <w:lang w:eastAsia="zh-CN"/>
        </w:rPr>
        <w:t>电子响应</w:t>
      </w:r>
      <w:r>
        <w:rPr>
          <w:rFonts w:hint="eastAsia" w:ascii="宋体" w:hAnsi="宋体" w:cs="宋体"/>
          <w:color w:val="auto"/>
          <w:szCs w:val="21"/>
          <w:highlight w:val="none"/>
        </w:rPr>
        <w:t>文件，并在开标截止时间前登录不见面开标大厅（http://122.112.246.33/BidOpening/bidopeninghallaction/hall/login ）进行签到，按要求解密</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文件。因文件未及时上传导致投标失败的责任由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自行承担，具体要求详见</w:t>
      </w:r>
      <w:r>
        <w:rPr>
          <w:rFonts w:hint="eastAsia" w:ascii="宋体" w:hAnsi="宋体" w:cs="宋体"/>
          <w:color w:val="auto"/>
          <w:szCs w:val="21"/>
          <w:highlight w:val="none"/>
          <w:lang w:eastAsia="zh-CN"/>
        </w:rPr>
        <w:t>竞争性磋商</w:t>
      </w:r>
      <w:r>
        <w:rPr>
          <w:rFonts w:hint="eastAsia" w:ascii="宋体" w:hAnsi="宋体" w:cs="宋体"/>
          <w:color w:val="auto"/>
          <w:szCs w:val="21"/>
          <w:highlight w:val="none"/>
        </w:rPr>
        <w:t>文件。 平台统一技术服务电话：400-998-0000，服务 QQ：4008503300，服务时间：周一至周日 8：00-17：30。</w:t>
      </w:r>
    </w:p>
    <w:p>
      <w:pPr>
        <w:pageBreakBefore w:val="0"/>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cs="宋体"/>
          <w:color w:val="auto"/>
          <w:szCs w:val="21"/>
          <w:highlight w:val="none"/>
        </w:rPr>
        <w:t>加密电子</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文件须在焦作市公共资源交易中心电子交易平台中加密上传，上传时必须得到电脑“上传成功”的确认回复后方为上传成功。</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无需到现场参加开标会议，无需到达现场提交原件资料。</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应当在投标截止前，登录远程开标大厅</w:t>
      </w:r>
      <w:r>
        <w:rPr>
          <w:rFonts w:hint="eastAsia" w:ascii="宋体" w:hAnsi="宋体" w:cs="宋体"/>
          <w:color w:val="auto"/>
          <w:szCs w:val="21"/>
          <w:highlight w:val="none"/>
          <w:lang w:val="en-US" w:eastAsia="zh-CN"/>
        </w:rPr>
        <w:t>进行签到，</w:t>
      </w:r>
      <w:r>
        <w:rPr>
          <w:rFonts w:hint="eastAsia" w:ascii="宋体" w:hAnsi="宋体" w:cs="宋体"/>
          <w:color w:val="auto"/>
          <w:szCs w:val="21"/>
          <w:highlight w:val="none"/>
        </w:rPr>
        <w:t>在线准时参加开标活动并进行文件解密、答疑澄清等。</w:t>
      </w:r>
      <w:r>
        <w:rPr>
          <w:rFonts w:hint="eastAsia" w:ascii="宋体" w:hAnsi="宋体" w:eastAsia="宋体" w:cs="宋体"/>
          <w:color w:val="auto"/>
          <w:szCs w:val="21"/>
          <w:highlight w:val="none"/>
          <w:lang w:val="en-US" w:eastAsia="zh-CN"/>
        </w:rPr>
        <w:t>各潜在供应商因加密电子响应性文件未能成功上传，其投标将被拒绝。供应商需在响应文件提交截止时间后 30分钟内完成解密，未在规定时间内投标文件未解密的投标人，视为放弃投标</w:t>
      </w:r>
      <w:r>
        <w:rPr>
          <w:rFonts w:hint="eastAsia" w:ascii="宋体" w:hAnsi="宋体" w:eastAsia="宋体" w:cs="宋体"/>
          <w:color w:val="auto"/>
          <w:szCs w:val="21"/>
          <w:highlight w:val="none"/>
        </w:rPr>
        <w:t>。</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本次磋商公告同时在《河南省政府采购网》、《焦作市公共资源交易中心网》、《温县公共资源交易中心网》上发布。</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七、对本次招标提出询问，请按以下方式联系:</w:t>
      </w:r>
    </w:p>
    <w:p>
      <w:pPr>
        <w:spacing w:line="440" w:lineRule="exact"/>
        <w:ind w:firstLine="420" w:firstLineChars="200"/>
        <w:rPr>
          <w:rFonts w:ascii="宋体" w:hAnsi="宋体" w:cs="宋体"/>
          <w:szCs w:val="21"/>
        </w:rPr>
      </w:pPr>
      <w:r>
        <w:rPr>
          <w:rFonts w:hint="eastAsia" w:ascii="宋体" w:hAnsi="宋体" w:cs="宋体"/>
          <w:szCs w:val="21"/>
        </w:rPr>
        <w:t>1.采购人信息：</w:t>
      </w:r>
    </w:p>
    <w:p>
      <w:pPr>
        <w:spacing w:line="440" w:lineRule="exact"/>
        <w:ind w:firstLine="420" w:firstLineChars="200"/>
        <w:rPr>
          <w:rFonts w:hint="eastAsia" w:ascii="宋体" w:hAnsi="宋体" w:eastAsia="宋体" w:cs="宋体"/>
          <w:szCs w:val="21"/>
          <w:lang w:eastAsia="zh-CN"/>
        </w:rPr>
      </w:pPr>
      <w:r>
        <w:rPr>
          <w:rFonts w:hint="eastAsia" w:ascii="宋体" w:hAnsi="宋体" w:eastAsia="宋体" w:cs="宋体"/>
          <w:szCs w:val="21"/>
        </w:rPr>
        <w:t>名    称：</w:t>
      </w:r>
      <w:r>
        <w:rPr>
          <w:rFonts w:hint="eastAsia" w:ascii="宋体" w:hAnsi="宋体" w:cs="宋体"/>
          <w:szCs w:val="21"/>
          <w:lang w:eastAsia="zh-CN"/>
        </w:rPr>
        <w:t>温县住房和城乡建设局</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地    址：</w:t>
      </w:r>
      <w:r>
        <w:rPr>
          <w:rFonts w:hint="eastAsia" w:ascii="宋体" w:hAnsi="宋体" w:eastAsia="宋体" w:cs="宋体"/>
          <w:szCs w:val="21"/>
        </w:rPr>
        <w:fldChar w:fldCharType="begin"/>
      </w:r>
      <w:r>
        <w:rPr>
          <w:rFonts w:hint="eastAsia" w:ascii="宋体" w:hAnsi="宋体" w:eastAsia="宋体" w:cs="宋体"/>
          <w:szCs w:val="21"/>
        </w:rPr>
        <w:instrText xml:space="preserve"> HYPERLINK "https://ditu.so.com/?pid=323b648113a94896&amp;src=onebox" \t "https://www.so.com/_blank" </w:instrText>
      </w:r>
      <w:r>
        <w:rPr>
          <w:rFonts w:hint="eastAsia" w:ascii="宋体" w:hAnsi="宋体" w:eastAsia="宋体" w:cs="宋体"/>
          <w:szCs w:val="21"/>
        </w:rPr>
        <w:fldChar w:fldCharType="separate"/>
      </w:r>
      <w:r>
        <w:rPr>
          <w:rFonts w:hint="eastAsia" w:ascii="宋体" w:hAnsi="宋体" w:eastAsia="宋体" w:cs="宋体"/>
          <w:szCs w:val="21"/>
        </w:rPr>
        <w:t>温县</w:t>
      </w:r>
      <w:r>
        <w:rPr>
          <w:rFonts w:hint="eastAsia" w:ascii="宋体" w:hAnsi="宋体" w:cs="宋体"/>
          <w:szCs w:val="21"/>
          <w:lang w:eastAsia="zh-CN"/>
        </w:rPr>
        <w:t>黄河路</w:t>
      </w:r>
      <w:r>
        <w:rPr>
          <w:rFonts w:hint="eastAsia" w:ascii="宋体" w:hAnsi="宋体" w:cs="宋体"/>
          <w:szCs w:val="21"/>
          <w:lang w:val="en-US" w:eastAsia="zh-CN"/>
        </w:rPr>
        <w:t>中</w:t>
      </w:r>
      <w:r>
        <w:rPr>
          <w:rFonts w:hint="eastAsia" w:ascii="宋体" w:hAnsi="宋体" w:eastAsia="宋体" w:cs="宋体"/>
          <w:szCs w:val="21"/>
        </w:rPr>
        <w:fldChar w:fldCharType="end"/>
      </w:r>
      <w:r>
        <w:rPr>
          <w:rFonts w:hint="eastAsia" w:ascii="宋体" w:hAnsi="宋体" w:eastAsia="宋体" w:cs="宋体"/>
          <w:szCs w:val="21"/>
          <w:lang w:val="en-US" w:eastAsia="zh-CN"/>
        </w:rPr>
        <w:t>段</w:t>
      </w:r>
    </w:p>
    <w:p>
      <w:pPr>
        <w:spacing w:line="440" w:lineRule="exact"/>
        <w:ind w:firstLine="420" w:firstLineChars="20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联 系 人：</w:t>
      </w:r>
      <w:r>
        <w:rPr>
          <w:rFonts w:hint="eastAsia" w:ascii="宋体" w:hAnsi="宋体" w:cs="宋体"/>
          <w:color w:val="000000" w:themeColor="text1"/>
          <w:szCs w:val="21"/>
          <w:lang w:val="en-US" w:eastAsia="zh-CN"/>
          <w14:textFill>
            <w14:solidFill>
              <w14:schemeClr w14:val="tx1"/>
            </w14:solidFill>
          </w14:textFill>
        </w:rPr>
        <w:t>苗女士</w:t>
      </w:r>
    </w:p>
    <w:p>
      <w:pPr>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联系方式：</w:t>
      </w:r>
      <w:r>
        <w:rPr>
          <w:rFonts w:hint="eastAsia" w:ascii="宋体" w:hAnsi="宋体" w:cs="宋体"/>
          <w:color w:val="000000" w:themeColor="text1"/>
          <w:szCs w:val="21"/>
          <w:lang w:val="en-US" w:eastAsia="zh-CN"/>
          <w14:textFill>
            <w14:solidFill>
              <w14:schemeClr w14:val="tx1"/>
            </w14:solidFill>
          </w14:textFill>
        </w:rPr>
        <w:t>0391-6193513</w:t>
      </w:r>
      <w:r>
        <w:rPr>
          <w:rFonts w:hint="eastAsia" w:ascii="宋体" w:hAnsi="宋体" w:cs="宋体"/>
          <w:color w:val="000000" w:themeColor="text1"/>
          <w:szCs w:val="21"/>
          <w14:textFill>
            <w14:solidFill>
              <w14:schemeClr w14:val="tx1"/>
            </w14:solidFill>
          </w14:textFill>
        </w:rPr>
        <w:t xml:space="preserve">  </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名      称：</w:t>
      </w:r>
      <w:r>
        <w:rPr>
          <w:rFonts w:hint="eastAsia" w:ascii="宋体" w:hAnsi="宋体" w:cs="宋体"/>
          <w:szCs w:val="21"/>
          <w:lang w:val="en-US" w:eastAsia="zh-CN"/>
        </w:rPr>
        <w:t>智博国际工程咨询有限公司</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地      址：郑州市西三环与北三环交叉口国家大学科技园（东区）18 号楼 D 座 2 层</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联 系 人：</w:t>
      </w:r>
      <w:r>
        <w:rPr>
          <w:rFonts w:hint="eastAsia" w:ascii="宋体" w:hAnsi="宋体" w:cs="宋体"/>
          <w:szCs w:val="21"/>
          <w:lang w:val="en-US" w:eastAsia="zh-CN"/>
        </w:rPr>
        <w:t>王</w:t>
      </w:r>
      <w:r>
        <w:rPr>
          <w:rFonts w:hint="eastAsia" w:ascii="宋体" w:hAnsi="宋体" w:eastAsia="宋体" w:cs="宋体"/>
          <w:szCs w:val="21"/>
          <w:lang w:val="en-US" w:eastAsia="zh-CN"/>
        </w:rPr>
        <w:t>女士</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rPr>
        <w:t>联 系 方 式：1</w:t>
      </w:r>
      <w:r>
        <w:rPr>
          <w:rFonts w:hint="eastAsia" w:ascii="宋体" w:hAnsi="宋体" w:cs="宋体"/>
          <w:szCs w:val="21"/>
          <w:lang w:val="en-US" w:eastAsia="zh-CN"/>
        </w:rPr>
        <w:t>5139140378</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3.项目联系方式</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项目联系人：</w:t>
      </w:r>
      <w:r>
        <w:rPr>
          <w:rFonts w:hint="eastAsia" w:ascii="宋体" w:hAnsi="宋体" w:cs="宋体"/>
          <w:szCs w:val="21"/>
          <w:lang w:eastAsia="zh-CN"/>
        </w:rPr>
        <w:t>王</w:t>
      </w:r>
      <w:r>
        <w:rPr>
          <w:rFonts w:hint="eastAsia" w:ascii="宋体" w:hAnsi="宋体" w:eastAsia="宋体" w:cs="宋体"/>
          <w:szCs w:val="21"/>
        </w:rPr>
        <w:t>女士</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rPr>
        <w:t xml:space="preserve">电   </w:t>
      </w:r>
      <w:r>
        <w:rPr>
          <w:rFonts w:hint="eastAsia" w:ascii="宋体" w:hAnsi="宋体" w:eastAsia="宋体" w:cs="宋体"/>
          <w:szCs w:val="21"/>
          <w:lang w:val="en-US" w:eastAsia="zh-CN"/>
        </w:rPr>
        <w:t xml:space="preserve"> </w:t>
      </w:r>
      <w:r>
        <w:rPr>
          <w:rFonts w:hint="eastAsia" w:ascii="宋体" w:hAnsi="宋体" w:eastAsia="宋体" w:cs="宋体"/>
          <w:szCs w:val="21"/>
        </w:rPr>
        <w:t>话：1</w:t>
      </w:r>
      <w:r>
        <w:rPr>
          <w:rFonts w:hint="eastAsia" w:ascii="宋体" w:hAnsi="宋体" w:cs="宋体"/>
          <w:szCs w:val="21"/>
          <w:lang w:val="en-US" w:eastAsia="zh-CN"/>
        </w:rPr>
        <w:t>5139140378</w:t>
      </w:r>
    </w:p>
    <w:p>
      <w:pPr>
        <w:spacing w:line="440" w:lineRule="exact"/>
        <w:ind w:firstLine="420" w:firstLineChars="200"/>
        <w:rPr>
          <w:rFonts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 xml:space="preserve">         </w:t>
      </w:r>
    </w:p>
    <w:p>
      <w:pPr>
        <w:spacing w:line="440" w:lineRule="exact"/>
        <w:ind w:firstLine="420" w:firstLineChars="200"/>
        <w:rPr>
          <w:rFonts w:ascii="宋体" w:hAnsi="宋体" w:cs="宋体"/>
          <w:b/>
          <w:bCs/>
          <w:color w:val="0070C0"/>
          <w:szCs w:val="21"/>
        </w:rPr>
      </w:pPr>
      <w:r>
        <w:rPr>
          <w:rFonts w:hint="eastAsia" w:ascii="宋体" w:hAnsi="宋体" w:cs="宋体"/>
          <w:szCs w:val="21"/>
        </w:rPr>
        <w:t>                                   </w:t>
      </w:r>
      <w:r>
        <w:rPr>
          <w:rFonts w:hint="eastAsia" w:ascii="宋体" w:hAnsi="宋体" w:cs="宋体"/>
          <w:color w:val="1F497D" w:themeColor="text2"/>
          <w:szCs w:val="21"/>
          <w14:textFill>
            <w14:solidFill>
              <w14:schemeClr w14:val="tx2"/>
            </w14:solidFill>
          </w14:textFill>
        </w:rPr>
        <w:t xml:space="preserve"> </w:t>
      </w:r>
      <w:r>
        <w:rPr>
          <w:rFonts w:hint="eastAsia" w:ascii="宋体" w:hAnsi="宋体" w:cs="宋体"/>
          <w:szCs w:val="21"/>
        </w:rPr>
        <w:t>202</w:t>
      </w:r>
      <w:r>
        <w:rPr>
          <w:rFonts w:hint="eastAsia" w:ascii="宋体" w:hAnsi="宋体" w:cs="宋体"/>
          <w:szCs w:val="21"/>
          <w:lang w:val="en-US" w:eastAsia="zh-CN"/>
        </w:rPr>
        <w:t>3</w:t>
      </w:r>
      <w:r>
        <w:rPr>
          <w:rFonts w:hint="eastAsia" w:ascii="宋体" w:hAnsi="宋体" w:cs="宋体"/>
          <w:szCs w:val="21"/>
        </w:rPr>
        <w:t xml:space="preserve">年 </w:t>
      </w:r>
      <w:r>
        <w:rPr>
          <w:rFonts w:hint="eastAsia" w:ascii="宋体" w:hAnsi="宋体" w:cs="宋体"/>
          <w:szCs w:val="21"/>
          <w:lang w:val="en-US" w:eastAsia="zh-CN"/>
        </w:rPr>
        <w:t xml:space="preserve">7 </w:t>
      </w:r>
      <w:r>
        <w:rPr>
          <w:rFonts w:hint="eastAsia" w:ascii="宋体" w:hAnsi="宋体" w:cs="宋体"/>
          <w:szCs w:val="21"/>
        </w:rPr>
        <w:t xml:space="preserve">月 </w:t>
      </w:r>
      <w:r>
        <w:rPr>
          <w:rFonts w:hint="eastAsia" w:ascii="宋体" w:hAnsi="宋体" w:cs="宋体"/>
          <w:szCs w:val="21"/>
          <w:lang w:val="en-US" w:eastAsia="zh-CN"/>
        </w:rPr>
        <w:t xml:space="preserve">5 </w:t>
      </w:r>
      <w:r>
        <w:rPr>
          <w:rFonts w:hint="eastAsia" w:ascii="宋体" w:hAnsi="宋体" w:cs="宋体"/>
          <w:szCs w:val="21"/>
        </w:rPr>
        <w:t>日</w:t>
      </w:r>
    </w:p>
    <w:p>
      <w:pPr>
        <w:spacing w:line="440" w:lineRule="exact"/>
        <w:ind w:firstLine="420" w:firstLineChars="200"/>
        <w:rPr>
          <w:rFonts w:ascii="宋体" w:hAnsi="宋体" w:cs="宋体"/>
          <w:szCs w:val="21"/>
        </w:rPr>
      </w:pPr>
    </w:p>
    <w:p>
      <w:pPr>
        <w:pStyle w:val="25"/>
        <w:spacing w:line="400" w:lineRule="exact"/>
        <w:rPr>
          <w:rFonts w:hint="eastAsia" w:ascii="宋体" w:hAnsi="宋体" w:cs="宋体"/>
          <w:color w:val="auto"/>
          <w:highlight w:val="none"/>
        </w:rPr>
      </w:pPr>
    </w:p>
    <w:p>
      <w:pPr>
        <w:pStyle w:val="25"/>
        <w:spacing w:line="400" w:lineRule="exact"/>
        <w:jc w:val="both"/>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rPr>
          <w:rFonts w:hint="eastAsia" w:ascii="宋体" w:hAnsi="宋体" w:cs="宋体"/>
          <w:color w:val="auto"/>
          <w:highlight w:val="none"/>
        </w:rPr>
      </w:pPr>
    </w:p>
    <w:p>
      <w:pPr>
        <w:pStyle w:val="25"/>
        <w:spacing w:line="400" w:lineRule="exact"/>
        <w:jc w:val="both"/>
        <w:rPr>
          <w:rFonts w:hint="eastAsia" w:ascii="宋体" w:hAnsi="宋体" w:cs="宋体"/>
          <w:color w:val="auto"/>
          <w:highlight w:val="none"/>
        </w:rPr>
      </w:pPr>
    </w:p>
    <w:p>
      <w:pPr>
        <w:pStyle w:val="25"/>
        <w:spacing w:line="400" w:lineRule="exact"/>
        <w:jc w:val="center"/>
        <w:rPr>
          <w:rFonts w:hint="eastAsia" w:ascii="宋体" w:hAnsi="宋体" w:cs="宋体"/>
          <w:color w:val="auto"/>
          <w:highlight w:val="none"/>
        </w:rPr>
      </w:pPr>
      <w:bookmarkStart w:id="1" w:name="_Toc12429"/>
    </w:p>
    <w:p>
      <w:pPr>
        <w:pStyle w:val="25"/>
        <w:spacing w:line="400" w:lineRule="exact"/>
        <w:jc w:val="center"/>
        <w:rPr>
          <w:rFonts w:hint="eastAsia" w:ascii="宋体" w:hAnsi="宋体" w:cs="宋体"/>
          <w:color w:val="auto"/>
          <w:highlight w:val="none"/>
        </w:rPr>
      </w:pPr>
    </w:p>
    <w:p>
      <w:pPr>
        <w:pStyle w:val="25"/>
        <w:spacing w:line="400" w:lineRule="exact"/>
        <w:jc w:val="center"/>
        <w:rPr>
          <w:rFonts w:hint="eastAsia" w:ascii="宋体" w:hAnsi="宋体" w:cs="宋体"/>
          <w:color w:val="auto"/>
          <w:highlight w:val="none"/>
        </w:rPr>
      </w:pPr>
    </w:p>
    <w:p>
      <w:pPr>
        <w:pStyle w:val="25"/>
        <w:spacing w:line="400" w:lineRule="exact"/>
        <w:jc w:val="center"/>
        <w:rPr>
          <w:rFonts w:hint="eastAsia" w:ascii="宋体" w:hAnsi="宋体" w:cs="宋体"/>
          <w:color w:val="auto"/>
          <w:highlight w:val="none"/>
        </w:rPr>
      </w:pPr>
    </w:p>
    <w:p>
      <w:pPr>
        <w:pStyle w:val="25"/>
        <w:spacing w:line="400" w:lineRule="exact"/>
        <w:jc w:val="center"/>
        <w:rPr>
          <w:rFonts w:hint="eastAsia" w:ascii="宋体" w:hAnsi="宋体" w:cs="宋体"/>
          <w:color w:val="auto"/>
          <w:highlight w:val="none"/>
        </w:rPr>
      </w:pPr>
    </w:p>
    <w:p>
      <w:pPr>
        <w:pStyle w:val="25"/>
        <w:spacing w:line="400" w:lineRule="exact"/>
        <w:jc w:val="center"/>
        <w:rPr>
          <w:rFonts w:hint="eastAsia" w:ascii="宋体" w:hAnsi="宋体" w:cs="宋体"/>
          <w:color w:val="auto"/>
          <w:highlight w:val="none"/>
        </w:rPr>
      </w:pPr>
    </w:p>
    <w:p>
      <w:pPr>
        <w:pStyle w:val="25"/>
        <w:spacing w:line="400" w:lineRule="exact"/>
        <w:jc w:val="center"/>
        <w:rPr>
          <w:rFonts w:hint="eastAsia" w:ascii="宋体" w:hAnsi="宋体" w:cs="宋体"/>
          <w:color w:val="auto"/>
          <w:highlight w:val="none"/>
        </w:rPr>
      </w:pPr>
    </w:p>
    <w:p>
      <w:pPr>
        <w:pStyle w:val="25"/>
        <w:spacing w:line="400" w:lineRule="exact"/>
        <w:jc w:val="center"/>
        <w:rPr>
          <w:rFonts w:hint="eastAsia" w:ascii="宋体" w:hAnsi="宋体" w:cs="宋体"/>
          <w:color w:val="auto"/>
          <w:highlight w:val="none"/>
        </w:rPr>
      </w:pPr>
    </w:p>
    <w:p>
      <w:pPr>
        <w:pStyle w:val="25"/>
        <w:spacing w:line="400" w:lineRule="exact"/>
        <w:jc w:val="center"/>
        <w:rPr>
          <w:rFonts w:ascii="宋体" w:cs="宋体"/>
          <w:color w:val="auto"/>
          <w:highlight w:val="none"/>
        </w:rPr>
      </w:pPr>
      <w:r>
        <w:rPr>
          <w:rFonts w:hint="eastAsia" w:ascii="宋体" w:hAnsi="宋体" w:cs="宋体"/>
          <w:color w:val="auto"/>
          <w:highlight w:val="none"/>
        </w:rPr>
        <w:t>第二章</w:t>
      </w:r>
      <w:r>
        <w:rPr>
          <w:rFonts w:ascii="宋体" w:hAnsi="宋体" w:cs="宋体"/>
          <w:color w:val="auto"/>
          <w:highlight w:val="none"/>
        </w:rPr>
        <w:t xml:space="preserve"> </w:t>
      </w:r>
      <w:r>
        <w:rPr>
          <w:rFonts w:hint="eastAsia" w:ascii="宋体" w:hAnsi="宋体" w:cs="宋体"/>
          <w:color w:val="auto"/>
          <w:highlight w:val="none"/>
        </w:rPr>
        <w:t>供应商须知</w:t>
      </w:r>
      <w:bookmarkEnd w:id="1"/>
    </w:p>
    <w:p>
      <w:pPr>
        <w:pStyle w:val="25"/>
        <w:spacing w:line="400" w:lineRule="exact"/>
        <w:rPr>
          <w:rFonts w:ascii="宋体" w:cs="宋体"/>
          <w:color w:val="auto"/>
          <w:highlight w:val="none"/>
        </w:rPr>
      </w:pPr>
      <w:bookmarkStart w:id="2" w:name="_Toc152042304"/>
      <w:bookmarkStart w:id="3" w:name="_Toc247513951"/>
      <w:bookmarkStart w:id="4" w:name="_Toc15553"/>
      <w:bookmarkStart w:id="5" w:name="_Toc5221"/>
      <w:bookmarkStart w:id="6" w:name="_Toc152045528"/>
      <w:bookmarkStart w:id="7" w:name="_Toc421284738"/>
      <w:bookmarkStart w:id="8" w:name="_Toc144974496"/>
      <w:bookmarkStart w:id="9" w:name="_Toc247527552"/>
      <w:r>
        <w:rPr>
          <w:rFonts w:hint="eastAsia" w:ascii="宋体" w:hAnsi="宋体" w:cs="宋体"/>
          <w:color w:val="auto"/>
          <w:highlight w:val="none"/>
        </w:rPr>
        <w:t>供应商须知前附表</w:t>
      </w:r>
      <w:bookmarkEnd w:id="2"/>
      <w:bookmarkEnd w:id="3"/>
      <w:bookmarkEnd w:id="4"/>
      <w:bookmarkEnd w:id="5"/>
      <w:bookmarkEnd w:id="6"/>
      <w:bookmarkEnd w:id="7"/>
      <w:bookmarkEnd w:id="8"/>
      <w:bookmarkEnd w:id="9"/>
    </w:p>
    <w:tbl>
      <w:tblPr>
        <w:tblStyle w:val="30"/>
        <w:tblW w:w="9744" w:type="dxa"/>
        <w:jc w:val="center"/>
        <w:tblLayout w:type="fixed"/>
        <w:tblCellMar>
          <w:top w:w="0" w:type="dxa"/>
          <w:left w:w="108" w:type="dxa"/>
          <w:bottom w:w="0" w:type="dxa"/>
          <w:right w:w="108" w:type="dxa"/>
        </w:tblCellMar>
      </w:tblPr>
      <w:tblGrid>
        <w:gridCol w:w="853"/>
        <w:gridCol w:w="2137"/>
        <w:gridCol w:w="6754"/>
      </w:tblGrid>
      <w:tr>
        <w:tblPrEx>
          <w:tblCellMar>
            <w:top w:w="0" w:type="dxa"/>
            <w:left w:w="108" w:type="dxa"/>
            <w:bottom w:w="0" w:type="dxa"/>
            <w:right w:w="108" w:type="dxa"/>
          </w:tblCellMar>
        </w:tblPrEx>
        <w:trPr>
          <w:trHeight w:val="334"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  款  名  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编  列  内  容</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名    称：</w:t>
            </w:r>
            <w:r>
              <w:rPr>
                <w:rFonts w:hint="eastAsia" w:ascii="宋体" w:hAnsi="宋体" w:cs="宋体"/>
                <w:szCs w:val="21"/>
                <w:lang w:eastAsia="zh-CN"/>
              </w:rPr>
              <w:t>温县住房和城乡建设局</w:t>
            </w:r>
            <w:r>
              <w:rPr>
                <w:rFonts w:hint="eastAsia" w:ascii="宋体" w:hAnsi="宋体" w:cs="宋体"/>
                <w:szCs w:val="21"/>
              </w:rPr>
              <w:t xml:space="preserve"> </w:t>
            </w:r>
          </w:p>
          <w:p>
            <w:pPr>
              <w:spacing w:line="400" w:lineRule="exact"/>
              <w:jc w:val="left"/>
              <w:rPr>
                <w:rFonts w:ascii="宋体" w:hAnsi="宋体" w:cs="宋体"/>
                <w:szCs w:val="21"/>
              </w:rPr>
            </w:pPr>
            <w:r>
              <w:rPr>
                <w:rFonts w:hint="eastAsia" w:ascii="宋体" w:hAnsi="宋体" w:cs="宋体"/>
                <w:szCs w:val="21"/>
              </w:rPr>
              <w:t>地    址：</w:t>
            </w:r>
            <w:r>
              <w:rPr>
                <w:rFonts w:hint="eastAsia" w:ascii="宋体" w:hAnsi="宋体" w:cs="宋体"/>
                <w:szCs w:val="21"/>
              </w:rPr>
              <w:fldChar w:fldCharType="begin"/>
            </w:r>
            <w:r>
              <w:rPr>
                <w:rFonts w:hint="eastAsia" w:ascii="宋体" w:hAnsi="宋体" w:cs="宋体"/>
                <w:szCs w:val="21"/>
              </w:rPr>
              <w:instrText xml:space="preserve"> HYPERLINK "https://ditu.so.com/?pid=323b648113a94896&amp;src=onebox" \t "https://www.so.com/_blank" </w:instrText>
            </w:r>
            <w:r>
              <w:rPr>
                <w:rFonts w:hint="eastAsia" w:ascii="宋体" w:hAnsi="宋体" w:cs="宋体"/>
                <w:szCs w:val="21"/>
              </w:rPr>
              <w:fldChar w:fldCharType="separate"/>
            </w:r>
            <w:r>
              <w:rPr>
                <w:rFonts w:ascii="宋体" w:hAnsi="宋体" w:cs="宋体"/>
                <w:szCs w:val="21"/>
              </w:rPr>
              <w:t>温县</w:t>
            </w:r>
            <w:r>
              <w:rPr>
                <w:rFonts w:hint="eastAsia" w:ascii="宋体" w:hAnsi="宋体" w:cs="宋体"/>
                <w:szCs w:val="21"/>
                <w:lang w:eastAsia="zh-CN"/>
              </w:rPr>
              <w:t>黄</w:t>
            </w:r>
            <w:r>
              <w:rPr>
                <w:rFonts w:ascii="宋体" w:hAnsi="宋体" w:cs="宋体"/>
                <w:szCs w:val="21"/>
              </w:rPr>
              <w:fldChar w:fldCharType="end"/>
            </w:r>
            <w:r>
              <w:rPr>
                <w:rFonts w:hint="eastAsia" w:ascii="宋体" w:hAnsi="宋体" w:cs="宋体"/>
                <w:szCs w:val="21"/>
                <w:lang w:eastAsia="zh-CN"/>
              </w:rPr>
              <w:t>河路中</w:t>
            </w:r>
            <w:r>
              <w:rPr>
                <w:rFonts w:hint="eastAsia" w:ascii="宋体" w:hAnsi="宋体" w:cs="宋体"/>
                <w:szCs w:val="21"/>
                <w:lang w:val="en-US" w:eastAsia="zh-CN"/>
              </w:rPr>
              <w:t>段</w:t>
            </w:r>
          </w:p>
          <w:p>
            <w:pPr>
              <w:spacing w:line="400" w:lineRule="exact"/>
              <w:jc w:val="left"/>
              <w:rPr>
                <w:rFonts w:ascii="宋体" w:hAnsi="宋体" w:cs="宋体"/>
                <w:szCs w:val="21"/>
              </w:rPr>
            </w:pPr>
            <w:r>
              <w:rPr>
                <w:rFonts w:hint="eastAsia" w:ascii="宋体" w:hAnsi="宋体" w:cs="宋体"/>
                <w:szCs w:val="21"/>
              </w:rPr>
              <w:t>联 系 人：</w:t>
            </w:r>
            <w:r>
              <w:rPr>
                <w:rFonts w:hint="eastAsia" w:ascii="宋体" w:hAnsi="宋体" w:cs="宋体"/>
                <w:color w:val="000000" w:themeColor="text1"/>
                <w:szCs w:val="21"/>
                <w:lang w:val="en-US" w:eastAsia="zh-CN"/>
                <w14:textFill>
                  <w14:solidFill>
                    <w14:schemeClr w14:val="tx1"/>
                  </w14:solidFill>
                </w14:textFill>
              </w:rPr>
              <w:t>苗女士</w:t>
            </w:r>
          </w:p>
          <w:p>
            <w:pPr>
              <w:spacing w:before="137" w:line="220" w:lineRule="auto"/>
              <w:rPr>
                <w:color w:val="auto"/>
                <w:highlight w:val="none"/>
              </w:rPr>
            </w:pPr>
            <w:r>
              <w:rPr>
                <w:rFonts w:hint="eastAsia" w:ascii="宋体" w:hAnsi="宋体" w:cs="宋体"/>
                <w:szCs w:val="21"/>
              </w:rPr>
              <w:t>联 系 方 式</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0391-6193513</w:t>
            </w:r>
            <w:r>
              <w:rPr>
                <w:rFonts w:hint="eastAsia" w:ascii="宋体" w:hAnsi="宋体" w:cs="宋体"/>
                <w:color w:val="C00000"/>
                <w:szCs w:val="21"/>
              </w:rPr>
              <w:t xml:space="preserve">  </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采购代理机构</w:t>
            </w:r>
          </w:p>
        </w:tc>
        <w:tc>
          <w:tcPr>
            <w:tcW w:w="6754" w:type="dxa"/>
            <w:tcBorders>
              <w:top w:val="single" w:color="auto" w:sz="4" w:space="0"/>
              <w:left w:val="single" w:color="auto" w:sz="4" w:space="0"/>
              <w:bottom w:val="single" w:color="auto" w:sz="4" w:space="0"/>
              <w:right w:val="single" w:color="auto" w:sz="4" w:space="0"/>
            </w:tcBorders>
            <w:vAlign w:val="center"/>
          </w:tcPr>
          <w:p>
            <w:pPr>
              <w:spacing w:before="137" w:line="220" w:lineRule="auto"/>
              <w:ind w:left="115"/>
              <w:rPr>
                <w:rFonts w:ascii="宋体" w:hAnsi="宋体" w:eastAsia="宋体" w:cs="宋体"/>
                <w:spacing w:val="-6"/>
                <w:sz w:val="21"/>
                <w:szCs w:val="21"/>
              </w:rPr>
            </w:pPr>
            <w:r>
              <w:rPr>
                <w:rFonts w:ascii="宋体" w:hAnsi="宋体" w:eastAsia="宋体" w:cs="宋体"/>
                <w:spacing w:val="-6"/>
                <w:sz w:val="21"/>
                <w:szCs w:val="21"/>
              </w:rPr>
              <w:t xml:space="preserve">名    称： </w:t>
            </w:r>
            <w:r>
              <w:rPr>
                <w:rFonts w:hint="eastAsia" w:ascii="宋体" w:hAnsi="宋体" w:cs="宋体"/>
                <w:spacing w:val="-6"/>
                <w:sz w:val="21"/>
                <w:szCs w:val="21"/>
                <w:lang w:val="en-US" w:eastAsia="zh-CN"/>
              </w:rPr>
              <w:t>智博国际工程咨询有限公司</w:t>
            </w:r>
          </w:p>
          <w:p>
            <w:pPr>
              <w:spacing w:before="137" w:line="220" w:lineRule="auto"/>
              <w:ind w:left="115"/>
              <w:rPr>
                <w:rFonts w:hint="eastAsia" w:ascii="宋体" w:hAnsi="宋体" w:eastAsia="宋体" w:cs="宋体"/>
                <w:spacing w:val="-6"/>
                <w:sz w:val="21"/>
                <w:szCs w:val="21"/>
                <w:lang w:eastAsia="zh-CN"/>
              </w:rPr>
            </w:pPr>
            <w:r>
              <w:rPr>
                <w:rFonts w:ascii="宋体" w:hAnsi="宋体" w:eastAsia="宋体" w:cs="宋体"/>
                <w:spacing w:val="-6"/>
                <w:sz w:val="21"/>
                <w:szCs w:val="21"/>
              </w:rPr>
              <w:t xml:space="preserve">地    址： </w:t>
            </w:r>
            <w:r>
              <w:rPr>
                <w:rFonts w:hint="eastAsia" w:ascii="宋体" w:hAnsi="宋体" w:cs="宋体"/>
                <w:spacing w:val="-6"/>
                <w:sz w:val="21"/>
                <w:szCs w:val="21"/>
                <w:lang w:eastAsia="zh-CN"/>
              </w:rPr>
              <w:t>郑州市西三环与北三环交叉口国家大学科技园（东区）18 号楼 D 座 2 层</w:t>
            </w:r>
          </w:p>
          <w:p>
            <w:pPr>
              <w:spacing w:before="137" w:line="220" w:lineRule="auto"/>
              <w:ind w:left="115"/>
              <w:rPr>
                <w:rFonts w:ascii="宋体" w:hAnsi="宋体" w:eastAsia="宋体" w:cs="宋体"/>
                <w:spacing w:val="-6"/>
                <w:sz w:val="21"/>
                <w:szCs w:val="21"/>
              </w:rPr>
            </w:pPr>
            <w:r>
              <w:rPr>
                <w:rFonts w:ascii="宋体" w:hAnsi="宋体" w:eastAsia="宋体" w:cs="宋体"/>
                <w:spacing w:val="-6"/>
                <w:sz w:val="21"/>
                <w:szCs w:val="21"/>
              </w:rPr>
              <w:t xml:space="preserve">联 系 人： </w:t>
            </w:r>
            <w:r>
              <w:rPr>
                <w:rFonts w:hint="eastAsia" w:ascii="宋体" w:hAnsi="宋体" w:cs="宋体"/>
                <w:spacing w:val="-6"/>
                <w:sz w:val="21"/>
                <w:szCs w:val="21"/>
                <w:lang w:eastAsia="zh-CN"/>
              </w:rPr>
              <w:t>王</w:t>
            </w:r>
            <w:r>
              <w:rPr>
                <w:rFonts w:hint="eastAsia" w:ascii="宋体" w:hAnsi="宋体" w:eastAsia="宋体" w:cs="宋体"/>
                <w:spacing w:val="-6"/>
                <w:sz w:val="21"/>
                <w:szCs w:val="21"/>
                <w:lang w:eastAsia="zh-CN"/>
              </w:rPr>
              <w:t>女士</w:t>
            </w:r>
          </w:p>
          <w:p>
            <w:pPr>
              <w:spacing w:before="137" w:line="220" w:lineRule="auto"/>
              <w:ind w:left="115" w:leftChars="0"/>
              <w:rPr>
                <w:rFonts w:hint="default" w:ascii="宋体" w:hAnsi="宋体" w:cs="宋体"/>
                <w:color w:val="auto"/>
                <w:szCs w:val="21"/>
                <w:highlight w:val="none"/>
                <w:lang w:val="en-US"/>
              </w:rPr>
            </w:pPr>
            <w:r>
              <w:rPr>
                <w:rFonts w:ascii="宋体" w:hAnsi="宋体" w:eastAsia="宋体" w:cs="宋体"/>
                <w:spacing w:val="-6"/>
                <w:sz w:val="21"/>
                <w:szCs w:val="21"/>
              </w:rPr>
              <w:t xml:space="preserve">联 系 方 式： </w:t>
            </w:r>
            <w:r>
              <w:rPr>
                <w:rFonts w:hint="eastAsia" w:ascii="宋体" w:hAnsi="宋体" w:eastAsia="宋体" w:cs="宋体"/>
                <w:spacing w:val="-6"/>
                <w:sz w:val="21"/>
                <w:szCs w:val="21"/>
                <w:lang w:val="en-US" w:eastAsia="zh-CN"/>
              </w:rPr>
              <w:t>1</w:t>
            </w:r>
            <w:r>
              <w:rPr>
                <w:rFonts w:hint="eastAsia" w:ascii="宋体" w:hAnsi="宋体" w:cs="宋体"/>
                <w:spacing w:val="-6"/>
                <w:sz w:val="21"/>
                <w:szCs w:val="21"/>
                <w:lang w:val="en-US" w:eastAsia="zh-CN"/>
              </w:rPr>
              <w:t>5139140378</w:t>
            </w:r>
          </w:p>
        </w:tc>
      </w:tr>
      <w:tr>
        <w:tblPrEx>
          <w:tblCellMar>
            <w:top w:w="0" w:type="dxa"/>
            <w:left w:w="108" w:type="dxa"/>
            <w:bottom w:w="0" w:type="dxa"/>
            <w:right w:w="108" w:type="dxa"/>
          </w:tblCellMar>
        </w:tblPrEx>
        <w:trPr>
          <w:trHeight w:val="638" w:hRule="exact"/>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1.1.4</w:t>
            </w:r>
          </w:p>
        </w:tc>
        <w:tc>
          <w:tcPr>
            <w:tcW w:w="213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项目名称及项目编号</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hAnsi="宋体" w:cs="宋体"/>
                <w:color w:val="auto"/>
                <w:szCs w:val="21"/>
                <w:highlight w:val="none"/>
              </w:rPr>
            </w:pPr>
            <w:r>
              <w:rPr>
                <w:rFonts w:hint="eastAsia" w:ascii="宋体" w:hAnsi="宋体" w:cs="宋体"/>
                <w:color w:val="auto"/>
                <w:szCs w:val="21"/>
                <w:highlight w:val="none"/>
                <w:lang w:val="en-US" w:eastAsia="zh-CN"/>
              </w:rPr>
              <w:t>温县施工图审查政府购买服务项目（三包）二次</w:t>
            </w:r>
          </w:p>
        </w:tc>
      </w:tr>
      <w:tr>
        <w:tblPrEx>
          <w:tblCellMar>
            <w:top w:w="0" w:type="dxa"/>
            <w:left w:w="108" w:type="dxa"/>
            <w:bottom w:w="0" w:type="dxa"/>
            <w:right w:w="108" w:type="dxa"/>
          </w:tblCellMar>
        </w:tblPrEx>
        <w:trPr>
          <w:trHeight w:val="1118" w:hRule="exact"/>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p>
        </w:tc>
        <w:tc>
          <w:tcPr>
            <w:tcW w:w="213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项目编号：温交易【202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 xml:space="preserve">58 </w:t>
            </w:r>
            <w:r>
              <w:rPr>
                <w:rFonts w:hint="eastAsia" w:ascii="宋体" w:hAnsi="宋体" w:cs="宋体"/>
                <w:color w:val="auto"/>
                <w:szCs w:val="21"/>
                <w:highlight w:val="none"/>
              </w:rPr>
              <w:t xml:space="preserve">号  </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采购编号：温政采【202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06-34</w:t>
            </w:r>
            <w:r>
              <w:rPr>
                <w:rFonts w:hint="eastAsia" w:ascii="宋体" w:hAnsi="宋体" w:cs="宋体"/>
                <w:color w:val="auto"/>
                <w:szCs w:val="21"/>
                <w:highlight w:val="none"/>
              </w:rPr>
              <w:t>号</w:t>
            </w:r>
          </w:p>
        </w:tc>
      </w:tr>
      <w:tr>
        <w:tblPrEx>
          <w:tblCellMar>
            <w:top w:w="0" w:type="dxa"/>
            <w:left w:w="108" w:type="dxa"/>
            <w:bottom w:w="0" w:type="dxa"/>
            <w:right w:w="108" w:type="dxa"/>
          </w:tblCellMar>
        </w:tblPrEx>
        <w:trPr>
          <w:trHeight w:val="316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采购预算</w:t>
            </w:r>
            <w:r>
              <w:rPr>
                <w:rFonts w:hint="eastAsia" w:ascii="宋体" w:hAnsi="宋体" w:eastAsia="宋体" w:cs="Times New Roman"/>
                <w:color w:val="auto"/>
                <w:sz w:val="21"/>
                <w:szCs w:val="21"/>
                <w:highlight w:val="none"/>
              </w:rPr>
              <w:t>金额</w:t>
            </w:r>
          </w:p>
          <w:p>
            <w:pPr>
              <w:spacing w:line="400" w:lineRule="exact"/>
              <w:jc w:val="center"/>
              <w:rPr>
                <w:rFonts w:ascii="宋体" w:hAnsi="宋体" w:cs="宋体"/>
                <w:color w:val="auto"/>
                <w:szCs w:val="21"/>
                <w:highlight w:val="none"/>
              </w:rPr>
            </w:pPr>
            <w:r>
              <w:rPr>
                <w:rFonts w:ascii="宋体" w:hAnsi="宋体" w:eastAsia="宋体" w:cs="Times New Roman"/>
                <w:color w:val="auto"/>
                <w:sz w:val="21"/>
                <w:szCs w:val="21"/>
                <w:highlight w:val="none"/>
              </w:rPr>
              <w:t>（最高投标限价）</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1"/>
              </w:numPr>
              <w:spacing w:line="440" w:lineRule="exac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预算金额：</w:t>
            </w:r>
            <w:r>
              <w:rPr>
                <w:rFonts w:hint="eastAsia" w:ascii="宋体" w:hAnsi="宋体" w:eastAsia="宋体" w:cs="Times New Roman"/>
                <w:color w:val="auto"/>
                <w:sz w:val="21"/>
                <w:szCs w:val="21"/>
                <w:highlight w:val="none"/>
                <w:lang w:val="en-US" w:eastAsia="zh-CN"/>
              </w:rPr>
              <w:t>49万元</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预算金额为参考金额，</w:t>
            </w:r>
            <w:r>
              <w:rPr>
                <w:rFonts w:hint="eastAsia" w:ascii="宋体" w:hAnsi="宋体" w:eastAsia="宋体" w:cs="宋体"/>
                <w:color w:val="auto"/>
                <w:sz w:val="21"/>
                <w:szCs w:val="21"/>
                <w:highlight w:val="none"/>
                <w:lang w:val="en-US" w:eastAsia="zh-CN"/>
              </w:rPr>
              <w:t>本项目合同金额结算标准为据实结算；</w:t>
            </w:r>
          </w:p>
          <w:p>
            <w:pPr>
              <w:numPr>
                <w:ilvl w:val="0"/>
                <w:numId w:val="1"/>
              </w:numPr>
              <w:spacing w:line="500" w:lineRule="exact"/>
              <w:ind w:left="0" w:leftChars="0" w:firstLine="0" w:firstLineChars="0"/>
              <w:rPr>
                <w:rFonts w:ascii="宋体" w:hAnsi="宋体" w:eastAsia="宋体" w:cs="宋体"/>
                <w:b/>
                <w:bCs/>
                <w:color w:val="auto"/>
                <w:sz w:val="21"/>
                <w:szCs w:val="21"/>
                <w:highlight w:val="none"/>
              </w:rPr>
            </w:pPr>
            <w:r>
              <w:rPr>
                <w:rFonts w:hint="eastAsia" w:ascii="宋体" w:hAnsi="宋体" w:eastAsia="宋体" w:cs="Times New Roman"/>
                <w:b/>
                <w:bCs/>
                <w:color w:val="auto"/>
                <w:sz w:val="21"/>
                <w:szCs w:val="21"/>
                <w:highlight w:val="none"/>
              </w:rPr>
              <w:t>单价项目预算金额：</w:t>
            </w:r>
            <w:r>
              <w:rPr>
                <w:rFonts w:hint="eastAsia" w:ascii="宋体" w:hAnsi="宋体" w:eastAsia="宋体" w:cs="宋体"/>
                <w:b/>
                <w:bCs/>
                <w:color w:val="auto"/>
                <w:sz w:val="21"/>
                <w:szCs w:val="21"/>
                <w:highlight w:val="none"/>
              </w:rPr>
              <w:t>各项投标报价均按豫建设[2019]57 号文件河南省施工图设计文件审查结算标准的</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0%作为最高限价</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高于者按废标处理。</w:t>
            </w:r>
          </w:p>
          <w:p>
            <w:pPr>
              <w:spacing w:line="400" w:lineRule="exact"/>
              <w:jc w:val="left"/>
              <w:rPr>
                <w:rFonts w:ascii="宋体" w:hAnsi="宋体" w:cs="宋体"/>
                <w:color w:val="auto"/>
                <w:sz w:val="21"/>
                <w:szCs w:val="21"/>
                <w:highlight w:val="none"/>
              </w:rPr>
            </w:pPr>
            <w:r>
              <w:rPr>
                <w:rFonts w:hint="eastAsia"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rPr>
              <w:t>.投标人应有明确报价，超过单价项目预算金额的，投标无效。</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资金来源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lang w:eastAsia="zh-CN"/>
              </w:rPr>
              <w:t>县财政资金</w:t>
            </w:r>
          </w:p>
        </w:tc>
      </w:tr>
      <w:tr>
        <w:tblPrEx>
          <w:tblCellMar>
            <w:top w:w="0" w:type="dxa"/>
            <w:left w:w="108" w:type="dxa"/>
            <w:bottom w:w="0" w:type="dxa"/>
            <w:right w:w="108" w:type="dxa"/>
          </w:tblCellMar>
        </w:tblPrEx>
        <w:trPr>
          <w:trHeight w:val="3134"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采购</w:t>
            </w:r>
            <w:r>
              <w:rPr>
                <w:rFonts w:hint="eastAsia" w:ascii="宋体" w:hAnsi="宋体" w:cs="宋体"/>
                <w:color w:val="auto"/>
                <w:szCs w:val="21"/>
                <w:highlight w:val="none"/>
                <w:lang w:eastAsia="zh-CN"/>
              </w:rPr>
              <w:t>内容及需求</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温县房屋建筑和市政工程施工图审查政府购买服务。</w:t>
            </w:r>
          </w:p>
          <w:p>
            <w:pPr>
              <w:numPr>
                <w:ilvl w:val="0"/>
                <w:numId w:val="0"/>
              </w:numPr>
              <w:spacing w:line="380" w:lineRule="exact"/>
              <w:jc w:val="left"/>
              <w:rPr>
                <w:rFonts w:ascii="宋体" w:hAnsi="宋体" w:cs="宋体"/>
                <w:color w:val="auto"/>
                <w:szCs w:val="21"/>
                <w:highlight w:val="none"/>
              </w:rPr>
            </w:pPr>
            <w:r>
              <w:rPr>
                <w:rFonts w:hint="eastAsia" w:ascii="宋体" w:hAnsi="宋体" w:eastAsia="宋体" w:cs="宋体"/>
                <w:color w:val="auto"/>
                <w:szCs w:val="21"/>
                <w:highlight w:val="none"/>
                <w:lang w:eastAsia="zh-CN"/>
              </w:rPr>
              <w:t>按照《关于贯彻落实河南省人民政府办公厅“联合图审”方案有关工作的通知》（豫建设【2019】57号）要求，为提高施工图联合审查服务质量和效率，温县住房和城乡建设局拟选择</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eastAsia="zh-CN"/>
              </w:rPr>
              <w:t>家施工图审查服务机构，承担温县行政区规划范围内建设项目图纸审查服务。</w:t>
            </w:r>
            <w:r>
              <w:rPr>
                <w:rFonts w:hint="eastAsia" w:ascii="宋体" w:hAnsi="宋体" w:eastAsia="宋体" w:cs="宋体"/>
                <w:color w:val="auto"/>
                <w:szCs w:val="21"/>
                <w:highlight w:val="none"/>
                <w:lang w:val="en-US" w:eastAsia="zh-CN"/>
              </w:rPr>
              <w:t>注：</w:t>
            </w:r>
            <w:r>
              <w:rPr>
                <w:rFonts w:hint="eastAsia" w:ascii="宋体" w:hAnsi="宋体" w:cs="宋体"/>
                <w:color w:val="auto"/>
                <w:szCs w:val="21"/>
                <w:highlight w:val="none"/>
                <w:lang w:val="en-US" w:eastAsia="zh-CN"/>
              </w:rPr>
              <w:t>选定1家市政项目施工图审查服务机构</w:t>
            </w:r>
            <w:r>
              <w:rPr>
                <w:rFonts w:hint="eastAsia" w:ascii="宋体" w:hAnsi="宋体" w:eastAsia="宋体" w:cs="宋体"/>
                <w:color w:val="auto"/>
                <w:szCs w:val="21"/>
                <w:highlight w:val="none"/>
                <w:lang w:eastAsia="zh-CN"/>
              </w:rPr>
              <w:t>（包括但不限于标的的名称、数量、简要技术需求或服务要求等）</w:t>
            </w:r>
            <w:r>
              <w:rPr>
                <w:rFonts w:hint="eastAsia" w:ascii="宋体" w:hAnsi="宋体" w:eastAsia="宋体" w:cs="宋体"/>
                <w:color w:val="auto"/>
                <w:szCs w:val="21"/>
                <w:highlight w:val="none"/>
                <w:lang w:val="en-US" w:eastAsia="zh-CN"/>
              </w:rPr>
              <w:t>。</w:t>
            </w:r>
          </w:p>
        </w:tc>
      </w:tr>
      <w:tr>
        <w:tblPrEx>
          <w:tblCellMar>
            <w:top w:w="0" w:type="dxa"/>
            <w:left w:w="108" w:type="dxa"/>
            <w:bottom w:w="0" w:type="dxa"/>
            <w:right w:w="108" w:type="dxa"/>
          </w:tblCellMar>
        </w:tblPrEx>
        <w:trPr>
          <w:trHeight w:val="887" w:hRule="exact"/>
          <w:jc w:val="center"/>
        </w:trPr>
        <w:tc>
          <w:tcPr>
            <w:tcW w:w="853"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合同履行期限</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ind w:left="0" w:leftChars="0" w:firstLine="0" w:firstLineChars="0"/>
              <w:jc w:val="left"/>
              <w:rPr>
                <w:rFonts w:hint="eastAsia"/>
                <w:lang w:eastAsia="zh-CN"/>
              </w:rPr>
            </w:pPr>
            <w:r>
              <w:rPr>
                <w:rFonts w:hint="eastAsia"/>
                <w:lang w:val="en-US" w:eastAsia="zh-CN"/>
              </w:rPr>
              <w:t>自合同签订生效之日起一年。</w:t>
            </w:r>
          </w:p>
        </w:tc>
      </w:tr>
      <w:tr>
        <w:tblPrEx>
          <w:tblCellMar>
            <w:top w:w="0" w:type="dxa"/>
            <w:left w:w="108" w:type="dxa"/>
            <w:bottom w:w="0" w:type="dxa"/>
            <w:right w:w="108" w:type="dxa"/>
          </w:tblCellMar>
        </w:tblPrEx>
        <w:trPr>
          <w:trHeight w:val="1037" w:hRule="exact"/>
          <w:jc w:val="center"/>
        </w:trPr>
        <w:tc>
          <w:tcPr>
            <w:tcW w:w="853" w:type="dxa"/>
            <w:vMerge w:val="continue"/>
            <w:tcBorders>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单个项目完成期限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lang w:eastAsia="zh-CN"/>
              </w:rPr>
            </w:pPr>
            <w:r>
              <w:rPr>
                <w:rFonts w:hint="eastAsia" w:ascii="宋体" w:hAnsi="宋体" w:eastAsia="宋体" w:cs="宋体"/>
                <w:color w:val="auto"/>
                <w:szCs w:val="21"/>
                <w:highlight w:val="none"/>
                <w:lang w:val="en-US" w:eastAsia="zh-CN"/>
              </w:rPr>
              <w:t>大型房屋建筑工程和市政设施工程10个工作日完成审查，中型及以下房屋建筑工程和市政设施工程7个工作日完成审查。</w:t>
            </w:r>
          </w:p>
        </w:tc>
      </w:tr>
      <w:tr>
        <w:tblPrEx>
          <w:tblCellMar>
            <w:top w:w="0" w:type="dxa"/>
            <w:left w:w="108" w:type="dxa"/>
            <w:bottom w:w="0" w:type="dxa"/>
            <w:right w:w="108" w:type="dxa"/>
          </w:tblCellMar>
        </w:tblPrEx>
        <w:trPr>
          <w:trHeight w:val="52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质量要求</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合格，满足国家及相关行业规范及标准</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供应商资格条件</w:t>
            </w:r>
          </w:p>
        </w:tc>
        <w:tc>
          <w:tcPr>
            <w:tcW w:w="6754"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1.1具有独立承担民事责任的能力；</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1.2具有良好的商业信誉和健全的财务会计制度；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1.3具有履行合同所必需的设备和专业技术能力；</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1.4有依法缴纳税收和社会保障资金的良好记录；</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1.5参加政府采购活动前三年内，在经营活动中没有重大违法记录；</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1.6法律、行政法规规定的其他条件；</w:t>
            </w:r>
          </w:p>
          <w:p>
            <w:pPr>
              <w:pStyle w:val="9"/>
              <w:spacing w:before="20" w:after="20" w:line="240" w:lineRule="auto"/>
              <w:ind w:firstLine="422" w:firstLineChars="200"/>
              <w:rPr>
                <w:color w:val="auto"/>
                <w:highlight w:val="none"/>
              </w:rPr>
            </w:pPr>
            <w:r>
              <w:rPr>
                <w:rFonts w:hint="eastAsia" w:ascii="Times New Roman" w:hAnsi="Times New Roman"/>
                <w:color w:val="auto"/>
                <w:sz w:val="21"/>
                <w:szCs w:val="21"/>
                <w:highlight w:val="none"/>
              </w:rPr>
              <w:t>备注：供应商在投标（响应）时，按照规定提供相关信用承诺函，无需再提交1</w:t>
            </w:r>
            <w:r>
              <w:rPr>
                <w:rFonts w:ascii="Times New Roman" w:hAnsi="Times New Roman"/>
                <w:color w:val="auto"/>
                <w:sz w:val="21"/>
                <w:szCs w:val="21"/>
                <w:highlight w:val="none"/>
              </w:rPr>
              <w:t>.1-1.5</w:t>
            </w:r>
            <w:r>
              <w:rPr>
                <w:rFonts w:hint="eastAsia" w:ascii="Times New Roman" w:hAnsi="Times New Roman"/>
                <w:color w:val="auto"/>
                <w:sz w:val="21"/>
                <w:szCs w:val="21"/>
                <w:highlight w:val="none"/>
              </w:rPr>
              <w:t>证明材料。</w:t>
            </w:r>
          </w:p>
          <w:p>
            <w:pPr>
              <w:spacing w:before="147" w:line="380" w:lineRule="exact"/>
              <w:ind w:right="71"/>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落实政府采购政策需满足的资格要求：本项目落实节能环保、中小微企业扶持、促进残疾人就业等相关政府采购政策。</w:t>
            </w:r>
          </w:p>
          <w:p>
            <w:pPr>
              <w:spacing w:before="147" w:line="380" w:lineRule="exact"/>
              <w:ind w:right="71"/>
              <w:rPr>
                <w:rFonts w:hint="eastAsia" w:ascii="宋体" w:hAnsi="宋体" w:cs="宋体"/>
                <w:color w:val="auto"/>
                <w:szCs w:val="21"/>
                <w:highlight w:val="none"/>
              </w:rPr>
            </w:pPr>
            <w:r>
              <w:rPr>
                <w:rFonts w:hint="eastAsia" w:ascii="宋体" w:hAnsi="宋体" w:cs="宋体"/>
                <w:color w:val="auto"/>
                <w:szCs w:val="21"/>
                <w:highlight w:val="none"/>
              </w:rPr>
              <w:t>3.本项目</w:t>
            </w:r>
            <w:r>
              <w:rPr>
                <w:rFonts w:hint="eastAsia" w:ascii="宋体" w:hAnsi="宋体" w:cs="宋体"/>
                <w:color w:val="auto"/>
                <w:szCs w:val="21"/>
                <w:highlight w:val="none"/>
                <w:lang w:eastAsia="zh-CN"/>
              </w:rPr>
              <w:t>特定</w:t>
            </w:r>
            <w:r>
              <w:rPr>
                <w:rFonts w:hint="eastAsia" w:ascii="宋体" w:hAnsi="宋体" w:cs="宋体"/>
                <w:color w:val="auto"/>
                <w:szCs w:val="21"/>
                <w:highlight w:val="none"/>
              </w:rPr>
              <w:t>资格要求：</w:t>
            </w:r>
          </w:p>
          <w:p>
            <w:pPr>
              <w:pageBreakBefore w:val="0"/>
              <w:kinsoku/>
              <w:wordWrap/>
              <w:overflowPunct/>
              <w:topLinePunct w:val="0"/>
              <w:autoSpaceDE/>
              <w:autoSpaceDN/>
              <w:bidi w:val="0"/>
              <w:adjustRightInd/>
              <w:snapToGrid/>
              <w:spacing w:line="380" w:lineRule="exact"/>
              <w:ind w:firstLine="210" w:firstLineChars="1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3.1</w:t>
            </w:r>
            <w:r>
              <w:rPr>
                <w:rFonts w:hint="eastAsia" w:ascii="宋体" w:hAnsi="宋体" w:cs="宋体"/>
                <w:color w:val="auto"/>
                <w:szCs w:val="21"/>
                <w:highlight w:val="none"/>
                <w:lang w:eastAsia="zh-CN"/>
              </w:rPr>
              <w:t>供应商需具</w:t>
            </w:r>
            <w:r>
              <w:rPr>
                <w:rFonts w:hint="eastAsia" w:ascii="宋体" w:hAnsi="宋体" w:eastAsia="宋体" w:cs="宋体"/>
                <w:color w:val="auto"/>
                <w:szCs w:val="21"/>
                <w:highlight w:val="none"/>
                <w:lang w:eastAsia="zh-CN"/>
              </w:rPr>
              <w:t>备建设行政主管部门颁发的施工图设计文件审查机构市政基础设施工程一类资格证书；</w:t>
            </w:r>
          </w:p>
          <w:p>
            <w:pPr>
              <w:pStyle w:val="2"/>
              <w:rPr>
                <w:rFonts w:hint="eastAsia"/>
                <w:lang w:eastAsia="zh-CN"/>
              </w:rPr>
            </w:pPr>
            <w:r>
              <w:rPr>
                <w:rFonts w:hint="eastAsia" w:ascii="宋体" w:hAnsi="宋体" w:eastAsia="宋体" w:cs="宋体"/>
                <w:b/>
                <w:bCs/>
                <w:sz w:val="21"/>
                <w:szCs w:val="21"/>
              </w:rPr>
              <w:t>一个投标人可同时投多个标段，只允许中一个标段。若出现投标人在多个标段均为第一中标候选人时，则按金额较大标段优先中标，其它标段按中标候选人排序顺延中标。</w:t>
            </w:r>
          </w:p>
          <w:p>
            <w:pPr>
              <w:pStyle w:val="45"/>
              <w:keepNext w:val="0"/>
              <w:keepLines w:val="0"/>
              <w:pageBreakBefore w:val="0"/>
              <w:kinsoku/>
              <w:wordWrap/>
              <w:overflowPunct/>
              <w:topLinePunct w:val="0"/>
              <w:bidi w:val="0"/>
              <w:snapToGrid/>
              <w:spacing w:line="480" w:lineRule="exact"/>
              <w:ind w:left="0" w:leftChars="0" w:firstLine="210" w:firstLineChars="1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3.2符合《房屋建筑和市政基础设施工程施工图设计文件审查管理办法》（住房和城乡建设部令第13号）的资格管理规定，具有施工图审查服务能力和履行合同能力的企业、且须符合豫建设【2019】57号文的要求；</w:t>
            </w:r>
          </w:p>
          <w:p>
            <w:pPr>
              <w:spacing w:line="44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lang w:val="en-US" w:eastAsia="zh-CN"/>
              </w:rPr>
              <w:t>3.3</w:t>
            </w:r>
            <w:r>
              <w:rPr>
                <w:rFonts w:hint="eastAsia" w:ascii="宋体" w:hAnsi="宋体" w:cs="宋体"/>
                <w:color w:val="auto"/>
                <w:szCs w:val="21"/>
                <w:highlight w:val="none"/>
              </w:rPr>
              <w:t>根据《关于在政府采购活动中查询及使用信用记录有关问题的通知》(财库[2016]125号)的规定，</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通过“信用中国”网（www.creditchina.gov.cn）、中国政府采购网（www.ccgp.gov.cn）等渠道在资格审查环节查询投标人信用记录，被列入失信被执行人、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、政府采购严重违法失信行为记录名单的单位将被拒绝参与本项目政府采购活动；信用信息查询记录和证据将同采购文件等资料一同归档保存。（（网站查询时间为磋商公告发布之后）；</w:t>
            </w:r>
          </w:p>
          <w:p>
            <w:pPr>
              <w:pageBreakBefore w:val="0"/>
              <w:kinsoku/>
              <w:wordWrap/>
              <w:overflowPunct/>
              <w:topLinePunct w:val="0"/>
              <w:autoSpaceDE/>
              <w:autoSpaceDN/>
              <w:bidi w:val="0"/>
              <w:adjustRightInd/>
              <w:snapToGrid/>
              <w:spacing w:line="380" w:lineRule="exact"/>
              <w:ind w:firstLine="210" w:firstLineChars="100"/>
              <w:textAlignment w:val="auto"/>
              <w:rPr>
                <w:rFonts w:hint="eastAsia" w:ascii="宋体" w:hAnsi="宋体" w:cs="宋体"/>
                <w:szCs w:val="21"/>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4</w:t>
            </w:r>
            <w:r>
              <w:rPr>
                <w:rFonts w:hint="eastAsia" w:ascii="宋体" w:hAnsi="宋体" w:cs="宋体"/>
                <w:szCs w:val="21"/>
                <w:lang w:eastAsia="zh-CN"/>
              </w:rPr>
              <w:t>供应商</w:t>
            </w:r>
            <w:r>
              <w:rPr>
                <w:rFonts w:hint="eastAsia" w:ascii="宋体" w:hAnsi="宋体" w:cs="宋体"/>
                <w:szCs w:val="21"/>
              </w:rPr>
              <w:t>必须提供无行贿犯罪记录承诺书，(出具由“中国裁判文书网”网站查询近三年来法人、法定代表人、</w:t>
            </w:r>
            <w:r>
              <w:rPr>
                <w:rFonts w:hint="eastAsia" w:ascii="宋体" w:hAnsi="宋体" w:cs="宋体"/>
                <w:szCs w:val="21"/>
                <w:lang w:eastAsia="zh-CN"/>
              </w:rPr>
              <w:t>授权</w:t>
            </w:r>
            <w:r>
              <w:rPr>
                <w:rFonts w:hint="eastAsia" w:ascii="宋体" w:hAnsi="宋体" w:cs="宋体"/>
                <w:szCs w:val="21"/>
              </w:rPr>
              <w:t>委托人无行贿犯罪记录网页截图)；若有行贿犯罪记录则取消其投标资格；（</w:t>
            </w:r>
            <w:r>
              <w:rPr>
                <w:rFonts w:hint="eastAsia" w:ascii="宋体" w:hAnsi="宋体" w:cs="宋体"/>
                <w:szCs w:val="21"/>
                <w:lang w:eastAsia="zh-CN"/>
              </w:rPr>
              <w:t>供应商</w:t>
            </w:r>
            <w:r>
              <w:rPr>
                <w:rFonts w:hint="eastAsia" w:ascii="宋体" w:hAnsi="宋体" w:cs="宋体"/>
                <w:szCs w:val="21"/>
              </w:rPr>
              <w:t>需提供网站查询截图，查询时间为磋商公告发布之后）；</w:t>
            </w:r>
          </w:p>
          <w:p>
            <w:pPr>
              <w:pageBreakBefore w:val="0"/>
              <w:kinsoku/>
              <w:wordWrap/>
              <w:overflowPunct/>
              <w:topLinePunct w:val="0"/>
              <w:autoSpaceDE/>
              <w:autoSpaceDN/>
              <w:bidi w:val="0"/>
              <w:adjustRightInd/>
              <w:snapToGrid/>
              <w:spacing w:line="380" w:lineRule="exact"/>
              <w:ind w:firstLine="210" w:firstLineChars="100"/>
              <w:textAlignment w:val="auto"/>
              <w:rPr>
                <w:color w:val="auto"/>
                <w:highlight w:val="none"/>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供应商必须提供投标承诺函</w:t>
            </w:r>
            <w:r>
              <w:rPr>
                <w:rFonts w:hint="eastAsia" w:ascii="宋体" w:hAnsi="宋体" w:cs="宋体"/>
                <w:color w:val="auto"/>
                <w:szCs w:val="21"/>
                <w:highlight w:val="none"/>
                <w:lang w:val="en-US" w:eastAsia="zh-CN"/>
              </w:rPr>
              <w:t>。</w:t>
            </w:r>
          </w:p>
          <w:p>
            <w:pPr>
              <w:numPr>
                <w:ilvl w:val="0"/>
                <w:numId w:val="0"/>
              </w:numPr>
              <w:spacing w:line="400" w:lineRule="exact"/>
              <w:ind w:firstLine="210" w:firstLineChars="100"/>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3.6</w:t>
            </w:r>
            <w:r>
              <w:rPr>
                <w:rFonts w:hint="eastAsia" w:ascii="宋体" w:hAnsi="宋体" w:eastAsia="宋体" w:cs="宋体"/>
                <w:color w:val="auto"/>
                <w:kern w:val="2"/>
                <w:sz w:val="21"/>
                <w:szCs w:val="21"/>
                <w:highlight w:val="none"/>
                <w:lang w:val="en-US" w:eastAsia="zh-CN" w:bidi="ar-SA"/>
              </w:rPr>
              <w:t>本项目不接受联合体投标。</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b/>
                <w:color w:val="auto"/>
                <w:szCs w:val="21"/>
                <w:highlight w:val="none"/>
              </w:rPr>
              <w:t>备注：</w:t>
            </w:r>
            <w:r>
              <w:rPr>
                <w:rFonts w:hint="eastAsia" w:asciiTheme="minorEastAsia" w:hAnsiTheme="minorEastAsia" w:eastAsiaTheme="minorEastAsia" w:cstheme="minorEastAsia"/>
                <w:b/>
                <w:bCs/>
                <w:color w:val="auto"/>
                <w:szCs w:val="21"/>
                <w:highlight w:val="none"/>
              </w:rPr>
              <w:t>由于本项目为不见面开标，</w:t>
            </w:r>
            <w:r>
              <w:rPr>
                <w:rFonts w:hint="eastAsia" w:asciiTheme="minorEastAsia" w:hAnsiTheme="minorEastAsia" w:eastAsiaTheme="minorEastAsia" w:cstheme="minorEastAsia"/>
                <w:b/>
                <w:bCs/>
                <w:color w:val="auto"/>
                <w:szCs w:val="21"/>
                <w:highlight w:val="none"/>
                <w:lang w:eastAsia="zh-CN"/>
              </w:rPr>
              <w:t>供应商</w:t>
            </w:r>
            <w:r>
              <w:rPr>
                <w:rFonts w:hint="eastAsia" w:asciiTheme="minorEastAsia" w:hAnsiTheme="minorEastAsia" w:eastAsiaTheme="minorEastAsia" w:cstheme="minorEastAsia"/>
                <w:b/>
                <w:bCs/>
                <w:color w:val="auto"/>
                <w:szCs w:val="21"/>
                <w:highlight w:val="none"/>
              </w:rPr>
              <w:t>无需到开标现场参与投标签到，无需递交任何纸质资料或证明，无需交纳原件（</w:t>
            </w:r>
            <w:r>
              <w:rPr>
                <w:rFonts w:hint="eastAsia" w:asciiTheme="minorEastAsia" w:hAnsiTheme="minorEastAsia" w:eastAsiaTheme="minorEastAsia" w:cstheme="minorEastAsia"/>
                <w:b/>
                <w:bCs/>
                <w:color w:val="auto"/>
                <w:szCs w:val="21"/>
                <w:highlight w:val="none"/>
                <w:lang w:eastAsia="zh-CN"/>
              </w:rPr>
              <w:t>响应</w:t>
            </w:r>
            <w:r>
              <w:rPr>
                <w:rFonts w:hint="eastAsia" w:asciiTheme="minorEastAsia" w:hAnsiTheme="minorEastAsia" w:eastAsiaTheme="minorEastAsia" w:cstheme="minorEastAsia"/>
                <w:b/>
                <w:bCs/>
                <w:color w:val="auto"/>
                <w:szCs w:val="21"/>
                <w:highlight w:val="none"/>
              </w:rPr>
              <w:t>文件中应附清晰的复印件或扫描件，由于模糊不清导致评标委员会无法辨别的，后果由</w:t>
            </w:r>
            <w:r>
              <w:rPr>
                <w:rFonts w:hint="eastAsia" w:asciiTheme="minorEastAsia" w:hAnsiTheme="minorEastAsia" w:eastAsiaTheme="minorEastAsia" w:cstheme="minorEastAsia"/>
                <w:b/>
                <w:bCs/>
                <w:color w:val="auto"/>
                <w:szCs w:val="21"/>
                <w:highlight w:val="none"/>
                <w:lang w:eastAsia="zh-CN"/>
              </w:rPr>
              <w:t>供应商</w:t>
            </w:r>
            <w:r>
              <w:rPr>
                <w:rFonts w:hint="eastAsia" w:asciiTheme="minorEastAsia" w:hAnsiTheme="minorEastAsia" w:eastAsiaTheme="minorEastAsia" w:cstheme="minorEastAsia"/>
                <w:b/>
                <w:bCs/>
                <w:color w:val="auto"/>
                <w:szCs w:val="21"/>
                <w:highlight w:val="none"/>
              </w:rPr>
              <w:t>自行承担）。</w:t>
            </w:r>
          </w:p>
        </w:tc>
      </w:tr>
      <w:tr>
        <w:tblPrEx>
          <w:tblCellMar>
            <w:top w:w="0" w:type="dxa"/>
            <w:left w:w="108" w:type="dxa"/>
            <w:bottom w:w="0" w:type="dxa"/>
            <w:right w:w="108" w:type="dxa"/>
          </w:tblCellMar>
        </w:tblPrEx>
        <w:trPr>
          <w:trHeight w:val="88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1.7.2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采购人书面澄清的时间</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递交响应文件截止之日</w:t>
            </w:r>
            <w:r>
              <w:rPr>
                <w:rFonts w:hint="eastAsia" w:ascii="宋体" w:hAnsi="宋体" w:cs="宋体"/>
                <w:color w:val="auto"/>
                <w:szCs w:val="21"/>
                <w:highlight w:val="none"/>
                <w:u w:val="single"/>
              </w:rPr>
              <w:t>5</w:t>
            </w:r>
            <w:r>
              <w:rPr>
                <w:rFonts w:hint="eastAsia" w:ascii="宋体" w:hAnsi="宋体" w:cs="宋体"/>
                <w:color w:val="auto"/>
                <w:szCs w:val="21"/>
                <w:highlight w:val="none"/>
              </w:rPr>
              <w:t>天前</w:t>
            </w:r>
          </w:p>
        </w:tc>
      </w:tr>
      <w:tr>
        <w:tblPrEx>
          <w:tblCellMar>
            <w:top w:w="0" w:type="dxa"/>
            <w:left w:w="108" w:type="dxa"/>
            <w:bottom w:w="0" w:type="dxa"/>
            <w:right w:w="108" w:type="dxa"/>
          </w:tblCellMar>
        </w:tblPrEx>
        <w:trPr>
          <w:trHeight w:val="103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投标文件截止时间及地点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北京时间：</w:t>
            </w:r>
            <w:r>
              <w:rPr>
                <w:rFonts w:hint="eastAsia" w:ascii="宋体" w:hAnsi="宋体" w:cs="宋体"/>
                <w:b/>
                <w:bCs/>
                <w:color w:val="auto"/>
                <w:szCs w:val="21"/>
                <w:highlight w:val="none"/>
                <w:u w:val="single"/>
                <w:lang w:val="en-US" w:eastAsia="zh-CN"/>
              </w:rPr>
              <w:t xml:space="preserve"> 2023 </w:t>
            </w:r>
            <w:r>
              <w:rPr>
                <w:rFonts w:hint="eastAsia" w:ascii="宋体" w:hAnsi="宋体" w:cs="宋体"/>
                <w:b/>
                <w:bCs/>
                <w:color w:val="auto"/>
                <w:szCs w:val="21"/>
                <w:highlight w:val="none"/>
                <w:u w:val="single"/>
              </w:rPr>
              <w:t>年</w:t>
            </w:r>
            <w:r>
              <w:rPr>
                <w:rFonts w:hint="eastAsia" w:ascii="宋体" w:hAnsi="宋体" w:cs="宋体"/>
                <w:b/>
                <w:bCs/>
                <w:color w:val="auto"/>
                <w:szCs w:val="21"/>
                <w:highlight w:val="none"/>
                <w:u w:val="single"/>
                <w:lang w:val="en-US" w:eastAsia="zh-CN"/>
              </w:rPr>
              <w:t xml:space="preserve"> 7 </w:t>
            </w:r>
            <w:r>
              <w:rPr>
                <w:rFonts w:hint="eastAsia" w:ascii="宋体" w:hAnsi="宋体" w:cs="宋体"/>
                <w:b/>
                <w:bCs/>
                <w:color w:val="auto"/>
                <w:szCs w:val="21"/>
                <w:highlight w:val="none"/>
                <w:u w:val="single"/>
              </w:rPr>
              <w:t>月</w:t>
            </w:r>
            <w:r>
              <w:rPr>
                <w:rFonts w:hint="eastAsia" w:ascii="宋体" w:hAnsi="宋体" w:cs="宋体"/>
                <w:b/>
                <w:bCs/>
                <w:color w:val="auto"/>
                <w:szCs w:val="21"/>
                <w:highlight w:val="none"/>
                <w:u w:val="single"/>
                <w:lang w:val="en-US" w:eastAsia="zh-CN"/>
              </w:rPr>
              <w:t xml:space="preserve">17 </w:t>
            </w:r>
            <w:r>
              <w:rPr>
                <w:rFonts w:hint="eastAsia" w:ascii="宋体" w:hAnsi="宋体" w:cs="宋体"/>
                <w:b/>
                <w:bCs/>
                <w:color w:val="auto"/>
                <w:szCs w:val="21"/>
                <w:highlight w:val="none"/>
                <w:u w:val="single"/>
              </w:rPr>
              <w:t>日 9 时00分</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地点：温县公共资源交易中心开标厅（详见当天公示牌）</w:t>
            </w:r>
          </w:p>
        </w:tc>
      </w:tr>
      <w:tr>
        <w:tblPrEx>
          <w:tblCellMar>
            <w:top w:w="0" w:type="dxa"/>
            <w:left w:w="108" w:type="dxa"/>
            <w:bottom w:w="0" w:type="dxa"/>
            <w:right w:w="108" w:type="dxa"/>
          </w:tblCellMar>
        </w:tblPrEx>
        <w:trPr>
          <w:trHeight w:val="74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3.4.1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磋商有效期</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响应文件递交截止日起60日历天</w:t>
            </w:r>
          </w:p>
        </w:tc>
      </w:tr>
      <w:tr>
        <w:tblPrEx>
          <w:tblCellMar>
            <w:top w:w="0" w:type="dxa"/>
            <w:left w:w="108" w:type="dxa"/>
            <w:bottom w:w="0" w:type="dxa"/>
            <w:right w:w="108" w:type="dxa"/>
          </w:tblCellMar>
        </w:tblPrEx>
        <w:trPr>
          <w:trHeight w:val="64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磋商保证金</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无</w:t>
            </w:r>
          </w:p>
        </w:tc>
      </w:tr>
      <w:tr>
        <w:tblPrEx>
          <w:tblCellMar>
            <w:top w:w="0" w:type="dxa"/>
            <w:left w:w="108" w:type="dxa"/>
            <w:bottom w:w="0" w:type="dxa"/>
            <w:right w:w="108" w:type="dxa"/>
          </w:tblCellMar>
        </w:tblPrEx>
        <w:trPr>
          <w:trHeight w:val="240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3.7.4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响应文件份数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文件壹份（.jztf 格式在会员系统指定位置上传）；自备非加密的电子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文件一份，如有紧急情况，在不见面开标按要求上传。注：本项目投标时不需要提供纸质</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文件。中标单位在确定中标后，领取中标通知书时需提供柒份使用CA系统打印出来的完整的</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文件交</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人或</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代理（其中，正本壹份，副本陆份）及不加密格式电子文件一份。</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3.1.0</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踏勘现场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不组织，自行踏勘。</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签字或盖章要求</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（1）所有要求</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加盖公章的地方都须加盖</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的CA印章。</w:t>
            </w:r>
          </w:p>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（2）所有要求法定代表人签字的地方都须加盖法定代表人CA印章</w:t>
            </w:r>
            <w:r>
              <w:rPr>
                <w:rFonts w:hint="eastAsia" w:asciiTheme="minorEastAsia" w:hAnsiTheme="minorEastAsia" w:eastAsiaTheme="minorEastAsia" w:cstheme="minorEastAsia"/>
                <w:color w:val="auto"/>
                <w:szCs w:val="21"/>
                <w:highlight w:val="none"/>
                <w:lang w:eastAsia="zh-CN"/>
              </w:rPr>
              <w:t>或</w:t>
            </w:r>
            <w:r>
              <w:rPr>
                <w:rFonts w:hint="eastAsia" w:asciiTheme="minorEastAsia" w:hAnsiTheme="minorEastAsia" w:eastAsiaTheme="minorEastAsia" w:cstheme="minorEastAsia"/>
                <w:color w:val="auto"/>
                <w:szCs w:val="21"/>
                <w:highlight w:val="none"/>
                <w:lang w:val="en-US" w:eastAsia="zh-CN"/>
              </w:rPr>
              <w:t>CA签字</w:t>
            </w:r>
            <w:r>
              <w:rPr>
                <w:rFonts w:hint="eastAsia" w:asciiTheme="minorEastAsia" w:hAnsiTheme="minorEastAsia" w:eastAsiaTheme="minorEastAsia" w:cstheme="minorEastAsia"/>
                <w:color w:val="auto"/>
                <w:szCs w:val="21"/>
                <w:highlight w:val="none"/>
              </w:rPr>
              <w:t>。</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（3）所有要求其委托代理人签字的地方可以用授权委托人手写签字的扫描件。</w:t>
            </w:r>
          </w:p>
        </w:tc>
      </w:tr>
      <w:tr>
        <w:tblPrEx>
          <w:tblCellMar>
            <w:top w:w="0" w:type="dxa"/>
            <w:left w:w="108" w:type="dxa"/>
            <w:bottom w:w="0" w:type="dxa"/>
            <w:right w:w="108" w:type="dxa"/>
          </w:tblCellMar>
        </w:tblPrEx>
        <w:trPr>
          <w:trHeight w:val="215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响应文件</w:t>
            </w:r>
            <w:r>
              <w:rPr>
                <w:rFonts w:hint="eastAsia" w:ascii="宋体" w:hAnsi="宋体" w:cs="宋体"/>
                <w:color w:val="auto"/>
                <w:szCs w:val="21"/>
                <w:highlight w:val="none"/>
                <w:lang w:eastAsia="zh-CN"/>
              </w:rPr>
              <w:t>的</w:t>
            </w:r>
            <w:r>
              <w:rPr>
                <w:rFonts w:hint="eastAsia" w:ascii="宋体" w:hAnsi="宋体" w:cs="宋体"/>
                <w:color w:val="auto"/>
                <w:szCs w:val="21"/>
                <w:highlight w:val="none"/>
              </w:rPr>
              <w:t>递交</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（1）各</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应在投标截至时间前上传加密的电子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文件（.jztf 格式）到会员系统的指定位置。上传时必须得到电脑“上传成功”的确认回复。请</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在上传时认真检查上传</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文件是否完整、正确。</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（2）如系统故障需上传非加密文件时，</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应按照</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人指示将非加密文件递交给</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递交</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文件方式和地点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1、加密的电子投标文件壹份（*.jztf 格式，在会员系统指定位置上传）</w:t>
            </w:r>
          </w:p>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2、本项目采用“远程不见面”的开标方式,远程开标大厅网址（http://122.112.246.33/BidOpening/bidopeninghallaction/hall/login ）。特别提醒：本项目采用远程不见面开标和全程电子评标方式，潜在投标人可提前在焦作市交易中心官网首页---下载中心--下载</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"http://www.jzggzy.cn/TPFront/InfoDetail/Default.aspx?InfoID=b5d977f8-bf6f-4349-9275-63a47a0979b9&amp;CategoryNum=069006002"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《焦作市电子招投标系统操作手册》</w:t>
            </w:r>
            <w:r>
              <w:rPr>
                <w:rFonts w:hint="eastAsia" w:ascii="宋体" w:hAnsi="宋体" w:cs="宋体"/>
                <w:color w:val="auto"/>
                <w:szCs w:val="21"/>
                <w:highlight w:val="none"/>
              </w:rPr>
              <w:fldChar w:fldCharType="end"/>
            </w:r>
            <w:r>
              <w:rPr>
                <w:rFonts w:hint="eastAsia" w:ascii="宋体" w:hAnsi="宋体" w:cs="宋体"/>
                <w:color w:val="auto"/>
                <w:szCs w:val="21"/>
                <w:highlight w:val="none"/>
              </w:rPr>
              <w:t>和</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"http://www.jzggzy.cn/TPFront/InfoDetail/Default.aspx?InfoID=a8241ffd-c295-4d39-b832-840e402553df&amp;CategoryNum=069006002"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《焦作市公共资源交易平台不见面开标操作手册》</w:t>
            </w:r>
            <w:r>
              <w:rPr>
                <w:rFonts w:hint="eastAsia" w:ascii="宋体" w:hAnsi="宋体" w:cs="宋体"/>
                <w:color w:val="auto"/>
                <w:szCs w:val="21"/>
                <w:highlight w:val="none"/>
              </w:rPr>
              <w:fldChar w:fldCharType="end"/>
            </w:r>
            <w:r>
              <w:rPr>
                <w:rFonts w:hint="eastAsia" w:ascii="宋体" w:hAnsi="宋体" w:cs="宋体"/>
                <w:color w:val="auto"/>
                <w:szCs w:val="21"/>
                <w:highlight w:val="none"/>
              </w:rPr>
              <w:t>、</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"https://download.bqpoint.com/download/downloaddetail.html?SourceFrom=Ztb&amp;ZtbSoftXiaQuCode=1505&amp;ZtbSoftType=tballinclusive"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《投标文件制作工作工具》</w:t>
            </w:r>
            <w:r>
              <w:rPr>
                <w:rFonts w:hint="eastAsia" w:ascii="宋体" w:hAnsi="宋体" w:cs="宋体"/>
                <w:color w:val="auto"/>
                <w:szCs w:val="21"/>
                <w:highlight w:val="none"/>
              </w:rPr>
              <w:fldChar w:fldCharType="end"/>
            </w:r>
            <w:r>
              <w:rPr>
                <w:rFonts w:hint="eastAsia" w:ascii="宋体" w:hAnsi="宋体" w:cs="宋体"/>
                <w:color w:val="auto"/>
                <w:szCs w:val="21"/>
                <w:highlight w:val="none"/>
              </w:rPr>
              <w:t>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并按要求解密投标文件</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bidi="ar"/>
              </w:rPr>
              <w:t>解密时间为</w:t>
            </w:r>
            <w:r>
              <w:rPr>
                <w:rFonts w:hint="eastAsia" w:ascii="宋体" w:hAnsi="宋体" w:cs="宋体"/>
                <w:color w:val="auto"/>
                <w:szCs w:val="21"/>
                <w:highlight w:val="none"/>
                <w:lang w:eastAsia="zh-CN" w:bidi="ar"/>
              </w:rPr>
              <w:t>响应文件提交</w:t>
            </w:r>
            <w:r>
              <w:rPr>
                <w:rFonts w:hint="eastAsia" w:ascii="宋体" w:hAnsi="宋体" w:cs="宋体"/>
                <w:color w:val="auto"/>
                <w:szCs w:val="21"/>
                <w:highlight w:val="none"/>
                <w:lang w:bidi="ar"/>
              </w:rPr>
              <w:t>截止时后30分钟内</w:t>
            </w:r>
            <w:r>
              <w:rPr>
                <w:rFonts w:hint="eastAsia" w:ascii="宋体" w:hAnsi="宋体" w:cs="宋体"/>
                <w:color w:val="auto"/>
                <w:szCs w:val="21"/>
                <w:highlight w:val="none"/>
              </w:rPr>
              <w:t>。因文件未及时上传导致投标失败的责任由投标人自行承担。</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6.1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磋商小组的组建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由采购人代表1人，技术、经济等专家2人，共3人组成。</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6.3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评标办法</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综合评标法</w:t>
            </w:r>
          </w:p>
        </w:tc>
      </w:tr>
      <w:tr>
        <w:tblPrEx>
          <w:tblCellMar>
            <w:top w:w="0" w:type="dxa"/>
            <w:left w:w="108" w:type="dxa"/>
            <w:bottom w:w="0" w:type="dxa"/>
            <w:right w:w="108" w:type="dxa"/>
          </w:tblCellMar>
        </w:tblPrEx>
        <w:trPr>
          <w:trHeight w:val="91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需要落实的政策</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4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本项目落实节能环保、中小微企业扶持、促进残疾人就业等相关政府采购政策。</w:t>
            </w:r>
          </w:p>
        </w:tc>
      </w:tr>
      <w:tr>
        <w:tblPrEx>
          <w:tblCellMar>
            <w:top w:w="0" w:type="dxa"/>
            <w:left w:w="108" w:type="dxa"/>
            <w:bottom w:w="0" w:type="dxa"/>
            <w:right w:w="108" w:type="dxa"/>
          </w:tblCellMar>
        </w:tblPrEx>
        <w:trPr>
          <w:trHeight w:val="2093"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其他补充内容</w:t>
            </w:r>
          </w:p>
        </w:tc>
        <w:tc>
          <w:tcPr>
            <w:tcW w:w="6754" w:type="dxa"/>
            <w:tcBorders>
              <w:top w:val="single" w:color="auto" w:sz="4" w:space="0"/>
              <w:left w:val="single" w:color="auto" w:sz="4" w:space="0"/>
              <w:bottom w:val="single" w:color="auto" w:sz="4" w:space="0"/>
              <w:right w:val="single" w:color="auto" w:sz="4" w:space="0"/>
            </w:tcBorders>
            <w:vAlign w:val="center"/>
          </w:tcPr>
          <w:p>
            <w:pPr>
              <w:widowControl/>
              <w:numPr>
                <w:ilvl w:val="0"/>
                <w:numId w:val="2"/>
              </w:numPr>
              <w:spacing w:line="440" w:lineRule="exact"/>
              <w:rPr>
                <w:rFonts w:hint="eastAsia" w:ascii="宋体" w:hAnsi="宋体" w:cs="宋体"/>
                <w:color w:val="auto"/>
                <w:szCs w:val="21"/>
                <w:highlight w:val="none"/>
              </w:rPr>
            </w:pPr>
            <w:r>
              <w:rPr>
                <w:rFonts w:hint="eastAsia" w:ascii="宋体" w:hAnsi="宋体" w:cs="宋体"/>
                <w:color w:val="auto"/>
                <w:szCs w:val="21"/>
                <w:highlight w:val="none"/>
              </w:rPr>
              <w:t>本项目招标活动中禁止关联企业同时投标，一经发现按无效标处理；</w:t>
            </w:r>
          </w:p>
          <w:p>
            <w:pPr>
              <w:numPr>
                <w:ilvl w:val="0"/>
                <w:numId w:val="0"/>
              </w:numPr>
              <w:spacing w:line="400" w:lineRule="exact"/>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发现串标、围标行为的供应商，即纳入失信供应商名单，并对依法处理</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中标人中标后需在合同履行期限内供货完毕，如未按时完成供货则在合同履行期限内提供的货物一律不予结算，并按照相关规定追究其相关责任。</w:t>
            </w:r>
          </w:p>
          <w:p>
            <w:pPr>
              <w:rPr>
                <w:color w:val="auto"/>
                <w:highlight w:val="none"/>
              </w:rPr>
            </w:pPr>
          </w:p>
          <w:p>
            <w:pPr>
              <w:pStyle w:val="38"/>
              <w:rPr>
                <w:color w:val="auto"/>
                <w:highlight w:val="none"/>
              </w:rPr>
            </w:pPr>
          </w:p>
        </w:tc>
      </w:tr>
      <w:tr>
        <w:tblPrEx>
          <w:tblCellMar>
            <w:top w:w="0" w:type="dxa"/>
            <w:left w:w="108" w:type="dxa"/>
            <w:bottom w:w="0" w:type="dxa"/>
            <w:right w:w="108" w:type="dxa"/>
          </w:tblCellMar>
        </w:tblPrEx>
        <w:trPr>
          <w:trHeight w:val="763"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履约保证金</w:t>
            </w:r>
          </w:p>
        </w:tc>
        <w:tc>
          <w:tcPr>
            <w:tcW w:w="6754" w:type="dxa"/>
            <w:tcBorders>
              <w:top w:val="single" w:color="auto" w:sz="4" w:space="0"/>
              <w:left w:val="single" w:color="auto" w:sz="4" w:space="0"/>
              <w:bottom w:val="single" w:color="auto" w:sz="4" w:space="0"/>
              <w:right w:val="single" w:color="auto" w:sz="4" w:space="0"/>
            </w:tcBorders>
            <w:vAlign w:val="center"/>
          </w:tcPr>
          <w:p>
            <w:pPr>
              <w:pStyle w:val="38"/>
              <w:rPr>
                <w:rFonts w:hint="eastAsia" w:eastAsia="宋体"/>
                <w:color w:val="auto"/>
                <w:highlight w:val="none"/>
                <w:lang w:eastAsia="zh-CN"/>
              </w:rPr>
            </w:pPr>
            <w:r>
              <w:rPr>
                <w:rFonts w:hint="eastAsia" w:asciiTheme="minorEastAsia" w:hAnsiTheme="minorEastAsia" w:eastAsiaTheme="minorEastAsia" w:cstheme="minorEastAsia"/>
                <w:color w:val="auto"/>
                <w:kern w:val="2"/>
                <w:sz w:val="21"/>
                <w:szCs w:val="21"/>
                <w:highlight w:val="none"/>
                <w:lang w:val="en-US" w:eastAsia="zh-CN" w:bidi="ar-SA"/>
              </w:rPr>
              <w:t>履约保证金免收</w:t>
            </w:r>
          </w:p>
        </w:tc>
      </w:tr>
      <w:tr>
        <w:tblPrEx>
          <w:tblCellMar>
            <w:top w:w="0" w:type="dxa"/>
            <w:left w:w="108" w:type="dxa"/>
            <w:bottom w:w="0" w:type="dxa"/>
            <w:right w:w="108" w:type="dxa"/>
          </w:tblCellMar>
        </w:tblPrEx>
        <w:trPr>
          <w:trHeight w:val="693"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b/>
                <w:color w:val="auto"/>
                <w:szCs w:val="21"/>
                <w:highlight w:val="none"/>
              </w:rPr>
              <w:t>需要补充的其他内容</w:t>
            </w:r>
          </w:p>
        </w:tc>
      </w:tr>
      <w:tr>
        <w:tblPrEx>
          <w:tblCellMar>
            <w:top w:w="0" w:type="dxa"/>
            <w:left w:w="108" w:type="dxa"/>
            <w:bottom w:w="0" w:type="dxa"/>
            <w:right w:w="108" w:type="dxa"/>
          </w:tblCellMar>
        </w:tblPrEx>
        <w:trPr>
          <w:trHeight w:val="4578"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spacing w:line="440" w:lineRule="exact"/>
              <w:ind w:firstLine="420" w:firstLineChars="200"/>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1.招标代理服务费的收取标准：参照豫招协[2023]002号，《河南省招标代理服务收费指导意见》，</w:t>
            </w:r>
            <w:r>
              <w:rPr>
                <w:rFonts w:hint="eastAsia" w:ascii="宋体" w:hAnsi="宋体" w:eastAsia="宋体" w:cs="宋体"/>
                <w:color w:val="auto"/>
                <w:kern w:val="0"/>
                <w:szCs w:val="21"/>
                <w:highlight w:val="none"/>
                <w:lang w:val="en-US" w:eastAsia="zh-CN"/>
              </w:rPr>
              <w:t>以采购预算金额作为计费基数</w:t>
            </w:r>
            <w:r>
              <w:rPr>
                <w:rFonts w:hint="eastAsia" w:ascii="宋体" w:hAnsi="宋体" w:cs="宋体"/>
                <w:color w:val="auto"/>
                <w:kern w:val="0"/>
                <w:szCs w:val="21"/>
                <w:highlight w:val="none"/>
                <w:lang w:val="en-US" w:eastAsia="zh-CN"/>
              </w:rPr>
              <w:t>，在领取成交通知书时，由成交人向招标代理机构缴纳。</w:t>
            </w:r>
          </w:p>
          <w:p>
            <w:pPr>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 xml:space="preserve">2.中标（成交）结果公示结束后，政府采购代理机构应立即向成交供应商发放中标（成交）通知书。 </w:t>
            </w:r>
          </w:p>
          <w:p>
            <w:pPr>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 xml:space="preserve">3.采购人应当在签订采购合同后 1 个工作日内，及时在“河南政府采购网”依法公开政府采购合同信息。 </w:t>
            </w:r>
          </w:p>
          <w:p>
            <w:pPr>
              <w:spacing w:line="440" w:lineRule="exact"/>
              <w:ind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4.采购人或采购代理机构应当通过“信用中国”网站、“中国裁判文书网”或各级信用信息共享平台查询相关投标人是否被列入失信被执行人、是否有行贿犯罪记录。”投标人如记录为失信被执行人、有行贿犯罪记录的将被取消其评标资格、中标资格）。信用信息查询记录和证据将同招标文件等资料一同归档保存。</w:t>
            </w:r>
          </w:p>
        </w:tc>
      </w:tr>
      <w:tr>
        <w:tblPrEx>
          <w:tblCellMar>
            <w:top w:w="0" w:type="dxa"/>
            <w:left w:w="108" w:type="dxa"/>
            <w:bottom w:w="0" w:type="dxa"/>
            <w:right w:w="108" w:type="dxa"/>
          </w:tblCellMar>
        </w:tblPrEx>
        <w:trPr>
          <w:trHeight w:val="2356"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hint="eastAsia" w:ascii="宋体" w:hAnsi="宋体" w:cs="宋体"/>
                <w:color w:val="auto"/>
                <w:sz w:val="21"/>
                <w:szCs w:val="21"/>
                <w:highlight w:val="none"/>
              </w:rPr>
            </w:pPr>
            <w:r>
              <w:rPr>
                <w:rFonts w:hint="eastAsia" w:ascii="宋体" w:hAnsi="宋体" w:cs="宋体"/>
                <w:color w:val="auto"/>
                <w:kern w:val="0"/>
                <w:szCs w:val="21"/>
                <w:highlight w:val="none"/>
              </w:rPr>
              <w:t>本磋商文件未尽事宜，按《中华人民共和国政府采购法》等法律法规的有关规定执行。</w:t>
            </w:r>
            <w:r>
              <w:rPr>
                <w:rFonts w:hint="eastAsia" w:ascii="宋体" w:hAnsi="宋体" w:cs="宋体"/>
                <w:color w:val="auto"/>
                <w:sz w:val="21"/>
                <w:szCs w:val="21"/>
                <w:highlight w:val="none"/>
              </w:rPr>
              <w:t>中小企业划分标准见工业和信息化部 国家统计局 国家发展改革委 财政部 《关于印发中小企业划型标准规定的通知》工信部联企业 [2011]300号。</w:t>
            </w:r>
          </w:p>
          <w:p>
            <w:pPr>
              <w:spacing w:line="500" w:lineRule="exact"/>
              <w:ind w:firstLine="422" w:firstLineChars="200"/>
              <w:jc w:val="both"/>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本项目标的物所属行业：</w:t>
            </w:r>
            <w:r>
              <w:rPr>
                <w:rFonts w:hint="eastAsia" w:ascii="宋体" w:hAnsi="宋体" w:cs="宋体"/>
                <w:b/>
                <w:bCs/>
                <w:color w:val="auto"/>
                <w:sz w:val="21"/>
                <w:szCs w:val="21"/>
                <w:highlight w:val="none"/>
                <w:lang w:eastAsia="zh-CN"/>
              </w:rPr>
              <w:t>其他未列明行业</w:t>
            </w:r>
            <w:r>
              <w:rPr>
                <w:rFonts w:hint="eastAsia" w:ascii="宋体" w:hAnsi="宋体" w:eastAsia="宋体" w:cs="宋体"/>
                <w:b/>
                <w:bCs/>
                <w:color w:val="auto"/>
                <w:sz w:val="21"/>
                <w:szCs w:val="21"/>
                <w:highlight w:val="none"/>
              </w:rPr>
              <w:t>。</w:t>
            </w:r>
          </w:p>
          <w:p>
            <w:pPr>
              <w:spacing w:line="400" w:lineRule="exact"/>
              <w:jc w:val="left"/>
              <w:rPr>
                <w:rFonts w:ascii="宋体" w:hAnsi="宋体" w:cs="宋体"/>
                <w:color w:val="auto"/>
                <w:szCs w:val="21"/>
                <w:highlight w:val="none"/>
              </w:rPr>
            </w:pPr>
          </w:p>
        </w:tc>
      </w:tr>
    </w:tbl>
    <w:p>
      <w:pPr>
        <w:pStyle w:val="40"/>
        <w:rPr>
          <w:color w:val="auto"/>
          <w:highlight w:val="none"/>
        </w:rPr>
      </w:pPr>
      <w:bookmarkStart w:id="10" w:name="_Toc421284740"/>
      <w:bookmarkStart w:id="11" w:name="_Toc12291"/>
      <w:bookmarkStart w:id="12" w:name="_Toc28006"/>
      <w:bookmarkStart w:id="13" w:name="_Toc175644026"/>
      <w:r>
        <w:rPr>
          <w:color w:val="auto"/>
          <w:highlight w:val="none"/>
        </w:rPr>
        <w:br w:type="page"/>
      </w:r>
    </w:p>
    <w:p>
      <w:pPr>
        <w:pStyle w:val="7"/>
        <w:numPr>
          <w:ilvl w:val="0"/>
          <w:numId w:val="3"/>
        </w:numPr>
        <w:spacing w:before="0" w:after="0" w:line="440" w:lineRule="exact"/>
        <w:jc w:val="left"/>
        <w:rPr>
          <w:rStyle w:val="48"/>
          <w:rFonts w:ascii="宋体" w:hAnsi="宋体" w:eastAsia="宋体" w:cs="宋体"/>
          <w:b/>
          <w:bCs/>
          <w:color w:val="auto"/>
          <w:highlight w:val="none"/>
        </w:rPr>
      </w:pPr>
      <w:bookmarkStart w:id="14" w:name="_Toc18157"/>
      <w:r>
        <w:rPr>
          <w:rStyle w:val="48"/>
          <w:rFonts w:hint="eastAsia" w:ascii="宋体" w:hAnsi="宋体" w:eastAsia="宋体" w:cs="宋体"/>
          <w:b/>
          <w:bCs/>
          <w:color w:val="auto"/>
          <w:highlight w:val="none"/>
        </w:rPr>
        <w:t>总则</w:t>
      </w:r>
      <w:bookmarkEnd w:id="10"/>
      <w:bookmarkEnd w:id="11"/>
      <w:bookmarkEnd w:id="14"/>
    </w:p>
    <w:p>
      <w:pPr>
        <w:numPr>
          <w:ilvl w:val="0"/>
          <w:numId w:val="4"/>
        </w:numPr>
        <w:tabs>
          <w:tab w:val="left" w:pos="0"/>
        </w:tabs>
        <w:spacing w:line="360" w:lineRule="auto"/>
        <w:ind w:left="0" w:firstLine="424" w:firstLineChars="176"/>
        <w:rPr>
          <w:rFonts w:ascii="Times New Roman" w:hAnsi="Times New Roman"/>
          <w:b/>
          <w:color w:val="auto"/>
          <w:sz w:val="24"/>
          <w:szCs w:val="24"/>
          <w:highlight w:val="none"/>
        </w:rPr>
      </w:pPr>
      <w:r>
        <w:rPr>
          <w:rFonts w:ascii="Times New Roman" w:hAnsi="Times New Roman"/>
          <w:b/>
          <w:color w:val="auto"/>
          <w:sz w:val="24"/>
          <w:szCs w:val="24"/>
          <w:highlight w:val="none"/>
        </w:rPr>
        <w:t>适用范围</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1.1本范本是根据《中华人民共和国政府采购法》、《中华人民共和国政府采购法实施条例》、《</w:t>
      </w:r>
      <w:r>
        <w:rPr>
          <w:rFonts w:ascii="Times New Roman" w:hAnsi="Times New Roman"/>
          <w:snapToGrid w:val="0"/>
          <w:color w:val="auto"/>
          <w:kern w:val="0"/>
          <w:szCs w:val="21"/>
          <w:highlight w:val="none"/>
        </w:rPr>
        <w:t>政府采购竞争性磋商采购方式管理暂行办法</w:t>
      </w:r>
      <w:r>
        <w:rPr>
          <w:rFonts w:ascii="Times New Roman" w:hAnsi="Times New Roman"/>
          <w:color w:val="auto"/>
          <w:szCs w:val="21"/>
          <w:highlight w:val="none"/>
        </w:rPr>
        <w:t>》、</w:t>
      </w:r>
      <w:r>
        <w:rPr>
          <w:rFonts w:ascii="Times New Roman" w:hAnsi="Times New Roman"/>
          <w:color w:val="auto"/>
          <w:szCs w:val="21"/>
          <w:highlight w:val="none"/>
          <w:shd w:val="clear" w:color="auto" w:fill="FFFFFF"/>
        </w:rPr>
        <w:t>《政府采购非招标采购方式管理办法》、</w:t>
      </w:r>
      <w:r>
        <w:rPr>
          <w:rFonts w:ascii="Times New Roman" w:hAnsi="Times New Roman"/>
          <w:color w:val="auto"/>
          <w:kern w:val="0"/>
          <w:szCs w:val="21"/>
          <w:highlight w:val="none"/>
        </w:rPr>
        <w:t>《政府采购货物和服务招标投标管理办法》</w:t>
      </w:r>
      <w:r>
        <w:rPr>
          <w:rFonts w:ascii="Times New Roman" w:hAnsi="Times New Roman"/>
          <w:color w:val="auto"/>
          <w:szCs w:val="21"/>
          <w:highlight w:val="none"/>
        </w:rPr>
        <w:t>等相关法律法规、部门规章制订。</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1.2本磋商文件仅适用于本次竞争性磋商采购所叙述的采购项目。</w:t>
      </w:r>
      <w:r>
        <w:rPr>
          <w:rFonts w:ascii="Times New Roman" w:hAnsi="Times New Roman"/>
          <w:color w:val="auto"/>
          <w:szCs w:val="21"/>
          <w:highlight w:val="none"/>
          <w:shd w:val="clear" w:color="auto" w:fill="FFFFFF"/>
        </w:rPr>
        <w:t>供应商应当按照磋商文件的要求编制响应文件。</w:t>
      </w:r>
      <w:r>
        <w:rPr>
          <w:rFonts w:ascii="Times New Roman" w:hAnsi="Times New Roman"/>
          <w:color w:val="auto"/>
          <w:kern w:val="0"/>
          <w:szCs w:val="21"/>
          <w:highlight w:val="none"/>
        </w:rPr>
        <w:t>供应商编制响应文件时，不得向采购人提出任何磋商文件要求（规定的条件）之外的附加条件，</w:t>
      </w:r>
      <w:r>
        <w:rPr>
          <w:rFonts w:ascii="Times New Roman" w:hAnsi="Times New Roman"/>
          <w:color w:val="auto"/>
          <w:szCs w:val="21"/>
          <w:highlight w:val="none"/>
          <w:shd w:val="clear" w:color="auto" w:fill="FFFFFF"/>
        </w:rPr>
        <w:t>并对其提交的响应文件的真实性、合法性承担法律责任。</w:t>
      </w:r>
    </w:p>
    <w:p>
      <w:pPr>
        <w:numPr>
          <w:ilvl w:val="0"/>
          <w:numId w:val="4"/>
        </w:numPr>
        <w:tabs>
          <w:tab w:val="left" w:pos="0"/>
        </w:tabs>
        <w:spacing w:line="360" w:lineRule="auto"/>
        <w:ind w:left="0" w:firstLine="371" w:firstLineChars="176"/>
        <w:rPr>
          <w:rFonts w:ascii="Times New Roman" w:hAnsi="Times New Roman"/>
          <w:b/>
          <w:color w:val="auto"/>
          <w:szCs w:val="21"/>
          <w:highlight w:val="none"/>
        </w:rPr>
      </w:pPr>
      <w:r>
        <w:rPr>
          <w:rFonts w:ascii="Times New Roman" w:hAnsi="Times New Roman"/>
          <w:b/>
          <w:color w:val="auto"/>
          <w:szCs w:val="21"/>
          <w:highlight w:val="none"/>
        </w:rPr>
        <w:t>定义</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2.1服务：</w:t>
      </w:r>
      <w:r>
        <w:rPr>
          <w:rFonts w:ascii="Times New Roman" w:hAnsi="Times New Roman"/>
          <w:color w:val="auto"/>
          <w:kern w:val="0"/>
          <w:szCs w:val="21"/>
          <w:highlight w:val="none"/>
          <w:shd w:val="clear" w:color="auto" w:fill="FFFFFF"/>
        </w:rPr>
        <w:t>是指除货物和工程以外的其他政府采购对象，</w:t>
      </w:r>
      <w:r>
        <w:rPr>
          <w:rFonts w:ascii="Times New Roman" w:hAnsi="Times New Roman"/>
          <w:color w:val="auto"/>
          <w:szCs w:val="21"/>
          <w:highlight w:val="none"/>
        </w:rPr>
        <w:t>包括政府自身需要的服务和政府向社会公众提供的公共服务。</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2.2采购代理机构：是指接受采购人委托，代理政府采购项目的集中采购机构、社会中介采购代理机构的总称。具体项目的采购代理机构，在供应商须知前附表序号</w:t>
      </w:r>
      <w:r>
        <w:rPr>
          <w:rFonts w:hint="eastAsia" w:ascii="Times New Roman" w:hAnsi="Times New Roman"/>
          <w:color w:val="auto"/>
          <w:szCs w:val="21"/>
          <w:highlight w:val="none"/>
        </w:rPr>
        <w:t>1.1.</w:t>
      </w:r>
      <w:r>
        <w:rPr>
          <w:rFonts w:ascii="Times New Roman" w:hAnsi="Times New Roman"/>
          <w:color w:val="auto"/>
          <w:szCs w:val="21"/>
          <w:highlight w:val="none"/>
        </w:rPr>
        <w:t>3中规定。</w:t>
      </w:r>
    </w:p>
    <w:p>
      <w:pPr>
        <w:tabs>
          <w:tab w:val="left" w:pos="0"/>
        </w:tabs>
        <w:spacing w:line="360" w:lineRule="auto"/>
        <w:ind w:left="181" w:leftChars="86" w:firstLine="210" w:firstLineChars="100"/>
        <w:rPr>
          <w:rFonts w:ascii="Times New Roman" w:hAnsi="Times New Roman"/>
          <w:color w:val="auto"/>
          <w:szCs w:val="21"/>
          <w:highlight w:val="none"/>
        </w:rPr>
      </w:pPr>
      <w:r>
        <w:rPr>
          <w:rFonts w:ascii="Times New Roman" w:hAnsi="Times New Roman"/>
          <w:color w:val="auto"/>
          <w:szCs w:val="21"/>
          <w:highlight w:val="none"/>
        </w:rPr>
        <w:t>2.3采购人: 是指依法进行政府采购的国家机关、事业单位、团体组织。既本次采购项目的业主方。</w:t>
      </w:r>
    </w:p>
    <w:p>
      <w:pPr>
        <w:tabs>
          <w:tab w:val="left" w:pos="0"/>
        </w:tabs>
        <w:spacing w:line="360" w:lineRule="auto"/>
        <w:ind w:left="178" w:leftChars="85" w:firstLine="210" w:firstLineChars="100"/>
        <w:rPr>
          <w:rFonts w:ascii="Times New Roman" w:hAnsi="Times New Roman"/>
          <w:color w:val="auto"/>
          <w:szCs w:val="21"/>
          <w:highlight w:val="none"/>
        </w:rPr>
      </w:pPr>
      <w:r>
        <w:rPr>
          <w:rFonts w:ascii="Times New Roman" w:hAnsi="Times New Roman"/>
          <w:color w:val="auto"/>
          <w:szCs w:val="21"/>
          <w:highlight w:val="none"/>
        </w:rPr>
        <w:t>2.4供应商：是指向采购人提供货物、工程或者服务的法人、其他组织或者自然人。即对“供应商须知前附表”</w:t>
      </w:r>
      <w:r>
        <w:rPr>
          <w:rFonts w:hint="eastAsia" w:ascii="Times New Roman" w:hAnsi="Times New Roman"/>
          <w:color w:val="auto"/>
          <w:szCs w:val="21"/>
          <w:highlight w:val="none"/>
        </w:rPr>
        <w:t>1.1.4</w:t>
      </w:r>
      <w:r>
        <w:rPr>
          <w:rFonts w:ascii="Times New Roman" w:hAnsi="Times New Roman"/>
          <w:color w:val="auto"/>
          <w:szCs w:val="21"/>
          <w:highlight w:val="none"/>
        </w:rPr>
        <w:t>所指称项目表现出兴趣，并有可能实际参与该项目竞争的法人、其他组织或者自然人。</w:t>
      </w:r>
    </w:p>
    <w:p>
      <w:pPr>
        <w:tabs>
          <w:tab w:val="left" w:pos="0"/>
        </w:tabs>
        <w:spacing w:line="360" w:lineRule="auto"/>
        <w:ind w:left="178" w:leftChars="85" w:firstLine="210" w:firstLineChars="100"/>
        <w:rPr>
          <w:rFonts w:ascii="Times New Roman" w:hAnsi="Times New Roman"/>
          <w:color w:val="auto"/>
          <w:kern w:val="0"/>
          <w:szCs w:val="21"/>
          <w:highlight w:val="none"/>
        </w:rPr>
      </w:pPr>
      <w:r>
        <w:rPr>
          <w:rFonts w:ascii="Times New Roman" w:hAnsi="Times New Roman"/>
          <w:color w:val="auto"/>
          <w:szCs w:val="21"/>
          <w:highlight w:val="none"/>
        </w:rPr>
        <w:t>2.5 磋商小组：是指</w:t>
      </w:r>
      <w:r>
        <w:rPr>
          <w:rFonts w:ascii="Times New Roman" w:hAnsi="Times New Roman"/>
          <w:color w:val="auto"/>
          <w:kern w:val="0"/>
          <w:szCs w:val="21"/>
          <w:highlight w:val="none"/>
        </w:rPr>
        <w:t>依据《中华人民共和国政府采购法》、</w:t>
      </w:r>
      <w:r>
        <w:rPr>
          <w:rFonts w:ascii="Times New Roman" w:hAnsi="Times New Roman"/>
          <w:color w:val="auto"/>
          <w:szCs w:val="21"/>
          <w:highlight w:val="none"/>
        </w:rPr>
        <w:t>《中华人民共和国政府采购法实施条例》</w:t>
      </w:r>
      <w:r>
        <w:rPr>
          <w:rFonts w:ascii="Times New Roman" w:hAnsi="Times New Roman"/>
          <w:color w:val="auto"/>
          <w:kern w:val="0"/>
          <w:szCs w:val="21"/>
          <w:highlight w:val="none"/>
        </w:rPr>
        <w:t>和财政部</w:t>
      </w:r>
      <w:r>
        <w:rPr>
          <w:rFonts w:ascii="Times New Roman" w:hAnsi="Times New Roman"/>
          <w:color w:val="auto"/>
          <w:szCs w:val="21"/>
          <w:highlight w:val="none"/>
        </w:rPr>
        <w:t>《</w:t>
      </w:r>
      <w:r>
        <w:rPr>
          <w:rFonts w:ascii="Times New Roman" w:hAnsi="Times New Roman"/>
          <w:snapToGrid w:val="0"/>
          <w:color w:val="auto"/>
          <w:kern w:val="0"/>
          <w:szCs w:val="21"/>
          <w:highlight w:val="none"/>
        </w:rPr>
        <w:t>政府采购竞争性磋商采购方式管理暂行办法</w:t>
      </w:r>
      <w:r>
        <w:rPr>
          <w:rFonts w:ascii="Times New Roman" w:hAnsi="Times New Roman"/>
          <w:color w:val="auto"/>
          <w:szCs w:val="21"/>
          <w:highlight w:val="none"/>
        </w:rPr>
        <w:t>》</w:t>
      </w:r>
      <w:r>
        <w:rPr>
          <w:rFonts w:ascii="Times New Roman" w:hAnsi="Times New Roman"/>
          <w:bCs/>
          <w:color w:val="auto"/>
          <w:kern w:val="36"/>
          <w:szCs w:val="21"/>
          <w:highlight w:val="none"/>
        </w:rPr>
        <w:t>有关规定组建，依法依规</w:t>
      </w:r>
      <w:r>
        <w:rPr>
          <w:rFonts w:ascii="Times New Roman" w:hAnsi="Times New Roman"/>
          <w:color w:val="auto"/>
          <w:kern w:val="0"/>
          <w:szCs w:val="21"/>
          <w:highlight w:val="none"/>
        </w:rPr>
        <w:t>履行其职责和义务的机构。</w:t>
      </w:r>
    </w:p>
    <w:p>
      <w:pPr>
        <w:numPr>
          <w:ilvl w:val="0"/>
          <w:numId w:val="4"/>
        </w:numPr>
        <w:tabs>
          <w:tab w:val="left" w:pos="0"/>
        </w:tabs>
        <w:spacing w:line="360" w:lineRule="auto"/>
        <w:ind w:left="0" w:firstLine="371" w:firstLineChars="176"/>
        <w:rPr>
          <w:rFonts w:ascii="Times New Roman" w:hAnsi="Times New Roman"/>
          <w:b/>
          <w:color w:val="auto"/>
          <w:szCs w:val="21"/>
          <w:highlight w:val="none"/>
        </w:rPr>
      </w:pPr>
      <w:r>
        <w:rPr>
          <w:rFonts w:ascii="Times New Roman" w:hAnsi="Times New Roman"/>
          <w:b/>
          <w:color w:val="auto"/>
          <w:szCs w:val="21"/>
          <w:highlight w:val="none"/>
        </w:rPr>
        <w:t>合格的供应商</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3.1根据政府采购法的规定，参与政府采购活动的供应商必须是满足</w:t>
      </w:r>
      <w:r>
        <w:rPr>
          <w:rFonts w:ascii="Times New Roman" w:hAnsi="Times New Roman"/>
          <w:color w:val="auto"/>
          <w:kern w:val="0"/>
          <w:szCs w:val="21"/>
          <w:highlight w:val="none"/>
        </w:rPr>
        <w:t>《政府采购法》第二十二条规定的全部条件</w:t>
      </w:r>
      <w:r>
        <w:rPr>
          <w:rFonts w:ascii="Times New Roman" w:hAnsi="Times New Roman"/>
          <w:color w:val="auto"/>
          <w:szCs w:val="21"/>
          <w:highlight w:val="none"/>
        </w:rPr>
        <w:t>的法人、其他组织或者自然人：</w:t>
      </w:r>
    </w:p>
    <w:p>
      <w:pPr>
        <w:adjustRightInd w:val="0"/>
        <w:snapToGrid w:val="0"/>
        <w:spacing w:line="360" w:lineRule="auto"/>
        <w:ind w:firstLine="480"/>
        <w:rPr>
          <w:rFonts w:ascii="Times New Roman" w:hAnsi="Times New Roman"/>
          <w:color w:val="auto"/>
          <w:szCs w:val="21"/>
          <w:highlight w:val="none"/>
        </w:rPr>
      </w:pPr>
      <w:r>
        <w:rPr>
          <w:rFonts w:hint="eastAsia" w:ascii="Times New Roman" w:hAnsi="Times New Roman"/>
          <w:color w:val="auto"/>
          <w:szCs w:val="21"/>
          <w:highlight w:val="none"/>
        </w:rPr>
        <w:t>3.1.1</w:t>
      </w:r>
      <w:r>
        <w:rPr>
          <w:rFonts w:ascii="Times New Roman" w:hAnsi="Times New Roman"/>
          <w:color w:val="auto"/>
          <w:szCs w:val="21"/>
          <w:highlight w:val="none"/>
        </w:rPr>
        <w:t>供应商具备工商行政主管部门核发的有效法人营业执照</w:t>
      </w:r>
      <w:r>
        <w:rPr>
          <w:rFonts w:hint="eastAsia" w:ascii="Times New Roman" w:hAnsi="Times New Roman"/>
          <w:color w:val="auto"/>
          <w:szCs w:val="21"/>
          <w:highlight w:val="none"/>
        </w:rPr>
        <w:t>或事业单位法人证书</w:t>
      </w:r>
      <w:r>
        <w:rPr>
          <w:rFonts w:ascii="Times New Roman" w:hAnsi="Times New Roman"/>
          <w:color w:val="auto"/>
          <w:szCs w:val="21"/>
          <w:highlight w:val="none"/>
        </w:rPr>
        <w:t>；</w:t>
      </w:r>
    </w:p>
    <w:p>
      <w:pPr>
        <w:adjustRightInd w:val="0"/>
        <w:snapToGrid w:val="0"/>
        <w:spacing w:line="360" w:lineRule="auto"/>
        <w:ind w:firstLine="480"/>
        <w:rPr>
          <w:rFonts w:ascii="Times New Roman" w:hAnsi="Times New Roman"/>
          <w:color w:val="auto"/>
          <w:szCs w:val="21"/>
          <w:highlight w:val="none"/>
        </w:rPr>
      </w:pPr>
      <w:r>
        <w:rPr>
          <w:rFonts w:hint="eastAsia" w:ascii="Times New Roman" w:hAnsi="Times New Roman"/>
          <w:color w:val="auto"/>
          <w:szCs w:val="21"/>
          <w:highlight w:val="none"/>
        </w:rPr>
        <w:t>3.1.2</w:t>
      </w:r>
      <w:r>
        <w:rPr>
          <w:rFonts w:ascii="Times New Roman" w:hAnsi="Times New Roman"/>
          <w:color w:val="auto"/>
          <w:szCs w:val="21"/>
          <w:highlight w:val="none"/>
        </w:rPr>
        <w:t xml:space="preserve"> </w:t>
      </w:r>
      <w:r>
        <w:rPr>
          <w:rFonts w:hint="eastAsia" w:ascii="Times New Roman" w:hAnsi="Times New Roman"/>
          <w:color w:val="auto"/>
          <w:szCs w:val="21"/>
          <w:highlight w:val="none"/>
        </w:rPr>
        <w:t>供应商需提供提供无行贿犯罪记录承诺书（内容包括：企业法人、法定代表人、法定代表授权委托人）</w:t>
      </w:r>
    </w:p>
    <w:p>
      <w:pPr>
        <w:adjustRightInd w:val="0"/>
        <w:snapToGrid w:val="0"/>
        <w:spacing w:line="360" w:lineRule="auto"/>
        <w:ind w:firstLine="420" w:firstLineChars="200"/>
        <w:rPr>
          <w:rFonts w:ascii="Times New Roman" w:hAnsi="Times New Roman"/>
          <w:color w:val="auto"/>
          <w:szCs w:val="21"/>
          <w:highlight w:val="none"/>
        </w:rPr>
      </w:pPr>
      <w:r>
        <w:rPr>
          <w:rFonts w:hint="eastAsia" w:ascii="Times New Roman" w:hAnsi="Times New Roman"/>
          <w:color w:val="auto"/>
          <w:szCs w:val="21"/>
          <w:highlight w:val="none"/>
        </w:rPr>
        <w:t>3.1.3</w:t>
      </w:r>
      <w:r>
        <w:rPr>
          <w:rFonts w:ascii="Times New Roman" w:hAnsi="Times New Roman"/>
          <w:color w:val="auto"/>
          <w:szCs w:val="21"/>
          <w:highlight w:val="none"/>
        </w:rPr>
        <w:t>本项目不接受联合体投标。</w:t>
      </w:r>
    </w:p>
    <w:p>
      <w:pPr>
        <w:tabs>
          <w:tab w:val="left" w:pos="0"/>
          <w:tab w:val="left" w:pos="720"/>
        </w:tabs>
        <w:spacing w:line="360" w:lineRule="auto"/>
        <w:ind w:left="267" w:leftChars="127"/>
        <w:rPr>
          <w:rFonts w:ascii="Times New Roman" w:hAnsi="Times New Roman"/>
          <w:color w:val="auto"/>
          <w:szCs w:val="21"/>
          <w:highlight w:val="none"/>
        </w:rPr>
      </w:pPr>
      <w:r>
        <w:rPr>
          <w:rFonts w:ascii="Times New Roman" w:hAnsi="Times New Roman"/>
          <w:color w:val="auto"/>
          <w:szCs w:val="21"/>
          <w:highlight w:val="none"/>
        </w:rPr>
        <w:t>3.2由于政府采购项目的差异性，供应商在参与具体政府采购项目活动时，还要仔细阅读该项目（或包）的资质及相关要求。</w:t>
      </w:r>
    </w:p>
    <w:p>
      <w:pPr>
        <w:tabs>
          <w:tab w:val="left" w:pos="0"/>
          <w:tab w:val="left" w:pos="720"/>
        </w:tabs>
        <w:spacing w:line="360" w:lineRule="auto"/>
        <w:ind w:firstLine="371" w:firstLineChars="176"/>
        <w:rPr>
          <w:rFonts w:ascii="Times New Roman" w:hAnsi="Times New Roman"/>
          <w:b/>
          <w:color w:val="auto"/>
          <w:szCs w:val="21"/>
          <w:highlight w:val="none"/>
        </w:rPr>
      </w:pPr>
      <w:r>
        <w:rPr>
          <w:rFonts w:ascii="Times New Roman" w:hAnsi="Times New Roman"/>
          <w:b/>
          <w:color w:val="auto"/>
          <w:szCs w:val="21"/>
          <w:highlight w:val="none"/>
        </w:rPr>
        <w:t>4、供应商参与磋商活动的费用以及风险</w:t>
      </w:r>
    </w:p>
    <w:p>
      <w:pPr>
        <w:tabs>
          <w:tab w:val="left" w:pos="0"/>
          <w:tab w:val="left" w:pos="720"/>
        </w:tabs>
        <w:spacing w:line="360" w:lineRule="auto"/>
        <w:ind w:left="359" w:leftChars="171" w:firstLine="369" w:firstLineChars="176"/>
        <w:rPr>
          <w:rFonts w:ascii="Times New Roman" w:hAnsi="Times New Roman"/>
          <w:color w:val="auto"/>
          <w:szCs w:val="21"/>
          <w:highlight w:val="none"/>
        </w:rPr>
      </w:pPr>
      <w:r>
        <w:rPr>
          <w:rFonts w:ascii="Times New Roman" w:hAnsi="Times New Roman"/>
          <w:color w:val="auto"/>
          <w:szCs w:val="21"/>
          <w:highlight w:val="none"/>
        </w:rPr>
        <w:t>4.1供应商必须自行承担所有与参加政府采购活动的有关费用。不论结果如何，采购代理机构在任何情况下均无义务和责任承担这些费用。</w:t>
      </w:r>
    </w:p>
    <w:p>
      <w:pPr>
        <w:tabs>
          <w:tab w:val="left" w:pos="0"/>
        </w:tabs>
        <w:spacing w:line="360" w:lineRule="auto"/>
        <w:ind w:left="315" w:leftChars="150" w:firstLine="369" w:firstLineChars="176"/>
        <w:rPr>
          <w:rFonts w:ascii="Times New Roman" w:hAnsi="Times New Roman"/>
          <w:color w:val="auto"/>
          <w:szCs w:val="21"/>
          <w:highlight w:val="none"/>
        </w:rPr>
      </w:pPr>
      <w:r>
        <w:rPr>
          <w:rFonts w:ascii="Times New Roman" w:hAnsi="Times New Roman"/>
          <w:color w:val="auto"/>
          <w:szCs w:val="21"/>
          <w:highlight w:val="none"/>
        </w:rPr>
        <w:t>4.2供应商一旦购买了磋商文件并参加本次政府采购活动，即被认为接受了磋商文件中的所有条件和规定。</w:t>
      </w:r>
    </w:p>
    <w:p>
      <w:pPr>
        <w:tabs>
          <w:tab w:val="left" w:pos="0"/>
        </w:tabs>
        <w:spacing w:line="360" w:lineRule="auto"/>
        <w:ind w:left="315" w:leftChars="150" w:firstLine="369" w:firstLineChars="176"/>
        <w:rPr>
          <w:rFonts w:ascii="Times New Roman" w:hAnsi="Times New Roman"/>
          <w:color w:val="auto"/>
          <w:szCs w:val="21"/>
          <w:highlight w:val="none"/>
        </w:rPr>
      </w:pPr>
      <w:r>
        <w:rPr>
          <w:rFonts w:ascii="Times New Roman" w:hAnsi="Times New Roman"/>
          <w:color w:val="auto"/>
          <w:szCs w:val="21"/>
          <w:highlight w:val="none"/>
        </w:rPr>
        <w:t>4.3供应商应认真阅读磋商文件中所有的事项、格式、条款和规范等要求。如果没有按照磋商文件要求提交全部资料，或没有对磋商文件做出实质性响应，其风险应由供应商自行承担。</w:t>
      </w:r>
    </w:p>
    <w:p>
      <w:pPr>
        <w:tabs>
          <w:tab w:val="left" w:pos="0"/>
        </w:tabs>
        <w:spacing w:line="360" w:lineRule="auto"/>
        <w:ind w:left="271" w:leftChars="129" w:firstLine="369" w:firstLineChars="176"/>
        <w:rPr>
          <w:rFonts w:ascii="Times New Roman" w:hAnsi="Times New Roman"/>
          <w:color w:val="auto"/>
          <w:szCs w:val="21"/>
          <w:highlight w:val="none"/>
        </w:rPr>
      </w:pPr>
      <w:r>
        <w:rPr>
          <w:rFonts w:ascii="Times New Roman" w:hAnsi="Times New Roman"/>
          <w:color w:val="auto"/>
          <w:szCs w:val="21"/>
          <w:highlight w:val="none"/>
        </w:rPr>
        <w:t>4.4供应商所提供的所有资料（包括</w:t>
      </w:r>
      <w:r>
        <w:rPr>
          <w:rFonts w:ascii="Times New Roman" w:hAnsi="Times New Roman"/>
          <w:bCs/>
          <w:color w:val="auto"/>
          <w:szCs w:val="21"/>
          <w:highlight w:val="none"/>
        </w:rPr>
        <w:t>彩色扫描件、</w:t>
      </w:r>
      <w:r>
        <w:rPr>
          <w:rFonts w:ascii="Times New Roman" w:hAnsi="Times New Roman"/>
          <w:color w:val="auto"/>
          <w:szCs w:val="21"/>
          <w:highlight w:val="none"/>
        </w:rPr>
        <w:t>复印件、影印打印件等）必须清晰，如因提供的资料难以辨认，其风险由供应商自行承担。</w:t>
      </w:r>
    </w:p>
    <w:p>
      <w:pPr>
        <w:tabs>
          <w:tab w:val="left" w:pos="0"/>
        </w:tabs>
        <w:spacing w:line="360" w:lineRule="auto"/>
        <w:ind w:left="271" w:leftChars="129" w:firstLine="369" w:firstLineChars="176"/>
        <w:rPr>
          <w:rFonts w:ascii="Times New Roman" w:hAnsi="Times New Roman"/>
          <w:color w:val="auto"/>
          <w:szCs w:val="21"/>
          <w:highlight w:val="none"/>
        </w:rPr>
      </w:pPr>
      <w:r>
        <w:rPr>
          <w:rFonts w:ascii="Times New Roman" w:hAnsi="Times New Roman"/>
          <w:color w:val="auto"/>
          <w:szCs w:val="21"/>
          <w:highlight w:val="none"/>
        </w:rPr>
        <w:t>4.5供应商必须保证采购人使用货物、资料、技术、服务或其任何一部分时，享有不受限制的无偿使用权，不会产生因第三方提出侵犯其专利权、商标权或其它知识产权而引起的法律或经济纠纷。如供应商不拥有相应的知识产权，则在报价中必须包括合法获取该知识产权的一切相关费用，若因供应商提供的货物、资料、技术、服务或其任何一部分侵犯第三方的专利权、商标权或其它知识产权而引起的法律或经济纠纷，导致采购人损失，一切赔偿费用由供应商承担。</w:t>
      </w:r>
    </w:p>
    <w:bookmarkEnd w:id="12"/>
    <w:p>
      <w:pPr>
        <w:pStyle w:val="7"/>
        <w:spacing w:before="0" w:after="0" w:line="440" w:lineRule="exact"/>
        <w:ind w:left="468" w:firstLine="0"/>
        <w:jc w:val="left"/>
        <w:rPr>
          <w:rStyle w:val="48"/>
          <w:rFonts w:ascii="宋体" w:hAnsi="宋体" w:eastAsia="宋体" w:cs="宋体"/>
          <w:b/>
          <w:bCs/>
          <w:color w:val="auto"/>
          <w:highlight w:val="none"/>
        </w:rPr>
      </w:pPr>
      <w:bookmarkStart w:id="15" w:name="_Toc5706"/>
      <w:bookmarkStart w:id="16" w:name="_Toc5872"/>
      <w:bookmarkStart w:id="17" w:name="_Toc24765"/>
      <w:bookmarkStart w:id="18" w:name="_Toc421284742"/>
      <w:r>
        <w:rPr>
          <w:rStyle w:val="48"/>
          <w:rFonts w:ascii="宋体" w:hAnsi="宋体" w:eastAsia="宋体" w:cs="宋体"/>
          <w:b/>
          <w:bCs/>
          <w:color w:val="auto"/>
          <w:highlight w:val="none"/>
        </w:rPr>
        <w:t>2.</w:t>
      </w:r>
      <w:r>
        <w:rPr>
          <w:rStyle w:val="48"/>
          <w:rFonts w:hint="eastAsia" w:ascii="宋体" w:hAnsi="宋体" w:eastAsia="宋体" w:cs="宋体"/>
          <w:b/>
          <w:bCs/>
          <w:color w:val="auto"/>
          <w:highlight w:val="none"/>
        </w:rPr>
        <w:t>磋商文件</w:t>
      </w:r>
      <w:bookmarkEnd w:id="15"/>
      <w:bookmarkEnd w:id="16"/>
      <w:bookmarkEnd w:id="17"/>
      <w:bookmarkEnd w:id="18"/>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2.1 </w:t>
      </w:r>
      <w:r>
        <w:rPr>
          <w:rFonts w:hint="eastAsia" w:ascii="宋体" w:hAnsi="宋体" w:cs="宋体"/>
          <w:b/>
          <w:color w:val="auto"/>
          <w:kern w:val="0"/>
          <w:sz w:val="24"/>
          <w:highlight w:val="none"/>
        </w:rPr>
        <w:t>磋商文件的组成</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本磋商文件包括：</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）竞争性磋商公告；</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highlight w:val="none"/>
        </w:rPr>
        <w:t>供应商</w:t>
      </w:r>
      <w:r>
        <w:rPr>
          <w:rFonts w:hint="eastAsia" w:ascii="宋体" w:hAnsi="宋体" w:cs="宋体"/>
          <w:color w:val="auto"/>
          <w:kern w:val="0"/>
          <w:szCs w:val="21"/>
          <w:highlight w:val="none"/>
        </w:rPr>
        <w:t>须知及供应商须知前附表；</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评标办法；</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服务项目内容及要求</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合同条款及格式</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响应文件格式</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7</w:t>
      </w:r>
      <w:r>
        <w:rPr>
          <w:rFonts w:hint="eastAsia" w:ascii="宋体" w:hAnsi="宋体" w:cs="宋体"/>
          <w:color w:val="auto"/>
          <w:kern w:val="0"/>
          <w:szCs w:val="21"/>
          <w:highlight w:val="none"/>
        </w:rPr>
        <w:t>）其</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他</w:t>
      </w:r>
    </w:p>
    <w:p>
      <w:pPr>
        <w:autoSpaceDE w:val="0"/>
        <w:autoSpaceDN w:val="0"/>
        <w:adjustRightInd w:val="0"/>
        <w:spacing w:line="440" w:lineRule="exact"/>
        <w:jc w:val="left"/>
        <w:rPr>
          <w:rFonts w:ascii="宋体" w:cs="宋体"/>
          <w:b/>
          <w:color w:val="auto"/>
          <w:kern w:val="0"/>
          <w:sz w:val="24"/>
          <w:highlight w:val="none"/>
        </w:rPr>
      </w:pPr>
      <w:r>
        <w:rPr>
          <w:rFonts w:ascii="宋体" w:hAnsi="宋体" w:cs="宋体"/>
          <w:b/>
          <w:color w:val="auto"/>
          <w:kern w:val="0"/>
          <w:sz w:val="24"/>
          <w:highlight w:val="none"/>
        </w:rPr>
        <w:t xml:space="preserve">    2.2 </w:t>
      </w:r>
      <w:r>
        <w:rPr>
          <w:rFonts w:hint="eastAsia" w:ascii="宋体" w:hAnsi="宋体" w:cs="宋体"/>
          <w:b/>
          <w:color w:val="auto"/>
          <w:kern w:val="0"/>
          <w:sz w:val="24"/>
          <w:highlight w:val="none"/>
        </w:rPr>
        <w:t>磋商文件的澄清</w:t>
      </w:r>
    </w:p>
    <w:p>
      <w:pPr>
        <w:spacing w:line="440" w:lineRule="exact"/>
        <w:ind w:firstLine="420" w:firstLineChars="200"/>
        <w:rPr>
          <w:rFonts w:ascii="宋体" w:cs="宋体"/>
          <w:color w:val="auto"/>
          <w:highlight w:val="none"/>
        </w:rPr>
      </w:pPr>
      <w:r>
        <w:rPr>
          <w:rFonts w:ascii="宋体" w:hAnsi="宋体" w:cs="宋体"/>
          <w:color w:val="auto"/>
          <w:highlight w:val="none"/>
        </w:rPr>
        <w:t xml:space="preserve">2.2.1 </w:t>
      </w:r>
      <w:r>
        <w:rPr>
          <w:rFonts w:hint="eastAsia" w:ascii="宋体" w:hAnsi="宋体" w:cs="宋体"/>
          <w:color w:val="auto"/>
          <w:highlight w:val="none"/>
        </w:rPr>
        <w:t>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pPr>
        <w:spacing w:line="440" w:lineRule="exact"/>
        <w:ind w:firstLine="420" w:firstLineChars="200"/>
        <w:rPr>
          <w:rFonts w:ascii="宋体" w:cs="宋体"/>
          <w:color w:val="auto"/>
          <w:sz w:val="32"/>
          <w:szCs w:val="32"/>
          <w:highlight w:val="none"/>
        </w:rPr>
      </w:pPr>
      <w:r>
        <w:rPr>
          <w:rFonts w:ascii="宋体" w:hAnsi="宋体" w:cs="宋体"/>
          <w:color w:val="auto"/>
          <w:highlight w:val="none"/>
        </w:rPr>
        <w:t xml:space="preserve">2.2.2 </w:t>
      </w:r>
      <w:r>
        <w:rPr>
          <w:rFonts w:hint="eastAsia" w:ascii="宋体" w:hAnsi="宋体" w:cs="宋体"/>
          <w:color w:val="auto"/>
          <w:highlight w:val="none"/>
        </w:rPr>
        <w:t>磋商文件的澄清将在供应商须知前附表规定的磋商截止时间</w:t>
      </w:r>
      <w:r>
        <w:rPr>
          <w:rFonts w:ascii="宋体" w:hAnsi="宋体" w:cs="宋体"/>
          <w:color w:val="auto"/>
          <w:highlight w:val="none"/>
        </w:rPr>
        <w:t>5</w:t>
      </w:r>
      <w:r>
        <w:rPr>
          <w:rFonts w:hint="eastAsia" w:ascii="宋体" w:hAnsi="宋体" w:cs="宋体"/>
          <w:color w:val="auto"/>
          <w:highlight w:val="none"/>
        </w:rPr>
        <w:t>天前以书面形式发给所有购买磋商文件的供应商，但不指明澄清问题的来源。如果澄清发出的时间距提交响应文件截止时间不足</w:t>
      </w:r>
      <w:r>
        <w:rPr>
          <w:rFonts w:ascii="宋体" w:hAnsi="宋体" w:cs="宋体"/>
          <w:color w:val="auto"/>
          <w:highlight w:val="none"/>
        </w:rPr>
        <w:t>5</w:t>
      </w:r>
      <w:r>
        <w:rPr>
          <w:rFonts w:hint="eastAsia" w:ascii="宋体" w:hAnsi="宋体" w:cs="宋体"/>
          <w:color w:val="auto"/>
          <w:highlight w:val="none"/>
        </w:rPr>
        <w:t>天，相应延长提交响应文件截止时间。</w:t>
      </w:r>
      <w:r>
        <w:rPr>
          <w:rFonts w:ascii="宋体" w:hAnsi="宋体" w:cs="宋体"/>
          <w:color w:val="auto"/>
          <w:highlight w:val="none"/>
        </w:rPr>
        <w:t xml:space="preserve"> </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highlight w:val="none"/>
        </w:rPr>
        <w:t xml:space="preserve">2.2.3 </w:t>
      </w:r>
      <w:r>
        <w:rPr>
          <w:rFonts w:hint="eastAsia" w:ascii="宋体" w:hAnsi="宋体" w:cs="宋体"/>
          <w:color w:val="auto"/>
          <w:highlight w:val="none"/>
        </w:rPr>
        <w:t>供应商在收到澄清后，应在供应商须知前附表规定的时间内以书面形式通知采购人，确认已收到该澄清。</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2.3 </w:t>
      </w:r>
      <w:r>
        <w:rPr>
          <w:rFonts w:hint="eastAsia" w:ascii="宋体" w:hAnsi="宋体" w:cs="宋体"/>
          <w:b/>
          <w:color w:val="auto"/>
          <w:kern w:val="0"/>
          <w:sz w:val="24"/>
          <w:highlight w:val="none"/>
        </w:rPr>
        <w:t>磋商文件的修改</w:t>
      </w:r>
    </w:p>
    <w:p>
      <w:pPr>
        <w:spacing w:line="440" w:lineRule="exact"/>
        <w:ind w:firstLine="420" w:firstLineChars="200"/>
        <w:rPr>
          <w:rFonts w:ascii="宋体" w:cs="宋体"/>
          <w:color w:val="auto"/>
          <w:highlight w:val="none"/>
        </w:rPr>
      </w:pPr>
      <w:r>
        <w:rPr>
          <w:rFonts w:ascii="宋体" w:hAnsi="宋体" w:cs="宋体"/>
          <w:color w:val="auto"/>
          <w:highlight w:val="none"/>
        </w:rPr>
        <w:t xml:space="preserve">2.3.1 </w:t>
      </w:r>
      <w:r>
        <w:rPr>
          <w:rFonts w:hint="eastAsia" w:ascii="宋体" w:hAnsi="宋体" w:cs="宋体"/>
          <w:color w:val="auto"/>
          <w:highlight w:val="none"/>
        </w:rPr>
        <w:t>在提交响应文件截止</w:t>
      </w:r>
      <w:r>
        <w:rPr>
          <w:rFonts w:ascii="宋体" w:hAnsi="宋体" w:cs="宋体"/>
          <w:color w:val="auto"/>
          <w:highlight w:val="none"/>
        </w:rPr>
        <w:t>5</w:t>
      </w:r>
      <w:r>
        <w:rPr>
          <w:rFonts w:hint="eastAsia" w:ascii="宋体" w:hAnsi="宋体" w:cs="宋体"/>
          <w:color w:val="auto"/>
          <w:highlight w:val="none"/>
        </w:rPr>
        <w:t>天前，采购人可以书面形式修改磋商文件，并通知所有已购买磋商文件的供应商。如果修改磋商文件的时间距提交响应文件截止时间不足</w:t>
      </w:r>
      <w:r>
        <w:rPr>
          <w:rFonts w:ascii="宋体" w:hAnsi="宋体" w:cs="宋体"/>
          <w:color w:val="auto"/>
          <w:highlight w:val="none"/>
        </w:rPr>
        <w:t>5</w:t>
      </w:r>
      <w:r>
        <w:rPr>
          <w:rFonts w:hint="eastAsia" w:ascii="宋体" w:hAnsi="宋体" w:cs="宋体"/>
          <w:color w:val="auto"/>
          <w:highlight w:val="none"/>
        </w:rPr>
        <w:t>天，相应延长提交响应文件截止时间。</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highlight w:val="none"/>
        </w:rPr>
        <w:t xml:space="preserve">2.3.2 </w:t>
      </w:r>
      <w:r>
        <w:rPr>
          <w:rFonts w:hint="eastAsia" w:ascii="宋体" w:hAnsi="宋体" w:cs="宋体"/>
          <w:color w:val="auto"/>
          <w:highlight w:val="none"/>
        </w:rPr>
        <w:t>供应商收到修改内容后，应在供应商须知前附表规定的时间内以书面形式通知采购人，确认已收到该修改。</w:t>
      </w:r>
    </w:p>
    <w:p>
      <w:pPr>
        <w:pStyle w:val="7"/>
        <w:spacing w:before="0" w:after="0" w:line="440" w:lineRule="exact"/>
        <w:ind w:left="468" w:firstLine="0"/>
        <w:jc w:val="left"/>
        <w:rPr>
          <w:rStyle w:val="48"/>
          <w:rFonts w:ascii="宋体" w:hAnsi="宋体" w:eastAsia="宋体" w:cs="宋体"/>
          <w:b/>
          <w:bCs/>
          <w:color w:val="auto"/>
          <w:highlight w:val="none"/>
        </w:rPr>
      </w:pPr>
      <w:bookmarkStart w:id="19" w:name="_Toc23620"/>
      <w:bookmarkStart w:id="20" w:name="_Toc23887"/>
      <w:bookmarkStart w:id="21" w:name="_Toc24882"/>
      <w:bookmarkStart w:id="22" w:name="_Toc421284743"/>
      <w:r>
        <w:rPr>
          <w:rStyle w:val="48"/>
          <w:rFonts w:ascii="宋体" w:hAnsi="宋体" w:eastAsia="宋体" w:cs="宋体"/>
          <w:b/>
          <w:bCs/>
          <w:color w:val="auto"/>
          <w:highlight w:val="none"/>
        </w:rPr>
        <w:t>3.</w:t>
      </w:r>
      <w:r>
        <w:rPr>
          <w:rStyle w:val="48"/>
          <w:rFonts w:hint="eastAsia" w:ascii="宋体" w:hAnsi="宋体" w:eastAsia="宋体" w:cs="宋体"/>
          <w:b/>
          <w:bCs/>
          <w:color w:val="auto"/>
          <w:highlight w:val="none"/>
        </w:rPr>
        <w:t>响应文件</w:t>
      </w:r>
      <w:bookmarkEnd w:id="19"/>
      <w:bookmarkEnd w:id="20"/>
      <w:bookmarkEnd w:id="21"/>
      <w:bookmarkEnd w:id="22"/>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3.1 </w:t>
      </w:r>
      <w:r>
        <w:rPr>
          <w:rFonts w:hint="eastAsia" w:ascii="宋体" w:hAnsi="宋体" w:cs="宋体"/>
          <w:b/>
          <w:color w:val="auto"/>
          <w:kern w:val="0"/>
          <w:sz w:val="24"/>
          <w:highlight w:val="none"/>
        </w:rPr>
        <w:t>响应文件的组成</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详见第六章“响应文件格式”</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3.2 </w:t>
      </w:r>
      <w:r>
        <w:rPr>
          <w:rFonts w:hint="eastAsia" w:ascii="宋体" w:hAnsi="宋体" w:cs="宋体"/>
          <w:b/>
          <w:color w:val="auto"/>
          <w:kern w:val="0"/>
          <w:sz w:val="24"/>
          <w:highlight w:val="none"/>
        </w:rPr>
        <w:t>磋商截止时间和地点</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磋商截止时间和地点：见供应商须知前附表。</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3.3 </w:t>
      </w:r>
      <w:r>
        <w:rPr>
          <w:rFonts w:hint="eastAsia" w:ascii="宋体" w:hAnsi="宋体" w:cs="宋体"/>
          <w:b/>
          <w:color w:val="auto"/>
          <w:kern w:val="0"/>
          <w:sz w:val="24"/>
          <w:highlight w:val="none"/>
        </w:rPr>
        <w:t>磋商报价</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3.3.1 </w:t>
      </w:r>
      <w:r>
        <w:rPr>
          <w:rFonts w:hint="eastAsia" w:ascii="宋体" w:hAnsi="宋体" w:cs="宋体"/>
          <w:color w:val="auto"/>
          <w:kern w:val="0"/>
          <w:szCs w:val="21"/>
          <w:highlight w:val="none"/>
        </w:rPr>
        <w:t>磋商报价由供应商根据市场行情结合本项目实际情况及本项目特殊性自行报价，一旦中标，不因任何原因的变化而调整。</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3.2.2</w:t>
      </w:r>
      <w:r>
        <w:rPr>
          <w:rFonts w:hint="eastAsia" w:ascii="宋体" w:hAnsi="宋体" w:cs="宋体"/>
          <w:color w:val="auto"/>
          <w:kern w:val="0"/>
          <w:szCs w:val="21"/>
          <w:highlight w:val="none"/>
        </w:rPr>
        <w:t>供应商不得以任何理由对最后磋商报价予以修改，最后磋商报价在磋商有效期内是固定的，不因任何原因而改变。任何原因包含价格调整要求和条件的磋商，将被视为非实质性响应而予与拒绝。</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3.2.3</w:t>
      </w:r>
      <w:r>
        <w:rPr>
          <w:rFonts w:hint="eastAsia" w:ascii="宋体" w:hAnsi="宋体" w:cs="宋体"/>
          <w:color w:val="auto"/>
          <w:kern w:val="0"/>
          <w:szCs w:val="21"/>
          <w:highlight w:val="none"/>
        </w:rPr>
        <w:t>首次提交响应性文件上的报价为磋商时的参考价格，磋商小组以供应商</w:t>
      </w:r>
      <w:r>
        <w:rPr>
          <w:rFonts w:hint="eastAsia" w:ascii="宋体" w:hAnsi="宋体" w:cs="宋体"/>
          <w:color w:val="auto"/>
          <w:kern w:val="0"/>
          <w:szCs w:val="21"/>
          <w:highlight w:val="none"/>
          <w:lang w:eastAsia="zh-CN"/>
        </w:rPr>
        <w:t>提交</w:t>
      </w:r>
      <w:r>
        <w:rPr>
          <w:rFonts w:hint="eastAsia" w:ascii="宋体" w:hAnsi="宋体" w:cs="宋体"/>
          <w:color w:val="auto"/>
          <w:kern w:val="0"/>
          <w:szCs w:val="21"/>
          <w:highlight w:val="none"/>
        </w:rPr>
        <w:t>的最后报价确定成交供应商的成交价格。</w:t>
      </w:r>
    </w:p>
    <w:p>
      <w:pPr>
        <w:autoSpaceDE w:val="0"/>
        <w:autoSpaceDN w:val="0"/>
        <w:adjustRightInd w:val="0"/>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3.4 </w:t>
      </w:r>
      <w:r>
        <w:rPr>
          <w:rFonts w:hint="eastAsia" w:ascii="宋体" w:hAnsi="宋体" w:cs="宋体"/>
          <w:b/>
          <w:color w:val="auto"/>
          <w:kern w:val="0"/>
          <w:sz w:val="24"/>
          <w:highlight w:val="none"/>
        </w:rPr>
        <w:t>磋商有效期</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3.4.1 </w:t>
      </w:r>
      <w:r>
        <w:rPr>
          <w:rFonts w:hint="eastAsia" w:ascii="宋体" w:hAnsi="宋体" w:cs="宋体"/>
          <w:color w:val="auto"/>
          <w:kern w:val="0"/>
          <w:szCs w:val="21"/>
          <w:highlight w:val="none"/>
        </w:rPr>
        <w:t>磋商有效期见供应商须知前附表。</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3.4.2 </w:t>
      </w:r>
      <w:r>
        <w:rPr>
          <w:rFonts w:hint="eastAsia" w:ascii="宋体" w:hAnsi="宋体" w:cs="宋体"/>
          <w:color w:val="auto"/>
          <w:kern w:val="0"/>
          <w:szCs w:val="21"/>
          <w:highlight w:val="none"/>
        </w:rPr>
        <w:t>在磋商有效期内，除磋商小组提出实质性变动采购需求中的技术、服务要求以及合同草案条款外，供应商不得要求撤销或修改其响应文件。</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3.4.3 </w:t>
      </w:r>
      <w:r>
        <w:rPr>
          <w:rFonts w:hint="eastAsia" w:ascii="宋体" w:hAnsi="宋体" w:cs="宋体"/>
          <w:color w:val="auto"/>
          <w:kern w:val="0"/>
          <w:szCs w:val="21"/>
          <w:highlight w:val="none"/>
        </w:rPr>
        <w:t>出现特殊情况需要延长磋商有效期的，采购人以书面形式通知所有供应商延长磋商有效期。供应商同意延长的，应相应延长其磋商保证金(如有)的有效期，但不得要求或被允许修改或撤销其响应文件；供应商拒绝延长的，其响应性文件失效，但供应商有权无息收回其磋商保证金(如有)。</w:t>
      </w:r>
    </w:p>
    <w:p>
      <w:pPr>
        <w:autoSpaceDE w:val="0"/>
        <w:autoSpaceDN w:val="0"/>
        <w:adjustRightInd w:val="0"/>
        <w:spacing w:line="400" w:lineRule="exact"/>
        <w:ind w:firstLine="482" w:firstLineChars="200"/>
        <w:jc w:val="left"/>
        <w:rPr>
          <w:rFonts w:ascii="宋体" w:cs="宋体"/>
          <w:color w:val="auto"/>
          <w:kern w:val="0"/>
          <w:szCs w:val="21"/>
          <w:highlight w:val="none"/>
        </w:rPr>
      </w:pPr>
      <w:r>
        <w:rPr>
          <w:rFonts w:ascii="宋体" w:hAnsi="宋体" w:cs="宋体"/>
          <w:b/>
          <w:color w:val="auto"/>
          <w:kern w:val="0"/>
          <w:sz w:val="24"/>
          <w:highlight w:val="none"/>
        </w:rPr>
        <w:t xml:space="preserve">3.5 </w:t>
      </w:r>
      <w:r>
        <w:rPr>
          <w:rFonts w:hint="eastAsia" w:ascii="宋体" w:hAnsi="宋体" w:cs="宋体"/>
          <w:b/>
          <w:color w:val="auto"/>
          <w:kern w:val="0"/>
          <w:sz w:val="24"/>
          <w:highlight w:val="none"/>
        </w:rPr>
        <w:t>磋商保证金（无）</w:t>
      </w:r>
    </w:p>
    <w:p>
      <w:pPr>
        <w:autoSpaceDE w:val="0"/>
        <w:autoSpaceDN w:val="0"/>
        <w:adjustRightInd w:val="0"/>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3.6 </w:t>
      </w:r>
      <w:r>
        <w:rPr>
          <w:rFonts w:hint="eastAsia" w:ascii="宋体" w:hAnsi="宋体" w:cs="宋体"/>
          <w:b/>
          <w:color w:val="auto"/>
          <w:kern w:val="0"/>
          <w:sz w:val="24"/>
          <w:highlight w:val="none"/>
        </w:rPr>
        <w:t>资格审查资料</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3.6.1</w:t>
      </w:r>
      <w:r>
        <w:rPr>
          <w:rFonts w:hint="eastAsia" w:ascii="宋体" w:hAnsi="宋体" w:cs="宋体"/>
          <w:color w:val="auto"/>
          <w:kern w:val="0"/>
          <w:szCs w:val="21"/>
          <w:highlight w:val="none"/>
        </w:rPr>
        <w:t>“供应商基本情况表”应附供应商有效的营业执照（副本）等的复印件</w:t>
      </w:r>
      <w:r>
        <w:rPr>
          <w:rFonts w:hint="eastAsia" w:ascii="宋体" w:hAnsi="宋体" w:cs="宋体"/>
          <w:color w:val="auto"/>
          <w:kern w:val="0"/>
          <w:szCs w:val="21"/>
          <w:highlight w:val="none"/>
          <w:lang w:eastAsia="zh-CN"/>
        </w:rPr>
        <w:t>或扫描件</w:t>
      </w:r>
      <w:r>
        <w:rPr>
          <w:rFonts w:hint="eastAsia" w:ascii="宋体" w:hAnsi="宋体" w:cs="宋体"/>
          <w:color w:val="auto"/>
          <w:kern w:val="0"/>
          <w:szCs w:val="21"/>
          <w:highlight w:val="none"/>
        </w:rPr>
        <w:t>。</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3.6.2</w:t>
      </w:r>
      <w:r>
        <w:rPr>
          <w:rFonts w:hint="eastAsia" w:ascii="宋体" w:hAnsi="宋体" w:cs="宋体"/>
          <w:color w:val="auto"/>
          <w:kern w:val="0"/>
          <w:szCs w:val="21"/>
          <w:highlight w:val="none"/>
        </w:rPr>
        <w:t>供应商须知前附表规定接受联合体投标的，本章第</w:t>
      </w:r>
      <w:r>
        <w:rPr>
          <w:rFonts w:ascii="宋体" w:hAnsi="宋体" w:cs="宋体"/>
          <w:color w:val="auto"/>
          <w:kern w:val="0"/>
          <w:szCs w:val="21"/>
          <w:highlight w:val="none"/>
        </w:rPr>
        <w:t>3.6.1</w:t>
      </w:r>
      <w:r>
        <w:rPr>
          <w:rFonts w:hint="eastAsia" w:ascii="宋体" w:hAnsi="宋体" w:cs="宋体"/>
          <w:color w:val="auto"/>
          <w:kern w:val="0"/>
          <w:szCs w:val="21"/>
          <w:highlight w:val="none"/>
        </w:rPr>
        <w:t>项至第</w:t>
      </w:r>
      <w:r>
        <w:rPr>
          <w:rFonts w:ascii="宋体" w:hAnsi="宋体" w:cs="宋体"/>
          <w:color w:val="auto"/>
          <w:kern w:val="0"/>
          <w:szCs w:val="21"/>
          <w:highlight w:val="none"/>
        </w:rPr>
        <w:t>3.6.2</w:t>
      </w:r>
      <w:r>
        <w:rPr>
          <w:rFonts w:hint="eastAsia" w:ascii="宋体" w:hAnsi="宋体" w:cs="宋体"/>
          <w:color w:val="auto"/>
          <w:kern w:val="0"/>
          <w:szCs w:val="21"/>
          <w:highlight w:val="none"/>
        </w:rPr>
        <w:t>项规定的表格和资料应包括联合体各方相关情况。</w:t>
      </w:r>
    </w:p>
    <w:p>
      <w:pPr>
        <w:autoSpaceDE w:val="0"/>
        <w:autoSpaceDN w:val="0"/>
        <w:adjustRightInd w:val="0"/>
        <w:spacing w:line="38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3.7 </w:t>
      </w:r>
      <w:r>
        <w:rPr>
          <w:rFonts w:hint="eastAsia" w:ascii="宋体" w:hAnsi="宋体" w:cs="宋体"/>
          <w:b/>
          <w:color w:val="auto"/>
          <w:kern w:val="0"/>
          <w:sz w:val="24"/>
          <w:highlight w:val="none"/>
        </w:rPr>
        <w:t>响应文件的编制</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3.7.1 </w:t>
      </w:r>
      <w:r>
        <w:rPr>
          <w:rFonts w:hint="eastAsia" w:ascii="宋体" w:hAnsi="宋体" w:cs="宋体"/>
          <w:color w:val="auto"/>
          <w:kern w:val="0"/>
          <w:szCs w:val="21"/>
          <w:highlight w:val="none"/>
        </w:rPr>
        <w:t>响应文件应按本磋商文件“响应文件格式”进行编写。</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3.7.2 </w:t>
      </w:r>
      <w:r>
        <w:rPr>
          <w:rFonts w:hint="eastAsia" w:ascii="宋体" w:hAnsi="宋体" w:cs="宋体"/>
          <w:color w:val="auto"/>
          <w:kern w:val="0"/>
          <w:szCs w:val="21"/>
          <w:highlight w:val="none"/>
        </w:rPr>
        <w:t>响应文件应当对磋商文件规定的磋商有效期、合同履行期限（工期）、质量要求、服务项目内容及要求等实质性内容作出响应。</w:t>
      </w:r>
    </w:p>
    <w:p>
      <w:pPr>
        <w:autoSpaceDE w:val="0"/>
        <w:autoSpaceDN w:val="0"/>
        <w:adjustRightInd w:val="0"/>
        <w:spacing w:line="380" w:lineRule="exact"/>
        <w:ind w:firstLine="420" w:firstLineChars="200"/>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 xml:space="preserve">3.7.3 </w:t>
      </w:r>
      <w:r>
        <w:rPr>
          <w:rFonts w:hint="eastAsia" w:ascii="宋体" w:hAnsi="宋体" w:eastAsia="宋体" w:cs="宋体"/>
          <w:color w:val="auto"/>
          <w:kern w:val="0"/>
          <w:szCs w:val="21"/>
          <w:highlight w:val="none"/>
          <w:lang w:val="en-US" w:eastAsia="zh-CN"/>
        </w:rPr>
        <w:t xml:space="preserve">供应商凭CA 锁登录，并按网上提示自行下载磋商文件。使用“新点投标文件制作软件”按要求制作电子响应性文件。供应商在制作电子响应性文件时，应按要求进行电子签章。供应商编辑电子响应性文件时，根据磋商文件要求用法定代表人CA锁和企业CA锁进行签章制作；最后一步生成电子响应文件时，只能用本单位的企业CA 锁。 </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3.7.3 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上传件、自备非加密的电子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应一致，不一致时以电子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上传件为准。如电子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出现问题，以自备非加密的电子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为准。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3.7.4 本项目采用电子开评标方式，潜在</w:t>
      </w:r>
      <w:r>
        <w:rPr>
          <w:rFonts w:hint="eastAsia" w:ascii="宋体" w:hAnsi="宋体" w:eastAsia="宋体" w:cs="宋体"/>
          <w:color w:val="auto"/>
          <w:kern w:val="0"/>
          <w:szCs w:val="21"/>
          <w:highlight w:val="none"/>
          <w:lang w:val="en-US" w:eastAsia="zh-CN"/>
        </w:rPr>
        <w:t>供应商</w:t>
      </w:r>
      <w:r>
        <w:rPr>
          <w:rFonts w:hint="eastAsia" w:ascii="宋体" w:hAnsi="宋体" w:cs="宋体"/>
          <w:color w:val="auto"/>
          <w:szCs w:val="21"/>
          <w:highlight w:val="none"/>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文件制作和上传等。为避免网络拥堵等不可控因素影响</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文件的上传，请提前上传</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文件，并在开标截止时间前登录不见面开标大厅进行签到，按要求解密</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文件。因文件未及时上传导致投标失败的责任由</w:t>
      </w:r>
      <w:r>
        <w:rPr>
          <w:rFonts w:hint="eastAsia" w:ascii="宋体" w:hAnsi="宋体" w:eastAsia="宋体" w:cs="宋体"/>
          <w:color w:val="auto"/>
          <w:kern w:val="0"/>
          <w:szCs w:val="21"/>
          <w:highlight w:val="none"/>
          <w:lang w:val="en-US" w:eastAsia="zh-CN"/>
        </w:rPr>
        <w:t>供应商</w:t>
      </w:r>
      <w:r>
        <w:rPr>
          <w:rFonts w:hint="eastAsia" w:ascii="宋体" w:hAnsi="宋体" w:cs="宋体"/>
          <w:color w:val="auto"/>
          <w:szCs w:val="21"/>
          <w:highlight w:val="none"/>
        </w:rPr>
        <w:t>自行承担。</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3.8 </w:t>
      </w:r>
      <w:r>
        <w:rPr>
          <w:rFonts w:hint="eastAsia" w:ascii="宋体" w:hAnsi="宋体" w:cs="宋体"/>
          <w:b/>
          <w:color w:val="auto"/>
          <w:kern w:val="0"/>
          <w:sz w:val="24"/>
          <w:highlight w:val="none"/>
        </w:rPr>
        <w:t>语言文字</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3.9 </w:t>
      </w:r>
      <w:r>
        <w:rPr>
          <w:rFonts w:hint="eastAsia" w:ascii="宋体" w:hAnsi="宋体" w:cs="宋体"/>
          <w:b/>
          <w:color w:val="auto"/>
          <w:kern w:val="0"/>
          <w:sz w:val="24"/>
          <w:highlight w:val="none"/>
        </w:rPr>
        <w:t>计量单位和货币</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3.10 </w:t>
      </w:r>
      <w:r>
        <w:rPr>
          <w:rFonts w:hint="eastAsia" w:ascii="宋体" w:hAnsi="宋体" w:cs="宋体"/>
          <w:b/>
          <w:color w:val="auto"/>
          <w:kern w:val="0"/>
          <w:sz w:val="24"/>
          <w:highlight w:val="none"/>
        </w:rPr>
        <w:t>踏勘现场</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3.10.1 供应商须知前附表规定组织踏勘现场的，采购人按供应商须知前附表规定的时间、地点组织供应商踏勘项目现场。</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3.10.2 供应商踏勘现场发生的费用自理。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cs="宋体"/>
          <w:color w:val="auto"/>
          <w:kern w:val="0"/>
          <w:szCs w:val="21"/>
          <w:highlight w:val="none"/>
        </w:rPr>
      </w:pPr>
      <w:r>
        <w:rPr>
          <w:rFonts w:hint="eastAsia" w:ascii="宋体" w:hAnsi="宋体" w:cs="宋体"/>
          <w:color w:val="auto"/>
          <w:szCs w:val="21"/>
          <w:highlight w:val="none"/>
        </w:rPr>
        <w:t>3.10.3 采购人在踏勘现场中介绍的情况，供供应商在编制响应文件时参考，采购人不对供应商据此作出的判断和决策负责</w:t>
      </w:r>
      <w:r>
        <w:rPr>
          <w:rFonts w:hint="eastAsia" w:ascii="宋体" w:hAnsi="宋体" w:cs="宋体"/>
          <w:color w:val="auto"/>
          <w:kern w:val="0"/>
          <w:szCs w:val="21"/>
          <w:highlight w:val="none"/>
        </w:rPr>
        <w:t>。</w:t>
      </w:r>
    </w:p>
    <w:p>
      <w:pPr>
        <w:pStyle w:val="7"/>
        <w:numPr>
          <w:ilvl w:val="0"/>
          <w:numId w:val="6"/>
        </w:numPr>
        <w:spacing w:before="0" w:after="0" w:line="440" w:lineRule="exact"/>
        <w:ind w:left="180"/>
        <w:jc w:val="left"/>
        <w:rPr>
          <w:rStyle w:val="48"/>
          <w:rFonts w:ascii="宋体" w:hAnsi="宋体" w:eastAsia="宋体" w:cs="宋体"/>
          <w:b/>
          <w:bCs/>
          <w:color w:val="auto"/>
          <w:highlight w:val="none"/>
        </w:rPr>
      </w:pPr>
      <w:bookmarkStart w:id="23" w:name="_Toc30976"/>
      <w:r>
        <w:rPr>
          <w:rStyle w:val="48"/>
          <w:rFonts w:hint="eastAsia" w:ascii="宋体" w:hAnsi="宋体" w:eastAsia="宋体" w:cs="宋体"/>
          <w:b/>
          <w:bCs/>
          <w:color w:val="auto"/>
          <w:highlight w:val="none"/>
        </w:rPr>
        <w:t>响应</w:t>
      </w:r>
      <w:bookmarkEnd w:id="23"/>
    </w:p>
    <w:p>
      <w:pPr>
        <w:keepNext/>
        <w:keepLines/>
        <w:spacing w:line="440" w:lineRule="exact"/>
        <w:ind w:left="468"/>
        <w:jc w:val="left"/>
        <w:rPr>
          <w:rFonts w:ascii="宋体" w:cs="宋体"/>
          <w:b/>
          <w:color w:val="auto"/>
          <w:sz w:val="24"/>
          <w:highlight w:val="none"/>
        </w:rPr>
      </w:pPr>
      <w:r>
        <w:rPr>
          <w:rFonts w:ascii="宋体" w:hAnsi="宋体" w:cs="宋体"/>
          <w:b/>
          <w:color w:val="auto"/>
          <w:sz w:val="24"/>
          <w:highlight w:val="none"/>
        </w:rPr>
        <w:t xml:space="preserve">4.1 </w:t>
      </w:r>
      <w:r>
        <w:rPr>
          <w:rFonts w:hint="eastAsia" w:ascii="宋体" w:hAnsi="宋体" w:cs="宋体"/>
          <w:b/>
          <w:color w:val="auto"/>
          <w:sz w:val="24"/>
          <w:highlight w:val="none"/>
        </w:rPr>
        <w:t>响应文件的密封和标记</w:t>
      </w:r>
    </w:p>
    <w:p>
      <w:pPr>
        <w:autoSpaceDE w:val="0"/>
        <w:autoSpaceDN w:val="0"/>
        <w:adjustRightInd w:val="0"/>
        <w:spacing w:line="44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4.1.1</w:t>
      </w:r>
      <w:r>
        <w:rPr>
          <w:rFonts w:hint="eastAsia" w:ascii="宋体" w:hAnsi="宋体" w:eastAsia="宋体" w:cs="宋体"/>
          <w:color w:val="auto"/>
          <w:kern w:val="0"/>
          <w:szCs w:val="21"/>
          <w:highlight w:val="none"/>
        </w:rPr>
        <w:t>本项目为不见面开标，加密电子</w:t>
      </w:r>
      <w:r>
        <w:rPr>
          <w:rFonts w:hint="eastAsia" w:ascii="宋体" w:hAnsi="宋体" w:eastAsia="宋体" w:cs="宋体"/>
          <w:color w:val="auto"/>
          <w:kern w:val="0"/>
          <w:szCs w:val="21"/>
          <w:highlight w:val="none"/>
          <w:lang w:val="en-US" w:eastAsia="zh-CN"/>
        </w:rPr>
        <w:t>响应性</w:t>
      </w:r>
      <w:r>
        <w:rPr>
          <w:rFonts w:hint="eastAsia" w:ascii="宋体" w:hAnsi="宋体" w:eastAsia="宋体" w:cs="宋体"/>
          <w:color w:val="auto"/>
          <w:kern w:val="0"/>
          <w:szCs w:val="21"/>
          <w:highlight w:val="none"/>
        </w:rPr>
        <w:t>文件须在</w:t>
      </w:r>
      <w:r>
        <w:rPr>
          <w:rFonts w:hint="eastAsia" w:ascii="宋体" w:hAnsi="宋体" w:eastAsia="宋体" w:cs="宋体"/>
          <w:color w:val="auto"/>
          <w:kern w:val="0"/>
          <w:szCs w:val="21"/>
          <w:highlight w:val="none"/>
          <w:lang w:val="en-US" w:eastAsia="zh-CN"/>
        </w:rPr>
        <w:t>响应性文件提交</w:t>
      </w:r>
      <w:r>
        <w:rPr>
          <w:rFonts w:hint="eastAsia" w:ascii="宋体" w:hAnsi="宋体" w:eastAsia="宋体" w:cs="宋体"/>
          <w:color w:val="auto"/>
          <w:kern w:val="0"/>
          <w:szCs w:val="21"/>
          <w:highlight w:val="none"/>
        </w:rPr>
        <w:t>截止时间前通过“焦作市公共资源交易中心（http://www.jzggzy.cn/）”网站-交易平台加密上传。除电子</w:t>
      </w:r>
      <w:r>
        <w:rPr>
          <w:rFonts w:hint="eastAsia" w:ascii="宋体" w:hAnsi="宋体" w:eastAsia="宋体" w:cs="宋体"/>
          <w:color w:val="auto"/>
          <w:kern w:val="0"/>
          <w:szCs w:val="21"/>
          <w:highlight w:val="none"/>
          <w:lang w:val="en-US" w:eastAsia="zh-CN"/>
        </w:rPr>
        <w:t>响应性</w:t>
      </w:r>
      <w:r>
        <w:rPr>
          <w:rFonts w:hint="eastAsia" w:ascii="宋体" w:hAnsi="宋体" w:eastAsia="宋体" w:cs="宋体"/>
          <w:color w:val="auto"/>
          <w:kern w:val="0"/>
          <w:szCs w:val="21"/>
          <w:highlight w:val="none"/>
        </w:rPr>
        <w:t>文件外，</w:t>
      </w:r>
      <w:r>
        <w:rPr>
          <w:rFonts w:hint="eastAsia" w:ascii="宋体" w:hAnsi="宋体" w:eastAsia="宋体" w:cs="宋体"/>
          <w:color w:val="auto"/>
          <w:kern w:val="0"/>
          <w:szCs w:val="21"/>
          <w:highlight w:val="none"/>
          <w:lang w:val="en-US" w:eastAsia="zh-CN"/>
        </w:rPr>
        <w:t>磋商</w:t>
      </w:r>
      <w:r>
        <w:rPr>
          <w:rFonts w:hint="eastAsia" w:ascii="宋体" w:hAnsi="宋体" w:eastAsia="宋体" w:cs="宋体"/>
          <w:color w:val="auto"/>
          <w:kern w:val="0"/>
          <w:szCs w:val="21"/>
          <w:highlight w:val="none"/>
        </w:rPr>
        <w:t>时不再接受任何纸质文件、资料等。</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default" w:eastAsia="宋体"/>
          <w:color w:val="auto"/>
          <w:highlight w:val="none"/>
          <w:lang w:val="en-US" w:eastAsia="zh-CN"/>
        </w:rPr>
      </w:pPr>
      <w:r>
        <w:rPr>
          <w:rFonts w:hint="eastAsia" w:ascii="宋体" w:hAnsi="宋体" w:eastAsia="宋体" w:cs="宋体"/>
          <w:color w:val="auto"/>
          <w:kern w:val="0"/>
          <w:szCs w:val="21"/>
          <w:highlight w:val="none"/>
          <w:lang w:val="en-US" w:eastAsia="zh-CN"/>
        </w:rPr>
        <w:t>4.1.2</w:t>
      </w:r>
      <w:r>
        <w:rPr>
          <w:rFonts w:hint="eastAsia" w:ascii="宋体" w:hAnsi="宋体" w:cs="宋体"/>
          <w:color w:val="auto"/>
          <w:szCs w:val="21"/>
          <w:highlight w:val="none"/>
        </w:rPr>
        <w:t>自备非加密的电子</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文件一份，如有紧急情况，在不见面开标按要求上传。</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4.2 </w:t>
      </w:r>
      <w:r>
        <w:rPr>
          <w:rFonts w:hint="eastAsia" w:ascii="宋体" w:hAnsi="宋体" w:cs="宋体"/>
          <w:b/>
          <w:color w:val="auto"/>
          <w:kern w:val="0"/>
          <w:sz w:val="24"/>
          <w:highlight w:val="none"/>
        </w:rPr>
        <w:t>响应文件的递交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4.2.1 所有</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文件必须在</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文件中规定的投标截止时间之前请提前上传</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文件；并在开标截止时间前登录不见面开标大厅进行签到，按要求解密</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文件，不能按时上传、签到、解密者视为自动放弃投标。</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4.2.2 采购人拒绝接收在</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文件递交截止时间后上传的</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w:t>
      </w:r>
    </w:p>
    <w:p>
      <w:pPr>
        <w:autoSpaceDE w:val="0"/>
        <w:autoSpaceDN w:val="0"/>
        <w:adjustRightInd w:val="0"/>
        <w:spacing w:line="440" w:lineRule="exact"/>
        <w:jc w:val="left"/>
        <w:rPr>
          <w:rFonts w:ascii="宋体" w:cs="宋体"/>
          <w:b/>
          <w:color w:val="auto"/>
          <w:kern w:val="0"/>
          <w:sz w:val="24"/>
          <w:highlight w:val="none"/>
        </w:rPr>
      </w:pPr>
      <w:r>
        <w:rPr>
          <w:rFonts w:ascii="宋体" w:hAnsi="宋体" w:cs="宋体"/>
          <w:b/>
          <w:color w:val="auto"/>
          <w:kern w:val="0"/>
          <w:sz w:val="24"/>
          <w:highlight w:val="none"/>
        </w:rPr>
        <w:t xml:space="preserve">    4.3 </w:t>
      </w:r>
      <w:r>
        <w:rPr>
          <w:rFonts w:hint="eastAsia" w:ascii="宋体" w:hAnsi="宋体" w:cs="宋体"/>
          <w:b/>
          <w:color w:val="auto"/>
          <w:kern w:val="0"/>
          <w:sz w:val="24"/>
          <w:highlight w:val="none"/>
        </w:rPr>
        <w:t>响应文件的修改与撤回</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xml:space="preserve">4.3.1 </w:t>
      </w:r>
      <w:r>
        <w:rPr>
          <w:rFonts w:hint="eastAsia" w:ascii="宋体" w:hAnsi="宋体" w:eastAsia="宋体" w:cs="宋体"/>
          <w:color w:val="auto"/>
          <w:szCs w:val="21"/>
          <w:highlight w:val="none"/>
          <w:lang w:val="en-US" w:eastAsia="zh-CN"/>
        </w:rPr>
        <w:t>供应商在提交响应性文件后可对其响应性文件进行修改、撤回，但需要在响应性文件接收截止时间前重新上传响应性文件。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4.3.2  供应商在响应性文件接收截止时间后不得修改、撤回响应性文件。供应商在响应性文件接收截止时间后修改响应性文件的，将被拒绝接受。</w:t>
      </w:r>
    </w:p>
    <w:p>
      <w:pPr>
        <w:pStyle w:val="7"/>
        <w:numPr>
          <w:ilvl w:val="0"/>
          <w:numId w:val="6"/>
        </w:numPr>
        <w:spacing w:before="0" w:after="0" w:line="440" w:lineRule="exact"/>
        <w:ind w:left="180"/>
        <w:jc w:val="left"/>
        <w:rPr>
          <w:rStyle w:val="48"/>
          <w:rFonts w:ascii="宋体" w:hAnsi="宋体" w:eastAsia="宋体" w:cs="宋体"/>
          <w:b/>
          <w:bCs/>
          <w:color w:val="auto"/>
          <w:highlight w:val="none"/>
        </w:rPr>
      </w:pPr>
      <w:bookmarkStart w:id="24" w:name="_Toc30278"/>
      <w:r>
        <w:rPr>
          <w:rStyle w:val="48"/>
          <w:rFonts w:hint="eastAsia" w:ascii="宋体" w:hAnsi="宋体" w:eastAsia="宋体" w:cs="宋体"/>
          <w:b/>
          <w:bCs/>
          <w:color w:val="auto"/>
          <w:highlight w:val="none"/>
        </w:rPr>
        <w:t>磋商开始</w:t>
      </w:r>
      <w:bookmarkEnd w:id="24"/>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5.1 </w:t>
      </w:r>
      <w:r>
        <w:rPr>
          <w:rFonts w:hint="eastAsia" w:ascii="宋体" w:hAnsi="宋体" w:cs="宋体"/>
          <w:b/>
          <w:color w:val="auto"/>
          <w:kern w:val="0"/>
          <w:sz w:val="24"/>
          <w:highlight w:val="none"/>
        </w:rPr>
        <w:t>磋商时间、地点和方式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本项目采用远程不见面交易的模式。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val="en-US" w:eastAsia="zh-CN"/>
        </w:rPr>
        <w:t>竞争性磋商</w:t>
      </w:r>
      <w:r>
        <w:rPr>
          <w:rFonts w:hint="eastAsia" w:ascii="宋体" w:hAnsi="宋体" w:eastAsia="宋体" w:cs="宋体"/>
          <w:color w:val="auto"/>
          <w:szCs w:val="21"/>
          <w:highlight w:val="none"/>
        </w:rPr>
        <w:t>文件中规定的时间和地点开标。</w:t>
      </w:r>
      <w:r>
        <w:rPr>
          <w:rFonts w:hint="eastAsia" w:ascii="宋体" w:hAnsi="宋体" w:eastAsia="宋体" w:cs="宋体"/>
          <w:color w:val="auto"/>
          <w:szCs w:val="21"/>
          <w:highlight w:val="none"/>
          <w:lang w:val="en-US" w:eastAsia="zh-CN"/>
        </w:rPr>
        <w:t>不见面开标大厅网址 （http://www.jzggzy.cn/BidOpeningHall/bidhall/default/login）供应商无需到焦作市公共资源交易中心现场参加磋商会，无需到达现场提交原件资料。供应商应在响应性文件接收截止时间前，登录不见面开标大厅系统，在线准时参加磋商活动并进行文件解密，开标结束后，在焦作市公共资源交易平台进行交易主体登录，在线参加答疑澄清、二轮报价或最后报价等。在规定时间内响应性文件未解密的供应商，视为放弃投标。</w:t>
      </w:r>
    </w:p>
    <w:p>
      <w:pPr>
        <w:autoSpaceDE w:val="0"/>
        <w:autoSpaceDN w:val="0"/>
        <w:adjustRightInd w:val="0"/>
        <w:spacing w:line="440" w:lineRule="exact"/>
        <w:ind w:firstLine="482" w:firstLineChars="200"/>
        <w:rPr>
          <w:rFonts w:hint="eastAsia" w:ascii="宋体" w:hAnsi="宋体" w:cs="宋体"/>
          <w:b/>
          <w:color w:val="auto"/>
          <w:kern w:val="0"/>
          <w:sz w:val="24"/>
          <w:highlight w:val="none"/>
        </w:rPr>
      </w:pPr>
      <w:r>
        <w:rPr>
          <w:rFonts w:ascii="宋体" w:hAnsi="宋体" w:cs="宋体"/>
          <w:b/>
          <w:color w:val="auto"/>
          <w:kern w:val="0"/>
          <w:sz w:val="24"/>
          <w:highlight w:val="none"/>
        </w:rPr>
        <w:t>5.</w:t>
      </w:r>
      <w:r>
        <w:rPr>
          <w:rFonts w:hint="eastAsia" w:ascii="宋体" w:hAnsi="宋体" w:cs="宋体"/>
          <w:b/>
          <w:color w:val="auto"/>
          <w:kern w:val="0"/>
          <w:sz w:val="24"/>
          <w:highlight w:val="none"/>
          <w:lang w:val="en-US" w:eastAsia="zh-CN"/>
        </w:rPr>
        <w:t>2</w:t>
      </w:r>
      <w:r>
        <w:rPr>
          <w:rFonts w:hint="eastAsia" w:ascii="宋体" w:hAnsi="宋体" w:cs="宋体"/>
          <w:b/>
          <w:color w:val="auto"/>
          <w:kern w:val="0"/>
          <w:sz w:val="24"/>
          <w:highlight w:val="none"/>
        </w:rPr>
        <w:t>磋商会议程序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（1）公布在递交响应性文件截止时间前递交响应性文件的供应商名称；</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（2）供应商在不见面开标大厅对已递交的电子响应性文件在规定时间内进行解密；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（3）批量导入文件；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（4）代理机构将通过不见面开标大厅公布磋商项目名称、供应商名称及其他内容，并记录在案；</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（5）供应商对开标过程进行无异议确认；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（6）采购人代表、监督人等有关人员按具体现场系统情况在开标记录上签字确认；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（7）开标结束；</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（8）磋商小组对已通过资格性、符合性审查的供应商发起二轮或最后报价邀请；</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（9）供应商在规定时间内通过焦作市公共资源交易平台进行二轮或最后报价。</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5.3</w:t>
      </w:r>
      <w:r>
        <w:rPr>
          <w:rFonts w:hint="eastAsia" w:ascii="宋体" w:hAnsi="宋体" w:eastAsia="宋体" w:cs="宋体"/>
          <w:color w:val="auto"/>
          <w:szCs w:val="21"/>
          <w:highlight w:val="none"/>
          <w:lang w:val="en-US" w:eastAsia="zh-CN"/>
        </w:rPr>
        <w:t xml:space="preserve">供应商应认真学习《投标单位操作手册》，根据手册要求做好不见面磋商的准备工作，否则由此引起的未能解密、解密失败或解密超时的将被拒绝。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5.4</w:t>
      </w:r>
      <w:r>
        <w:rPr>
          <w:rFonts w:hint="eastAsia" w:ascii="宋体" w:hAnsi="宋体" w:eastAsia="宋体" w:cs="宋体"/>
          <w:color w:val="auto"/>
          <w:szCs w:val="21"/>
          <w:highlight w:val="none"/>
          <w:lang w:val="en-US" w:eastAsia="zh-CN"/>
        </w:rPr>
        <w:t xml:space="preserve">供应商应在解密时间内插入单位CA锁，输入密码，进行解密。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5.5</w:t>
      </w:r>
      <w:r>
        <w:rPr>
          <w:rFonts w:hint="eastAsia" w:ascii="宋体" w:hAnsi="宋体" w:eastAsia="宋体" w:cs="宋体"/>
          <w:color w:val="auto"/>
          <w:szCs w:val="21"/>
          <w:highlight w:val="none"/>
          <w:lang w:val="en-US" w:eastAsia="zh-CN"/>
        </w:rPr>
        <w:t>采购人及采购代理机构在磋商文件规定的时间及地点开标。供应商无需到达磋商会现场，但在开评标期间，供应商的法定代表人或其授权委托人应参与远程交互，中途不得更换，在解密文件、澄清、答疑、传送文件、最后报价等特殊情况下需要交互时，供应商一端参与交互的人员将均被视为是供应商的法定代表人或其授权委托人，供应商自行承担随意更换人员或未按要求参与交互所导致的一切后果。供应商超时交互，由此产生的不利于供应商的评审风险由供应商自行承担。</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5.6</w:t>
      </w:r>
      <w:r>
        <w:rPr>
          <w:rFonts w:hint="eastAsia" w:ascii="宋体" w:hAnsi="宋体" w:eastAsia="宋体" w:cs="宋体"/>
          <w:color w:val="auto"/>
          <w:szCs w:val="21"/>
          <w:highlight w:val="none"/>
          <w:lang w:val="en-US" w:eastAsia="zh-CN"/>
        </w:rPr>
        <w:t>供应商出现下列情况之一者为废标，取消参加磋商资格：</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（1）未按规定在响应性文件接收截止时间前递交电子响应性文件（加密版）的；</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（2）磋商会时，因供应商自身原因而导致电子响应性文件无法导入“全国公共资源交易平台 （河南省·焦作市）”（http://www.jzggzy.cn/）-“焦作市电子招投标交易平台”电子开标、评标系统的。</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5.7</w:t>
      </w:r>
      <w:r>
        <w:rPr>
          <w:rFonts w:hint="eastAsia" w:ascii="宋体" w:hAnsi="宋体" w:eastAsia="宋体" w:cs="宋体"/>
          <w:color w:val="auto"/>
          <w:szCs w:val="21"/>
          <w:highlight w:val="none"/>
          <w:lang w:val="en-US" w:eastAsia="zh-CN"/>
        </w:rPr>
        <w:t>开标异议</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供应商对磋商会有异议的，应当在磋商会现场提出，采购人当场作出答复，并制作记录。</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default"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5.8</w:t>
      </w:r>
      <w:r>
        <w:rPr>
          <w:rFonts w:hint="eastAsia" w:ascii="宋体" w:hAnsi="宋体" w:eastAsia="宋体" w:cs="宋体"/>
          <w:color w:val="auto"/>
          <w:szCs w:val="21"/>
          <w:highlight w:val="none"/>
          <w:lang w:val="en-US" w:eastAsia="zh-CN"/>
        </w:rPr>
        <w:t>本项目第二次报价即为最终磋商报价。</w:t>
      </w:r>
    </w:p>
    <w:p>
      <w:pPr>
        <w:pStyle w:val="7"/>
        <w:numPr>
          <w:ilvl w:val="0"/>
          <w:numId w:val="6"/>
        </w:numPr>
        <w:spacing w:before="0" w:after="0" w:line="420" w:lineRule="exact"/>
        <w:ind w:left="180"/>
        <w:jc w:val="left"/>
        <w:rPr>
          <w:rStyle w:val="48"/>
          <w:rFonts w:ascii="宋体" w:hAnsi="宋体" w:eastAsia="宋体" w:cs="宋体"/>
          <w:b/>
          <w:bCs/>
          <w:color w:val="auto"/>
          <w:highlight w:val="none"/>
        </w:rPr>
      </w:pPr>
      <w:bookmarkStart w:id="25" w:name="_Toc16307"/>
      <w:r>
        <w:rPr>
          <w:rStyle w:val="48"/>
          <w:rFonts w:hint="eastAsia" w:ascii="宋体" w:hAnsi="宋体" w:eastAsia="宋体" w:cs="宋体"/>
          <w:b/>
          <w:bCs/>
          <w:color w:val="auto"/>
          <w:highlight w:val="none"/>
        </w:rPr>
        <w:t>磋商</w:t>
      </w:r>
      <w:bookmarkEnd w:id="25"/>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6.1 </w:t>
      </w:r>
      <w:r>
        <w:rPr>
          <w:rFonts w:hint="eastAsia" w:ascii="宋体" w:hAnsi="宋体" w:cs="宋体"/>
          <w:color w:val="auto"/>
          <w:kern w:val="0"/>
          <w:szCs w:val="21"/>
          <w:highlight w:val="none"/>
        </w:rPr>
        <w:t>磋商小组</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磋商由采购人依法组建的磋商小组负责。磋商小组由采购人代表以及有关技术、经济等方面的专家组成。磋商小组成员人数以及技术、经济等方面专家的确定方式见供应商须知前附表。</w:t>
      </w:r>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6.2 </w:t>
      </w:r>
      <w:r>
        <w:rPr>
          <w:rFonts w:hint="eastAsia" w:ascii="宋体" w:hAnsi="宋体" w:cs="宋体"/>
          <w:color w:val="auto"/>
          <w:kern w:val="0"/>
          <w:szCs w:val="21"/>
          <w:highlight w:val="none"/>
        </w:rPr>
        <w:t>磋商原则</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磋商活动遵循公平、公正、科学和择优的原则。</w:t>
      </w:r>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6.3 </w:t>
      </w:r>
      <w:r>
        <w:rPr>
          <w:rFonts w:hint="eastAsia" w:ascii="宋体" w:hAnsi="宋体" w:cs="宋体"/>
          <w:color w:val="auto"/>
          <w:kern w:val="0"/>
          <w:szCs w:val="21"/>
          <w:highlight w:val="none"/>
        </w:rPr>
        <w:t>磋商</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磋商小组按照第三章“评标办法”规定的方法、评审因素、标准和程序对响应文件进行评审。第三章“评标办法”没有规定的方法、评审因素和标准，不作为评标依据。</w:t>
      </w:r>
    </w:p>
    <w:p>
      <w:pPr>
        <w:pStyle w:val="5"/>
        <w:spacing w:before="0" w:after="0" w:line="380" w:lineRule="exact"/>
        <w:ind w:left="0" w:firstLine="0"/>
        <w:jc w:val="left"/>
        <w:rPr>
          <w:rStyle w:val="48"/>
          <w:rFonts w:ascii="宋体" w:hAnsi="Calibri" w:eastAsia="宋体" w:cs="宋体"/>
          <w:b/>
          <w:bCs/>
          <w:color w:val="auto"/>
          <w:highlight w:val="none"/>
        </w:rPr>
      </w:pPr>
      <w:bookmarkStart w:id="26" w:name="_Toc421284747"/>
      <w:bookmarkStart w:id="27" w:name="_Toc5803"/>
      <w:bookmarkStart w:id="28" w:name="_Toc23260"/>
      <w:r>
        <w:rPr>
          <w:rStyle w:val="48"/>
          <w:rFonts w:ascii="宋体" w:hAnsi="宋体" w:eastAsia="宋体" w:cs="宋体"/>
          <w:b/>
          <w:bCs/>
          <w:color w:val="auto"/>
          <w:highlight w:val="none"/>
        </w:rPr>
        <w:t xml:space="preserve">   </w:t>
      </w:r>
      <w:bookmarkStart w:id="29" w:name="_Toc11425"/>
      <w:r>
        <w:rPr>
          <w:rStyle w:val="48"/>
          <w:rFonts w:ascii="宋体" w:hAnsi="宋体" w:eastAsia="宋体" w:cs="宋体"/>
          <w:b/>
          <w:bCs/>
          <w:color w:val="auto"/>
          <w:highlight w:val="none"/>
        </w:rPr>
        <w:t>7.</w:t>
      </w:r>
      <w:r>
        <w:rPr>
          <w:rStyle w:val="48"/>
          <w:rFonts w:hint="eastAsia" w:ascii="宋体" w:hAnsi="宋体" w:eastAsia="宋体" w:cs="宋体"/>
          <w:b/>
          <w:bCs/>
          <w:color w:val="auto"/>
          <w:highlight w:val="none"/>
        </w:rPr>
        <w:t>合同授予</w:t>
      </w:r>
      <w:bookmarkEnd w:id="26"/>
      <w:bookmarkEnd w:id="27"/>
      <w:bookmarkEnd w:id="28"/>
      <w:bookmarkEnd w:id="29"/>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7.1</w:t>
      </w:r>
      <w:r>
        <w:rPr>
          <w:rFonts w:hint="eastAsia" w:ascii="宋体" w:hAnsi="宋体" w:cs="宋体"/>
          <w:color w:val="auto"/>
          <w:szCs w:val="21"/>
          <w:highlight w:val="none"/>
        </w:rPr>
        <w:t>定标方式</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除供应商须知前附表规定磋商小组直接确定成交人外，采购人依据磋商小组推荐的成交候选人确定成交人，磋商小组推荐成交候选人的人数见供应商须知前附表。采购人将依序确定排名靠前的供应商为成交单位，若排名在前的成交候选人放弃中标、或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7.2 </w:t>
      </w:r>
      <w:r>
        <w:rPr>
          <w:rFonts w:hint="eastAsia" w:ascii="宋体" w:hAnsi="宋体" w:cs="宋体"/>
          <w:color w:val="auto"/>
          <w:szCs w:val="21"/>
          <w:highlight w:val="none"/>
        </w:rPr>
        <w:t>成交通知</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在本章第规定的磋商有效期内，采购人以书面形式向成交人发出成交通知书，同时将成交结果通知未成交的供应商。</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7.3 </w:t>
      </w:r>
      <w:r>
        <w:rPr>
          <w:rFonts w:hint="eastAsia" w:ascii="宋体" w:hAnsi="宋体" w:cs="宋体"/>
          <w:color w:val="auto"/>
          <w:szCs w:val="21"/>
          <w:highlight w:val="none"/>
        </w:rPr>
        <w:t>签订合同</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7.3.1</w:t>
      </w:r>
      <w:r>
        <w:rPr>
          <w:rFonts w:hint="eastAsia" w:ascii="宋体" w:hAnsi="宋体" w:cs="宋体"/>
          <w:color w:val="auto"/>
          <w:szCs w:val="21"/>
          <w:highlight w:val="none"/>
        </w:rPr>
        <w:t>采购人和成交人应当自成交通知书发出之日起</w:t>
      </w:r>
      <w:r>
        <w:rPr>
          <w:rFonts w:hint="eastAsia" w:ascii="宋体" w:hAnsi="宋体" w:cs="宋体"/>
          <w:color w:val="auto"/>
          <w:szCs w:val="21"/>
          <w:highlight w:val="none"/>
          <w:lang w:val="en-US" w:eastAsia="zh-CN"/>
        </w:rPr>
        <w:t>1个工作日</w:t>
      </w:r>
      <w:r>
        <w:rPr>
          <w:rFonts w:hint="eastAsia" w:ascii="宋体" w:hAnsi="宋体" w:cs="宋体"/>
          <w:color w:val="auto"/>
          <w:szCs w:val="21"/>
          <w:highlight w:val="none"/>
        </w:rPr>
        <w:t>内，根据磋商文件和成交人的响应文件订立书面合同。成交人无正当理由拒签合同的，采购人取消其成交资格，其磋商保证金不予退还；给采购人造成的损失超过磋商保证金数额的，成交人还应当对超过部分予以赔偿。</w:t>
      </w:r>
      <w:r>
        <w:rPr>
          <w:rFonts w:ascii="宋体" w:hAnsi="宋体" w:cs="宋体"/>
          <w:color w:val="auto"/>
          <w:szCs w:val="21"/>
          <w:highlight w:val="none"/>
        </w:rPr>
        <w:t xml:space="preserve"> </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szCs w:val="21"/>
          <w:highlight w:val="none"/>
        </w:rPr>
        <w:t xml:space="preserve">7.3.2 </w:t>
      </w:r>
      <w:r>
        <w:rPr>
          <w:rFonts w:hint="eastAsia" w:ascii="宋体" w:hAnsi="宋体" w:cs="宋体"/>
          <w:color w:val="auto"/>
          <w:szCs w:val="21"/>
          <w:highlight w:val="none"/>
        </w:rPr>
        <w:t>发出成交通知书后，采购人无正当理由拒签合同的，采购人向成交人退还磋商保证金；给成交人造成损失的，还应当赔偿损失。</w:t>
      </w:r>
    </w:p>
    <w:p>
      <w:pPr>
        <w:pStyle w:val="7"/>
        <w:spacing w:before="0" w:after="0" w:line="380" w:lineRule="exact"/>
        <w:ind w:left="468" w:firstLine="0"/>
        <w:jc w:val="left"/>
        <w:rPr>
          <w:rStyle w:val="48"/>
          <w:rFonts w:ascii="宋体" w:hAnsi="宋体" w:eastAsia="宋体" w:cs="宋体"/>
          <w:b/>
          <w:bCs/>
          <w:color w:val="auto"/>
          <w:highlight w:val="none"/>
        </w:rPr>
      </w:pPr>
      <w:bookmarkStart w:id="30" w:name="_Toc17195"/>
      <w:bookmarkStart w:id="31" w:name="_Toc421284748"/>
      <w:bookmarkStart w:id="32" w:name="_Toc28607"/>
      <w:bookmarkStart w:id="33" w:name="_Toc9065"/>
      <w:r>
        <w:rPr>
          <w:rStyle w:val="48"/>
          <w:rFonts w:ascii="宋体" w:hAnsi="宋体" w:eastAsia="宋体" w:cs="宋体"/>
          <w:b/>
          <w:bCs/>
          <w:color w:val="auto"/>
          <w:highlight w:val="none"/>
        </w:rPr>
        <w:t>8.</w:t>
      </w:r>
      <w:bookmarkEnd w:id="30"/>
      <w:bookmarkEnd w:id="31"/>
      <w:bookmarkEnd w:id="32"/>
      <w:r>
        <w:rPr>
          <w:rStyle w:val="48"/>
          <w:rFonts w:hint="eastAsia" w:ascii="宋体" w:hAnsi="宋体" w:eastAsia="宋体" w:cs="宋体"/>
          <w:b/>
          <w:bCs/>
          <w:color w:val="auto"/>
          <w:highlight w:val="none"/>
        </w:rPr>
        <w:t>重新招标</w:t>
      </w:r>
      <w:bookmarkEnd w:id="33"/>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highlight w:val="none"/>
        </w:rPr>
        <w:t xml:space="preserve">  </w:t>
      </w:r>
      <w:r>
        <w:rPr>
          <w:rFonts w:ascii="宋体" w:hAnsi="宋体" w:cs="宋体"/>
          <w:color w:val="auto"/>
          <w:sz w:val="28"/>
          <w:szCs w:val="36"/>
          <w:highlight w:val="none"/>
        </w:rPr>
        <w:t xml:space="preserve"> </w:t>
      </w:r>
      <w:bookmarkStart w:id="34" w:name="_Toc16556"/>
      <w:r>
        <w:rPr>
          <w:rFonts w:ascii="宋体" w:hAnsi="宋体" w:cs="宋体"/>
          <w:color w:val="auto"/>
          <w:szCs w:val="21"/>
          <w:highlight w:val="none"/>
        </w:rPr>
        <w:t xml:space="preserve">8.1 </w:t>
      </w:r>
      <w:r>
        <w:rPr>
          <w:rFonts w:hint="eastAsia" w:ascii="宋体" w:hAnsi="宋体" w:cs="宋体"/>
          <w:color w:val="auto"/>
          <w:szCs w:val="21"/>
          <w:highlight w:val="none"/>
        </w:rPr>
        <w:t>重新招标</w:t>
      </w:r>
      <w:bookmarkEnd w:id="34"/>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5" w:name="_Toc9985"/>
      <w:r>
        <w:rPr>
          <w:rFonts w:hint="eastAsia" w:ascii="宋体" w:hAnsi="宋体" w:cs="宋体"/>
          <w:color w:val="auto"/>
          <w:szCs w:val="21"/>
          <w:highlight w:val="none"/>
        </w:rPr>
        <w:t>有下列情形之一的，采购人将重新招标：</w:t>
      </w:r>
      <w:bookmarkEnd w:id="35"/>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6" w:name="_Toc25063"/>
      <w:r>
        <w:rPr>
          <w:rFonts w:ascii="宋体" w:hAnsi="宋体" w:cs="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）首次提交响应文件截止时间止，供应商少于</w:t>
      </w:r>
      <w:r>
        <w:rPr>
          <w:rFonts w:ascii="宋体" w:hAnsi="宋体" w:cs="宋体"/>
          <w:color w:val="auto"/>
          <w:szCs w:val="21"/>
          <w:highlight w:val="none"/>
        </w:rPr>
        <w:t>3</w:t>
      </w:r>
      <w:r>
        <w:rPr>
          <w:rFonts w:hint="eastAsia" w:ascii="宋体" w:hAnsi="宋体" w:cs="宋体"/>
          <w:color w:val="auto"/>
          <w:szCs w:val="21"/>
          <w:highlight w:val="none"/>
        </w:rPr>
        <w:t>个的；</w:t>
      </w:r>
      <w:bookmarkEnd w:id="36"/>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7" w:name="_Toc17911"/>
      <w:r>
        <w:rPr>
          <w:rFonts w:ascii="宋体" w:hAnsi="宋体" w:cs="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）经磋商小组评审后否决所有响应性文件的。</w:t>
      </w:r>
      <w:bookmarkEnd w:id="37"/>
    </w:p>
    <w:p>
      <w:pPr>
        <w:pStyle w:val="7"/>
        <w:spacing w:before="0" w:after="0" w:line="380" w:lineRule="exact"/>
        <w:ind w:left="468" w:firstLine="0"/>
        <w:jc w:val="left"/>
        <w:rPr>
          <w:rStyle w:val="48"/>
          <w:rFonts w:ascii="宋体" w:hAnsi="宋体" w:eastAsia="宋体" w:cs="宋体"/>
          <w:b/>
          <w:bCs/>
          <w:color w:val="auto"/>
          <w:highlight w:val="none"/>
        </w:rPr>
      </w:pPr>
      <w:bookmarkStart w:id="38" w:name="_Toc31434"/>
      <w:r>
        <w:rPr>
          <w:rStyle w:val="48"/>
          <w:rFonts w:ascii="宋体" w:hAnsi="宋体" w:eastAsia="宋体" w:cs="宋体"/>
          <w:b/>
          <w:bCs/>
          <w:color w:val="auto"/>
          <w:szCs w:val="22"/>
          <w:highlight w:val="none"/>
        </w:rPr>
        <w:t>9.</w:t>
      </w:r>
      <w:r>
        <w:rPr>
          <w:rStyle w:val="48"/>
          <w:rFonts w:hint="eastAsia" w:ascii="宋体" w:hAnsi="宋体" w:eastAsia="宋体" w:cs="宋体"/>
          <w:b/>
          <w:bCs/>
          <w:color w:val="auto"/>
          <w:szCs w:val="22"/>
          <w:highlight w:val="none"/>
        </w:rPr>
        <w:t>纪律和监督</w:t>
      </w:r>
      <w:bookmarkEnd w:id="38"/>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9.1 </w:t>
      </w:r>
      <w:r>
        <w:rPr>
          <w:rFonts w:hint="eastAsia" w:ascii="宋体" w:hAnsi="宋体" w:cs="宋体"/>
          <w:color w:val="auto"/>
          <w:szCs w:val="21"/>
          <w:highlight w:val="none"/>
        </w:rPr>
        <w:t>对采购人的纪律要求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采购人不得泄漏磋商活动中应当保密的情况和资料，不得与供应商串通损害国家利益、社会公共利益或者他人合法权益。</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9.2 </w:t>
      </w:r>
      <w:r>
        <w:rPr>
          <w:rFonts w:hint="eastAsia" w:ascii="宋体" w:hAnsi="宋体" w:cs="宋体"/>
          <w:color w:val="auto"/>
          <w:szCs w:val="21"/>
          <w:highlight w:val="none"/>
        </w:rPr>
        <w:t>对供应商的纪律要求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供应商之间不得相互串通或者与采购人串通，不得向采购人或者谈判小组行贿谋取中标，不得以他人名义响应或者以其他方式弄虚作假骗取中标；供应商不得以任何方式干扰、影响评标工作。</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9.3 </w:t>
      </w:r>
      <w:r>
        <w:rPr>
          <w:rFonts w:hint="eastAsia" w:ascii="宋体" w:hAnsi="宋体" w:cs="宋体"/>
          <w:color w:val="auto"/>
          <w:szCs w:val="21"/>
          <w:highlight w:val="none"/>
        </w:rPr>
        <w:t>对磋商小组成员的纪律要求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9.4 </w:t>
      </w:r>
      <w:r>
        <w:rPr>
          <w:rFonts w:hint="eastAsia" w:ascii="宋体" w:hAnsi="宋体" w:cs="宋体"/>
          <w:color w:val="auto"/>
          <w:szCs w:val="21"/>
          <w:highlight w:val="none"/>
        </w:rPr>
        <w:t>对与评标活动有关的工作人员的纪律要求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9.5 </w:t>
      </w:r>
      <w:r>
        <w:rPr>
          <w:rFonts w:hint="eastAsia" w:ascii="宋体" w:hAnsi="宋体" w:cs="宋体"/>
          <w:color w:val="auto"/>
          <w:szCs w:val="21"/>
          <w:highlight w:val="none"/>
        </w:rPr>
        <w:t>投诉</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供应商和其他利害关系人认为本次磋商活动违反法律、法规和规章规定的，有权向有关行政监督部门投诉。</w:t>
      </w:r>
    </w:p>
    <w:p>
      <w:pPr>
        <w:pStyle w:val="5"/>
        <w:spacing w:before="0" w:after="0" w:line="380" w:lineRule="exact"/>
        <w:ind w:left="0" w:firstLine="0"/>
        <w:jc w:val="left"/>
        <w:rPr>
          <w:rStyle w:val="48"/>
          <w:rFonts w:ascii="宋体" w:hAnsi="Calibri" w:eastAsia="宋体" w:cs="宋体"/>
          <w:b/>
          <w:color w:val="auto"/>
          <w:highlight w:val="none"/>
        </w:rPr>
      </w:pPr>
      <w:bookmarkStart w:id="39" w:name="_Toc12542"/>
      <w:bookmarkStart w:id="40" w:name="_Toc421284749"/>
      <w:bookmarkStart w:id="41" w:name="_Toc9750"/>
      <w:r>
        <w:rPr>
          <w:rStyle w:val="48"/>
          <w:rFonts w:ascii="宋体" w:hAnsi="宋体" w:eastAsia="宋体" w:cs="宋体"/>
          <w:b/>
          <w:color w:val="auto"/>
          <w:highlight w:val="none"/>
        </w:rPr>
        <w:t xml:space="preserve">   </w:t>
      </w:r>
      <w:bookmarkStart w:id="42" w:name="_Toc9259"/>
      <w:r>
        <w:rPr>
          <w:rStyle w:val="48"/>
          <w:rFonts w:ascii="宋体" w:hAnsi="宋体" w:eastAsia="宋体" w:cs="宋体"/>
          <w:b/>
          <w:color w:val="auto"/>
          <w:highlight w:val="none"/>
        </w:rPr>
        <w:t>10.</w:t>
      </w:r>
      <w:r>
        <w:rPr>
          <w:rStyle w:val="48"/>
          <w:rFonts w:hint="eastAsia" w:ascii="宋体" w:hAnsi="宋体" w:eastAsia="宋体" w:cs="宋体"/>
          <w:b/>
          <w:color w:val="auto"/>
          <w:highlight w:val="none"/>
        </w:rPr>
        <w:t>需要补充的其他内容</w:t>
      </w:r>
      <w:bookmarkEnd w:id="39"/>
      <w:bookmarkEnd w:id="40"/>
      <w:bookmarkEnd w:id="41"/>
      <w:bookmarkEnd w:id="42"/>
    </w:p>
    <w:p>
      <w:pPr>
        <w:autoSpaceDE w:val="0"/>
        <w:autoSpaceDN w:val="0"/>
        <w:adjustRightInd w:val="0"/>
        <w:spacing w:line="380" w:lineRule="exact"/>
        <w:ind w:firstLine="482" w:firstLineChars="200"/>
        <w:rPr>
          <w:rFonts w:ascii="宋体" w:cs="宋体"/>
          <w:color w:val="auto"/>
          <w:kern w:val="0"/>
          <w:sz w:val="24"/>
          <w:highlight w:val="none"/>
        </w:rPr>
      </w:pPr>
      <w:r>
        <w:rPr>
          <w:rFonts w:ascii="宋体" w:hAnsi="宋体" w:cs="宋体"/>
          <w:b/>
          <w:color w:val="auto"/>
          <w:kern w:val="0"/>
          <w:sz w:val="24"/>
          <w:highlight w:val="none"/>
        </w:rPr>
        <w:t xml:space="preserve">10.1 </w:t>
      </w:r>
      <w:r>
        <w:rPr>
          <w:rFonts w:hint="eastAsia" w:ascii="宋体" w:hAnsi="宋体" w:cs="宋体"/>
          <w:b/>
          <w:color w:val="auto"/>
          <w:kern w:val="0"/>
          <w:sz w:val="24"/>
          <w:highlight w:val="none"/>
        </w:rPr>
        <w:t>费用承担</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w:t>
      </w:r>
      <w:r>
        <w:rPr>
          <w:rFonts w:ascii="宋体" w:hAnsi="宋体" w:cs="宋体"/>
          <w:color w:val="auto"/>
          <w:highlight w:val="none"/>
        </w:rPr>
        <w:t>1</w:t>
      </w:r>
      <w:r>
        <w:rPr>
          <w:rFonts w:hint="eastAsia" w:ascii="宋体" w:hAnsi="宋体" w:cs="宋体"/>
          <w:color w:val="auto"/>
          <w:highlight w:val="none"/>
        </w:rPr>
        <w:t>）无论投标过程中的作法和结果如何，供应商应自行承担所有参与磋商有关的全部费用，采购人和采购代理机构在任何情况下均无义务和责任承担上述费用。</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w:t>
      </w:r>
      <w:r>
        <w:rPr>
          <w:rFonts w:ascii="宋体" w:hAnsi="宋体" w:cs="宋体"/>
          <w:color w:val="auto"/>
          <w:highlight w:val="none"/>
        </w:rPr>
        <w:t>2</w:t>
      </w:r>
      <w:r>
        <w:rPr>
          <w:rFonts w:hint="eastAsia" w:ascii="宋体" w:hAnsi="宋体" w:cs="宋体"/>
          <w:color w:val="auto"/>
          <w:highlight w:val="none"/>
        </w:rPr>
        <w:t>）代理服务费由成交人支付。</w:t>
      </w:r>
    </w:p>
    <w:p>
      <w:pPr>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10.2 </w:t>
      </w:r>
      <w:r>
        <w:rPr>
          <w:rFonts w:hint="eastAsia" w:ascii="宋体" w:hAnsi="宋体" w:cs="宋体"/>
          <w:b/>
          <w:color w:val="auto"/>
          <w:kern w:val="0"/>
          <w:sz w:val="24"/>
          <w:highlight w:val="none"/>
        </w:rPr>
        <w:t>解释权</w:t>
      </w:r>
    </w:p>
    <w:p>
      <w:pPr>
        <w:autoSpaceDE w:val="0"/>
        <w:autoSpaceDN w:val="0"/>
        <w:adjustRightInd w:val="0"/>
        <w:spacing w:line="440" w:lineRule="exact"/>
        <w:ind w:left="15" w:leftChars="7" w:firstLine="420" w:firstLineChars="200"/>
        <w:jc w:val="left"/>
        <w:rPr>
          <w:rFonts w:ascii="宋体" w:cs="宋体"/>
          <w:color w:val="auto"/>
          <w:kern w:val="0"/>
          <w:szCs w:val="21"/>
          <w:highlight w:val="none"/>
        </w:rPr>
      </w:pPr>
      <w:r>
        <w:rPr>
          <w:rFonts w:hint="eastAsia" w:ascii="宋体" w:hAnsi="宋体" w:cs="宋体"/>
          <w:color w:val="auto"/>
          <w:highlight w:val="none"/>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 xml:space="preserve">10.3 </w:t>
      </w:r>
      <w:r>
        <w:rPr>
          <w:rFonts w:hint="eastAsia" w:ascii="宋体" w:hAnsi="宋体" w:cs="宋体"/>
          <w:color w:val="auto"/>
          <w:highlight w:val="none"/>
        </w:rPr>
        <w:t>本磋商文件未尽事宜，按《中华人民共和国政府采购法》等法律法规的有关规定执行。</w:t>
      </w:r>
    </w:p>
    <w:p>
      <w:pPr>
        <w:pStyle w:val="5"/>
        <w:spacing w:before="0" w:after="0" w:line="380" w:lineRule="exact"/>
        <w:ind w:left="0" w:firstLine="0"/>
        <w:jc w:val="left"/>
        <w:rPr>
          <w:rStyle w:val="48"/>
          <w:rFonts w:ascii="宋体" w:hAnsi="Calibri" w:eastAsia="宋体" w:cs="宋体"/>
          <w:b/>
          <w:color w:val="auto"/>
          <w:highlight w:val="none"/>
        </w:rPr>
      </w:pPr>
      <w:r>
        <w:rPr>
          <w:rStyle w:val="48"/>
          <w:rFonts w:ascii="宋体" w:hAnsi="宋体" w:eastAsia="宋体" w:cs="宋体"/>
          <w:b/>
          <w:color w:val="auto"/>
          <w:highlight w:val="none"/>
        </w:rPr>
        <w:t xml:space="preserve">  </w:t>
      </w:r>
      <w:bookmarkStart w:id="43" w:name="_Toc12648"/>
      <w:r>
        <w:rPr>
          <w:rStyle w:val="48"/>
          <w:rFonts w:ascii="宋体" w:hAnsi="宋体" w:eastAsia="宋体" w:cs="宋体"/>
          <w:b/>
          <w:color w:val="auto"/>
          <w:highlight w:val="none"/>
        </w:rPr>
        <w:t>11.</w:t>
      </w:r>
      <w:r>
        <w:rPr>
          <w:rStyle w:val="48"/>
          <w:rFonts w:hint="eastAsia" w:ascii="宋体" w:hAnsi="宋体" w:eastAsia="宋体" w:cs="宋体"/>
          <w:b/>
          <w:color w:val="auto"/>
          <w:highlight w:val="none"/>
        </w:rPr>
        <w:t>政策功能</w:t>
      </w:r>
      <w:bookmarkEnd w:id="43"/>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w:t>
      </w:r>
      <w:r>
        <w:rPr>
          <w:rFonts w:hint="eastAsia" w:ascii="宋体" w:hAnsi="宋体" w:cs="宋体"/>
          <w:color w:val="auto"/>
          <w:highlight w:val="none"/>
        </w:rPr>
        <w:t>关于《政府采购促进中小企业发展暂行办法》相关说明：</w:t>
      </w:r>
    </w:p>
    <w:p>
      <w:pPr>
        <w:autoSpaceDE w:val="0"/>
        <w:autoSpaceDN w:val="0"/>
        <w:adjustRightInd w:val="0"/>
        <w:spacing w:line="440" w:lineRule="exact"/>
        <w:ind w:left="15" w:leftChars="7"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根据</w:t>
      </w:r>
      <w:r>
        <w:rPr>
          <w:rFonts w:hint="eastAsia" w:ascii="宋体" w:hAnsi="宋体" w:eastAsia="宋体" w:cs="宋体"/>
          <w:color w:val="auto"/>
          <w:highlight w:val="none"/>
        </w:rPr>
        <w:t>促进中小型企业发展，必须执行财政部、工信部印发的《政府采购促进中小型企业发展暂行办法》，根据焦财采购【2022】5号关于转发《河南省财政厅关于进一步做好政府采购支持中小企业发展有关事项的通知》(豫财购【2022】5号）的通知，对非专门面向中小企业采购的项目，实施评审价格扣除政策支持小微企业。按照《通知》 要求，货物服务类项目的价格扣除提高至20%，用扣除后的价格参加评审。对于中型企业的价格不予扣除。监狱企业、残疾人福利性单位视同小微企业；残疾人福利性单位属于小型、微型企业的，不重复享受政策。</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关于小微企业：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w:t>
      </w:r>
      <w:r>
        <w:rPr>
          <w:rFonts w:hint="eastAsia" w:ascii="宋体" w:hAnsi="宋体" w:cs="宋体"/>
          <w:color w:val="auto"/>
          <w:highlight w:val="none"/>
        </w:rPr>
        <w:t>按</w:t>
      </w:r>
      <w:r>
        <w:rPr>
          <w:rFonts w:ascii="宋体" w:hAnsi="宋体" w:cs="宋体"/>
          <w:color w:val="auto"/>
          <w:highlight w:val="none"/>
        </w:rPr>
        <w:t>&lt;</w:t>
      </w:r>
      <w:r>
        <w:rPr>
          <w:rFonts w:hint="eastAsia" w:ascii="宋体" w:hAnsi="宋体" w:cs="宋体"/>
          <w:color w:val="auto"/>
          <w:highlight w:val="none"/>
        </w:rPr>
        <w:t>关于印发《政府采购促进中小企业发展暂行办法》的通知</w:t>
      </w:r>
      <w:r>
        <w:rPr>
          <w:rFonts w:ascii="宋体" w:hAnsi="宋体" w:cs="宋体"/>
          <w:color w:val="auto"/>
          <w:highlight w:val="none"/>
        </w:rPr>
        <w:t>&gt;</w:t>
      </w:r>
      <w:r>
        <w:rPr>
          <w:rFonts w:hint="eastAsia" w:ascii="宋体" w:hAnsi="宋体" w:cs="宋体"/>
          <w:color w:val="auto"/>
          <w:highlight w:val="none"/>
        </w:rPr>
        <w:t>（财库〔</w:t>
      </w:r>
      <w:r>
        <w:rPr>
          <w:rFonts w:ascii="宋体" w:hAnsi="宋体" w:cs="宋体"/>
          <w:color w:val="auto"/>
          <w:highlight w:val="none"/>
        </w:rPr>
        <w:t>2011</w:t>
      </w:r>
      <w:r>
        <w:rPr>
          <w:rFonts w:hint="eastAsia" w:ascii="宋体" w:hAnsi="宋体" w:cs="宋体"/>
          <w:color w:val="auto"/>
          <w:highlight w:val="none"/>
        </w:rPr>
        <w:t>〕</w:t>
      </w:r>
      <w:r>
        <w:rPr>
          <w:rFonts w:ascii="宋体" w:hAnsi="宋体" w:cs="宋体"/>
          <w:color w:val="auto"/>
          <w:highlight w:val="none"/>
        </w:rPr>
        <w:t>181</w:t>
      </w:r>
      <w:r>
        <w:rPr>
          <w:rFonts w:hint="eastAsia" w:ascii="宋体" w:hAnsi="宋体" w:cs="宋体"/>
          <w:color w:val="auto"/>
          <w:highlight w:val="none"/>
        </w:rPr>
        <w:t>号）之规定，中小企业的标准为：</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11.1.1.1</w:t>
      </w:r>
      <w:r>
        <w:rPr>
          <w:rFonts w:hint="eastAsia" w:ascii="宋体" w:hAnsi="宋体" w:cs="宋体"/>
          <w:color w:val="auto"/>
          <w:highlight w:val="none"/>
        </w:rPr>
        <w:t>提供本企业制造的货物、承担的工程或者服务，或者提供其他中小企业制造的货物，不包括提供或使用大型企业注册商标的货物。</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11.1.1.2</w:t>
      </w:r>
      <w:r>
        <w:rPr>
          <w:rFonts w:hint="eastAsia" w:ascii="宋体" w:hAnsi="宋体" w:cs="宋体"/>
          <w:color w:val="auto"/>
          <w:highlight w:val="none"/>
        </w:rPr>
        <w:t>本规定所称中小企业划分标准，是指国务院有关部门根据企业从业人员、营业收入、资产总额等指标制定的中小企业划型标准（工信部联企业〔</w:t>
      </w:r>
      <w:r>
        <w:rPr>
          <w:rFonts w:ascii="宋体" w:hAnsi="宋体" w:cs="宋体"/>
          <w:color w:val="auto"/>
          <w:highlight w:val="none"/>
        </w:rPr>
        <w:t>2011</w:t>
      </w:r>
      <w:r>
        <w:rPr>
          <w:rFonts w:hint="eastAsia" w:ascii="宋体" w:hAnsi="宋体" w:cs="宋体"/>
          <w:color w:val="auto"/>
          <w:highlight w:val="none"/>
        </w:rPr>
        <w:t>〕</w:t>
      </w:r>
      <w:r>
        <w:rPr>
          <w:rFonts w:ascii="宋体" w:hAnsi="宋体" w:cs="宋体"/>
          <w:color w:val="auto"/>
          <w:highlight w:val="none"/>
        </w:rPr>
        <w:t>300</w:t>
      </w:r>
      <w:r>
        <w:rPr>
          <w:rFonts w:hint="eastAsia" w:ascii="宋体" w:hAnsi="宋体" w:cs="宋体"/>
          <w:color w:val="auto"/>
          <w:highlight w:val="none"/>
        </w:rPr>
        <w:t>号）。</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11.1.1.3</w:t>
      </w:r>
      <w:r>
        <w:rPr>
          <w:rFonts w:hint="eastAsia" w:ascii="宋体" w:hAnsi="宋体" w:cs="宋体"/>
          <w:color w:val="auto"/>
          <w:highlight w:val="none"/>
        </w:rPr>
        <w:t>小型、微型企业提供有中型企业制造的货物的，视同为中型企业；小型、微型、中型企业提供有大型企业制造的货物的，视同为大型企业。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w:t>
      </w:r>
      <w:r>
        <w:rPr>
          <w:rFonts w:hint="eastAsia" w:ascii="宋体" w:hAnsi="宋体" w:cs="宋体"/>
          <w:color w:val="auto"/>
          <w:highlight w:val="none"/>
        </w:rPr>
        <w:t>依照</w:t>
      </w:r>
      <w:r>
        <w:rPr>
          <w:rFonts w:ascii="宋体" w:hAnsi="宋体" w:cs="宋体"/>
          <w:color w:val="auto"/>
          <w:highlight w:val="none"/>
        </w:rPr>
        <w:t>&lt;</w:t>
      </w:r>
      <w:r>
        <w:rPr>
          <w:rFonts w:hint="eastAsia" w:ascii="宋体" w:hAnsi="宋体" w:cs="宋体"/>
          <w:color w:val="auto"/>
          <w:highlight w:val="none"/>
        </w:rPr>
        <w:t>财政部、司法部关于政府采购支持监狱企业发展有关问题的通知</w:t>
      </w:r>
      <w:r>
        <w:rPr>
          <w:rFonts w:ascii="宋体" w:hAnsi="宋体" w:cs="宋体"/>
          <w:color w:val="auto"/>
          <w:highlight w:val="none"/>
        </w:rPr>
        <w:t>&gt;</w:t>
      </w:r>
      <w:r>
        <w:rPr>
          <w:rFonts w:hint="eastAsia" w:ascii="宋体" w:hAnsi="宋体" w:cs="宋体"/>
          <w:color w:val="auto"/>
          <w:highlight w:val="none"/>
        </w:rPr>
        <w:t>（财库〔</w:t>
      </w:r>
      <w:r>
        <w:rPr>
          <w:rFonts w:ascii="宋体" w:hAnsi="宋体" w:cs="宋体"/>
          <w:color w:val="auto"/>
          <w:highlight w:val="none"/>
        </w:rPr>
        <w:t>2014</w:t>
      </w:r>
      <w:r>
        <w:rPr>
          <w:rFonts w:hint="eastAsia" w:ascii="宋体" w:hAnsi="宋体" w:cs="宋体"/>
          <w:color w:val="auto"/>
          <w:highlight w:val="none"/>
        </w:rPr>
        <w:t>〕</w:t>
      </w:r>
      <w:r>
        <w:rPr>
          <w:rFonts w:ascii="宋体" w:hAnsi="宋体" w:cs="宋体"/>
          <w:color w:val="auto"/>
          <w:highlight w:val="none"/>
        </w:rPr>
        <w:t>68</w:t>
      </w:r>
      <w:r>
        <w:rPr>
          <w:rFonts w:hint="eastAsia" w:ascii="宋体" w:hAnsi="宋体" w:cs="宋体"/>
          <w:color w:val="auto"/>
          <w:highlight w:val="none"/>
        </w:rPr>
        <w:t>号）之规定，监狱企业应当符合以下条件：</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11.1.2.1</w:t>
      </w:r>
      <w:r>
        <w:rPr>
          <w:rFonts w:hint="eastAsia" w:ascii="宋体" w:hAnsi="宋体" w:cs="宋体"/>
          <w:color w:val="auto"/>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11.1.2.2</w:t>
      </w:r>
      <w:r>
        <w:rPr>
          <w:rFonts w:hint="eastAsia" w:ascii="宋体" w:hAnsi="宋体" w:cs="宋体"/>
          <w:color w:val="auto"/>
          <w:highlight w:val="none"/>
        </w:rPr>
        <w:t>监狱企业参加政府采购活动时，视同小型、微型企业，应当提供由省级以上监狱管理局、戒毒管理局（含新疆生产建设兵团）出具的属于监狱企业的证明文件。</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w:t>
      </w:r>
      <w:r>
        <w:rPr>
          <w:rFonts w:hint="eastAsia" w:ascii="宋体" w:hAnsi="宋体" w:cs="宋体"/>
          <w:color w:val="auto"/>
          <w:highlight w:val="none"/>
        </w:rPr>
        <w:t>2、其它未尽事宜，按国家有关法律、法规执行。</w:t>
      </w:r>
    </w:p>
    <w:p>
      <w:pPr>
        <w:spacing w:line="440" w:lineRule="exact"/>
        <w:ind w:firstLine="420" w:firstLineChars="200"/>
        <w:jc w:val="center"/>
        <w:outlineLvl w:val="1"/>
        <w:rPr>
          <w:rFonts w:asciiTheme="majorEastAsia" w:hAnsiTheme="majorEastAsia" w:eastAsiaTheme="majorEastAsia"/>
          <w:b/>
          <w:color w:val="auto"/>
          <w:sz w:val="24"/>
          <w:szCs w:val="24"/>
          <w:highlight w:val="none"/>
        </w:rPr>
      </w:pPr>
      <w:r>
        <w:rPr>
          <w:rFonts w:ascii="宋体" w:cs="宋体"/>
          <w:color w:val="auto"/>
          <w:highlight w:val="none"/>
        </w:rPr>
        <w:br w:type="page"/>
      </w:r>
      <w:r>
        <w:rPr>
          <w:rFonts w:ascii="宋体" w:hAnsi="宋体" w:cs="宋体"/>
          <w:color w:val="auto"/>
          <w:sz w:val="32"/>
          <w:szCs w:val="32"/>
          <w:highlight w:val="none"/>
        </w:rPr>
        <w:t xml:space="preserve"> </w:t>
      </w:r>
      <w:bookmarkEnd w:id="13"/>
      <w:bookmarkStart w:id="44" w:name="_Toc5632"/>
      <w:bookmarkStart w:id="45" w:name="_Toc26050"/>
      <w:bookmarkStart w:id="46" w:name="_Toc19848"/>
      <w:r>
        <w:rPr>
          <w:rFonts w:hint="eastAsia" w:asciiTheme="majorEastAsia" w:hAnsiTheme="majorEastAsia" w:eastAsiaTheme="majorEastAsia"/>
          <w:b/>
          <w:color w:val="auto"/>
          <w:sz w:val="32"/>
          <w:szCs w:val="32"/>
          <w:highlight w:val="none"/>
        </w:rPr>
        <w:t>第三章  评标标准和评标方法</w:t>
      </w:r>
      <w:bookmarkEnd w:id="44"/>
      <w:bookmarkEnd w:id="45"/>
      <w:bookmarkEnd w:id="46"/>
    </w:p>
    <w:p>
      <w:pPr>
        <w:spacing w:line="300" w:lineRule="exact"/>
        <w:ind w:firstLine="422" w:firstLineChars="200"/>
        <w:rPr>
          <w:rFonts w:ascii="宋体" w:hAnsi="宋体" w:cs="宋体"/>
          <w:b/>
          <w:color w:val="auto"/>
          <w:szCs w:val="21"/>
          <w:highlight w:val="none"/>
        </w:rPr>
      </w:pPr>
      <w:bookmarkStart w:id="47" w:name="_Toc421284751"/>
      <w:bookmarkStart w:id="48" w:name="_Toc27148130"/>
      <w:bookmarkStart w:id="49" w:name="_Toc6110"/>
      <w:bookmarkStart w:id="50" w:name="_Toc21327"/>
      <w:bookmarkStart w:id="51" w:name="_Toc8539"/>
      <w:bookmarkStart w:id="52" w:name="_Toc388541206"/>
      <w:bookmarkStart w:id="53" w:name="_Toc7610"/>
      <w:r>
        <w:rPr>
          <w:rFonts w:hint="eastAsia" w:ascii="宋体" w:hAnsi="宋体" w:cs="宋体"/>
          <w:b/>
          <w:color w:val="auto"/>
          <w:szCs w:val="21"/>
          <w:highlight w:val="none"/>
        </w:rPr>
        <w:t>1.评标准则和评标方法</w:t>
      </w:r>
      <w:bookmarkEnd w:id="47"/>
      <w:bookmarkEnd w:id="48"/>
      <w:bookmarkEnd w:id="49"/>
      <w:bookmarkEnd w:id="50"/>
      <w:bookmarkEnd w:id="51"/>
      <w:bookmarkEnd w:id="52"/>
      <w:bookmarkEnd w:id="53"/>
    </w:p>
    <w:p>
      <w:pPr>
        <w:spacing w:line="3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1.1评标过程将遵循“公平、公正、科学、择优”的原则进行。</w:t>
      </w:r>
    </w:p>
    <w:p>
      <w:pPr>
        <w:spacing w:line="300" w:lineRule="exact"/>
        <w:ind w:firstLine="420" w:firstLineChars="200"/>
        <w:rPr>
          <w:rFonts w:ascii="宋体" w:hAnsi="宋体" w:cs="宋体"/>
          <w:color w:val="auto"/>
          <w:szCs w:val="21"/>
          <w:highlight w:val="none"/>
        </w:rPr>
      </w:pPr>
      <w:bookmarkStart w:id="54" w:name="_Toc371423272"/>
      <w:bookmarkStart w:id="55" w:name="_Toc371425843"/>
      <w:bookmarkStart w:id="56" w:name="_Toc4231"/>
      <w:bookmarkStart w:id="57" w:name="_Toc9035"/>
      <w:bookmarkStart w:id="58" w:name="_Toc27273"/>
      <w:r>
        <w:rPr>
          <w:rFonts w:hint="eastAsia" w:ascii="宋体" w:hAnsi="宋体" w:cs="宋体"/>
          <w:color w:val="auto"/>
          <w:szCs w:val="21"/>
          <w:highlight w:val="none"/>
        </w:rPr>
        <w:t>1.2评标将严格按照招标文件的要求和条件进行。对所有供应商的投标评定都采用相同的程序和标准。</w:t>
      </w:r>
    </w:p>
    <w:p>
      <w:pPr>
        <w:spacing w:line="3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1.3反对不正当竞争，投标人不得串通投标，如有违反者按《中华人民共和国政府采购法》有关规定处理。</w:t>
      </w:r>
    </w:p>
    <w:p>
      <w:pPr>
        <w:spacing w:line="300" w:lineRule="exact"/>
        <w:ind w:firstLine="422" w:firstLineChars="200"/>
        <w:rPr>
          <w:rFonts w:ascii="宋体" w:hAnsi="宋体" w:cs="宋体"/>
          <w:b/>
          <w:color w:val="auto"/>
          <w:szCs w:val="21"/>
          <w:highlight w:val="none"/>
        </w:rPr>
      </w:pPr>
      <w:bookmarkStart w:id="59" w:name="_Toc27148131"/>
      <w:bookmarkStart w:id="60" w:name="_Toc14776"/>
      <w:bookmarkStart w:id="61" w:name="_Toc421284752"/>
      <w:bookmarkStart w:id="62" w:name="_Toc21051"/>
      <w:bookmarkStart w:id="63" w:name="_Toc380581853"/>
      <w:bookmarkStart w:id="64" w:name="_Toc12985"/>
      <w:bookmarkStart w:id="65" w:name="_Toc9507"/>
      <w:bookmarkStart w:id="66" w:name="_Toc388541207"/>
      <w:r>
        <w:rPr>
          <w:rFonts w:hint="eastAsia" w:ascii="宋体" w:hAnsi="宋体" w:cs="宋体"/>
          <w:b/>
          <w:color w:val="auto"/>
          <w:szCs w:val="21"/>
          <w:highlight w:val="none"/>
        </w:rPr>
        <w:t>2.评审标准</w:t>
      </w:r>
      <w:bookmarkEnd w:id="54"/>
      <w:bookmarkEnd w:id="55"/>
      <w:bookmarkEnd w:id="56"/>
      <w:bookmarkEnd w:id="57"/>
      <w:bookmarkEnd w:id="58"/>
      <w:bookmarkEnd w:id="59"/>
      <w:bookmarkEnd w:id="60"/>
      <w:bookmarkEnd w:id="61"/>
      <w:bookmarkEnd w:id="62"/>
      <w:bookmarkEnd w:id="63"/>
      <w:bookmarkEnd w:id="64"/>
      <w:bookmarkEnd w:id="65"/>
      <w:bookmarkEnd w:id="66"/>
    </w:p>
    <w:p>
      <w:pPr>
        <w:spacing w:line="300" w:lineRule="exact"/>
        <w:ind w:firstLine="420" w:firstLineChars="200"/>
        <w:rPr>
          <w:rFonts w:ascii="宋体" w:hAnsi="宋体" w:cs="宋体"/>
          <w:color w:val="auto"/>
          <w:szCs w:val="21"/>
          <w:highlight w:val="none"/>
        </w:rPr>
      </w:pPr>
      <w:bookmarkStart w:id="67" w:name="_Toc1062"/>
      <w:bookmarkStart w:id="68" w:name="_Toc421284753"/>
      <w:bookmarkStart w:id="69" w:name="_Toc23807"/>
      <w:r>
        <w:rPr>
          <w:rFonts w:hint="eastAsia" w:ascii="宋体" w:hAnsi="宋体" w:cs="宋体"/>
          <w:color w:val="auto"/>
          <w:szCs w:val="21"/>
          <w:highlight w:val="none"/>
        </w:rPr>
        <w:t>2.1 初步评审标准</w:t>
      </w:r>
      <w:bookmarkEnd w:id="67"/>
      <w:bookmarkEnd w:id="68"/>
      <w:bookmarkEnd w:id="69"/>
    </w:p>
    <w:tbl>
      <w:tblPr>
        <w:tblStyle w:val="30"/>
        <w:tblW w:w="9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533"/>
        <w:gridCol w:w="2895"/>
        <w:gridCol w:w="5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exact"/>
          <w:jc w:val="center"/>
        </w:trPr>
        <w:tc>
          <w:tcPr>
            <w:tcW w:w="469" w:type="dxa"/>
            <w:vAlign w:val="center"/>
          </w:tcPr>
          <w:p>
            <w:pPr>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审查</w:t>
            </w:r>
          </w:p>
          <w:p>
            <w:pPr>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主体</w:t>
            </w:r>
          </w:p>
        </w:tc>
        <w:tc>
          <w:tcPr>
            <w:tcW w:w="3428" w:type="dxa"/>
            <w:gridSpan w:val="2"/>
            <w:vAlign w:val="center"/>
          </w:tcPr>
          <w:p>
            <w:pPr>
              <w:spacing w:line="440" w:lineRule="exact"/>
              <w:ind w:firstLine="422" w:firstLineChars="200"/>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评审因素</w:t>
            </w:r>
          </w:p>
        </w:tc>
        <w:tc>
          <w:tcPr>
            <w:tcW w:w="5204" w:type="dxa"/>
            <w:vAlign w:val="center"/>
          </w:tcPr>
          <w:p>
            <w:pPr>
              <w:spacing w:line="440" w:lineRule="exact"/>
              <w:ind w:firstLine="422" w:firstLineChars="200"/>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9"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委</w:t>
            </w:r>
          </w:p>
          <w:p>
            <w:pPr>
              <w:spacing w:line="440" w:lineRule="exact"/>
              <w:jc w:val="center"/>
              <w:textAlignment w:val="baseline"/>
              <w:rPr>
                <w:color w:val="auto"/>
                <w:szCs w:val="21"/>
                <w:highlight w:val="none"/>
              </w:rPr>
            </w:pPr>
            <w:r>
              <w:rPr>
                <w:rFonts w:hint="eastAsia"/>
                <w:color w:val="auto"/>
                <w:szCs w:val="21"/>
                <w:highlight w:val="none"/>
              </w:rPr>
              <w:t>员</w:t>
            </w:r>
          </w:p>
          <w:p>
            <w:pPr>
              <w:spacing w:line="440" w:lineRule="exact"/>
              <w:jc w:val="center"/>
              <w:textAlignment w:val="baseline"/>
              <w:rPr>
                <w:color w:val="auto"/>
                <w:szCs w:val="21"/>
                <w:highlight w:val="none"/>
              </w:rPr>
            </w:pPr>
            <w:r>
              <w:rPr>
                <w:rFonts w:hint="eastAsia"/>
                <w:color w:val="auto"/>
                <w:szCs w:val="21"/>
                <w:highlight w:val="none"/>
              </w:rPr>
              <w:t>会</w:t>
            </w:r>
          </w:p>
        </w:tc>
        <w:tc>
          <w:tcPr>
            <w:tcW w:w="533"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资</w:t>
            </w:r>
          </w:p>
          <w:p>
            <w:pPr>
              <w:spacing w:line="440" w:lineRule="exact"/>
              <w:jc w:val="center"/>
              <w:textAlignment w:val="baseline"/>
              <w:rPr>
                <w:color w:val="auto"/>
                <w:szCs w:val="21"/>
                <w:highlight w:val="none"/>
              </w:rPr>
            </w:pPr>
            <w:r>
              <w:rPr>
                <w:rFonts w:hint="eastAsia"/>
                <w:color w:val="auto"/>
                <w:szCs w:val="21"/>
                <w:highlight w:val="none"/>
              </w:rPr>
              <w:t>格</w:t>
            </w:r>
          </w:p>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审</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准</w:t>
            </w:r>
          </w:p>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color w:val="auto"/>
                <w:szCs w:val="21"/>
                <w:highlight w:val="none"/>
              </w:rPr>
            </w:pPr>
            <w:r>
              <w:rPr>
                <w:rFonts w:hint="eastAsia"/>
                <w:color w:val="auto"/>
                <w:szCs w:val="21"/>
                <w:highlight w:val="none"/>
              </w:rPr>
              <w:t>温县政府采购供应商资格信用承诺函</w:t>
            </w:r>
          </w:p>
        </w:tc>
        <w:tc>
          <w:tcPr>
            <w:tcW w:w="5204" w:type="dxa"/>
            <w:vAlign w:val="center"/>
          </w:tcPr>
          <w:p>
            <w:pPr>
              <w:spacing w:line="360" w:lineRule="auto"/>
              <w:textAlignment w:val="baseline"/>
              <w:rPr>
                <w:rFonts w:hint="eastAsia" w:eastAsia="宋体"/>
                <w:color w:val="auto"/>
                <w:szCs w:val="21"/>
                <w:highlight w:val="none"/>
                <w:lang w:eastAsia="zh-CN"/>
              </w:rPr>
            </w:pPr>
            <w:r>
              <w:rPr>
                <w:rFonts w:hint="eastAsia"/>
                <w:color w:val="auto"/>
                <w:szCs w:val="21"/>
                <w:highlight w:val="none"/>
                <w:lang w:eastAsia="zh-CN"/>
              </w:rPr>
              <w:t>符合“</w:t>
            </w:r>
            <w:r>
              <w:rPr>
                <w:rFonts w:hint="eastAsia"/>
                <w:color w:val="auto"/>
                <w:szCs w:val="21"/>
                <w:highlight w:val="none"/>
              </w:rPr>
              <w:t>温县政府采购供应商资格信用承诺函</w:t>
            </w:r>
            <w:r>
              <w:rPr>
                <w:rFonts w:hint="eastAsia"/>
                <w:color w:val="auto"/>
                <w:szCs w:val="21"/>
                <w:highlight w:val="none"/>
                <w:lang w:eastAsia="zh-CN"/>
              </w:rPr>
              <w:t>”格式要求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color w:val="auto"/>
                <w:szCs w:val="21"/>
                <w:highlight w:val="none"/>
              </w:rPr>
            </w:pPr>
            <w:r>
              <w:rPr>
                <w:rFonts w:hint="eastAsia"/>
                <w:color w:val="auto"/>
                <w:szCs w:val="21"/>
                <w:highlight w:val="none"/>
              </w:rPr>
              <w:t>法定代表人身份证明或授权委托书及被授权人本人身份证</w:t>
            </w:r>
          </w:p>
        </w:tc>
        <w:tc>
          <w:tcPr>
            <w:tcW w:w="5204" w:type="dxa"/>
            <w:vAlign w:val="center"/>
          </w:tcPr>
          <w:p>
            <w:pPr>
              <w:spacing w:line="360" w:lineRule="auto"/>
              <w:textAlignment w:val="baseline"/>
              <w:rPr>
                <w:color w:val="auto"/>
                <w:szCs w:val="21"/>
                <w:highlight w:val="none"/>
              </w:rPr>
            </w:pPr>
            <w:r>
              <w:rPr>
                <w:rFonts w:hint="eastAsia"/>
                <w:color w:val="auto"/>
                <w:szCs w:val="21"/>
                <w:highlight w:val="none"/>
              </w:rPr>
              <w:t>法定代表人身份证明或授权委托书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rFonts w:hint="eastAsia" w:eastAsia="宋体"/>
                <w:color w:val="auto"/>
                <w:szCs w:val="21"/>
                <w:highlight w:val="none"/>
                <w:lang w:eastAsia="zh-CN"/>
              </w:rPr>
            </w:pPr>
            <w:r>
              <w:rPr>
                <w:rFonts w:hint="eastAsia"/>
                <w:color w:val="auto"/>
                <w:szCs w:val="21"/>
                <w:highlight w:val="none"/>
                <w:lang w:eastAsia="zh-CN"/>
              </w:rPr>
              <w:t>资质</w:t>
            </w:r>
          </w:p>
        </w:tc>
        <w:tc>
          <w:tcPr>
            <w:tcW w:w="5204" w:type="dxa"/>
            <w:vAlign w:val="center"/>
          </w:tcPr>
          <w:p>
            <w:pPr>
              <w:spacing w:line="360" w:lineRule="auto"/>
              <w:textAlignment w:val="baseline"/>
              <w:rPr>
                <w:rFonts w:hint="default" w:eastAsia="宋体"/>
                <w:color w:val="auto"/>
                <w:szCs w:val="21"/>
                <w:highlight w:val="none"/>
                <w:lang w:val="en-US" w:eastAsia="zh-CN"/>
              </w:rPr>
            </w:pPr>
            <w:r>
              <w:rPr>
                <w:rFonts w:hint="eastAsia"/>
                <w:color w:val="auto"/>
                <w:szCs w:val="21"/>
                <w:highlight w:val="none"/>
                <w:lang w:eastAsia="zh-CN"/>
              </w:rPr>
              <w:t>符合第二章供应商须知前附表</w:t>
            </w:r>
            <w:r>
              <w:rPr>
                <w:rFonts w:hint="eastAsia" w:ascii="宋体" w:hAnsi="宋体" w:cs="宋体"/>
                <w:color w:val="auto"/>
                <w:szCs w:val="21"/>
                <w:highlight w:val="none"/>
                <w:lang w:val="en-US" w:eastAsia="zh-CN"/>
              </w:rPr>
              <w:t>1.3.4</w:t>
            </w:r>
            <w:r>
              <w:rPr>
                <w:rFonts w:hint="eastAsia"/>
                <w:color w:val="auto"/>
                <w:szCs w:val="21"/>
                <w:highlight w:val="none"/>
                <w:lang w:val="en-US" w:eastAsia="zh-CN"/>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color w:val="auto"/>
                <w:szCs w:val="21"/>
                <w:highlight w:val="none"/>
              </w:rPr>
            </w:pPr>
            <w:r>
              <w:rPr>
                <w:rFonts w:hint="eastAsia"/>
                <w:color w:val="auto"/>
                <w:szCs w:val="21"/>
                <w:highlight w:val="none"/>
              </w:rPr>
              <w:t>无行贿犯罪记录</w:t>
            </w:r>
          </w:p>
        </w:tc>
        <w:tc>
          <w:tcPr>
            <w:tcW w:w="5204" w:type="dxa"/>
            <w:vAlign w:val="center"/>
          </w:tcPr>
          <w:p>
            <w:pPr>
              <w:spacing w:line="360" w:lineRule="auto"/>
              <w:textAlignment w:val="baseline"/>
              <w:rPr>
                <w:color w:val="auto"/>
                <w:szCs w:val="21"/>
                <w:highlight w:val="none"/>
              </w:rPr>
            </w:pPr>
            <w:r>
              <w:rPr>
                <w:rFonts w:hint="eastAsia"/>
                <w:color w:val="auto"/>
                <w:szCs w:val="21"/>
                <w:highlight w:val="none"/>
              </w:rPr>
              <w:t>符合第二章供应商须知前附表</w:t>
            </w:r>
            <w:r>
              <w:rPr>
                <w:rFonts w:hint="eastAsia" w:ascii="宋体" w:hAnsi="宋体" w:cs="宋体"/>
                <w:color w:val="auto"/>
                <w:szCs w:val="21"/>
                <w:highlight w:val="none"/>
              </w:rPr>
              <w:t>1.3.4</w:t>
            </w:r>
            <w:r>
              <w:rPr>
                <w:rFonts w:hint="eastAsia"/>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jc w:val="left"/>
              <w:textAlignment w:val="baseline"/>
              <w:rPr>
                <w:color w:val="auto"/>
                <w:szCs w:val="21"/>
                <w:highlight w:val="none"/>
              </w:rPr>
            </w:pPr>
            <w:r>
              <w:rPr>
                <w:rFonts w:hint="eastAsia"/>
                <w:color w:val="auto"/>
                <w:szCs w:val="21"/>
                <w:highlight w:val="none"/>
              </w:rPr>
              <w:t>信誉要求</w:t>
            </w:r>
          </w:p>
        </w:tc>
        <w:tc>
          <w:tcPr>
            <w:tcW w:w="5204" w:type="dxa"/>
            <w:vAlign w:val="center"/>
          </w:tcPr>
          <w:p>
            <w:pPr>
              <w:spacing w:line="360" w:lineRule="auto"/>
              <w:jc w:val="left"/>
              <w:textAlignment w:val="baseline"/>
              <w:rPr>
                <w:color w:val="auto"/>
                <w:szCs w:val="21"/>
                <w:highlight w:val="none"/>
              </w:rPr>
            </w:pPr>
            <w:r>
              <w:rPr>
                <w:rFonts w:hint="eastAsia"/>
                <w:color w:val="auto"/>
                <w:szCs w:val="21"/>
                <w:highlight w:val="none"/>
              </w:rPr>
              <w:t>符合第二章供应商须知前附表</w:t>
            </w:r>
            <w:r>
              <w:rPr>
                <w:rFonts w:hint="eastAsia" w:ascii="宋体" w:hAnsi="宋体" w:cs="宋体"/>
                <w:color w:val="auto"/>
                <w:szCs w:val="21"/>
                <w:highlight w:val="none"/>
              </w:rPr>
              <w:t>1.3.4</w:t>
            </w:r>
            <w:r>
              <w:rPr>
                <w:rFonts w:hint="eastAsia"/>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符</w:t>
            </w:r>
          </w:p>
          <w:p>
            <w:pPr>
              <w:spacing w:line="440" w:lineRule="exact"/>
              <w:jc w:val="center"/>
              <w:textAlignment w:val="baseline"/>
              <w:rPr>
                <w:color w:val="auto"/>
                <w:szCs w:val="21"/>
                <w:highlight w:val="none"/>
              </w:rPr>
            </w:pPr>
            <w:r>
              <w:rPr>
                <w:rFonts w:hint="eastAsia"/>
                <w:color w:val="auto"/>
                <w:szCs w:val="21"/>
                <w:highlight w:val="none"/>
              </w:rPr>
              <w:t>合</w:t>
            </w:r>
          </w:p>
          <w:p>
            <w:pPr>
              <w:spacing w:line="440" w:lineRule="exact"/>
              <w:jc w:val="center"/>
              <w:textAlignment w:val="baseline"/>
              <w:rPr>
                <w:color w:val="auto"/>
                <w:szCs w:val="21"/>
                <w:highlight w:val="none"/>
              </w:rPr>
            </w:pPr>
            <w:r>
              <w:rPr>
                <w:rFonts w:hint="eastAsia"/>
                <w:color w:val="auto"/>
                <w:szCs w:val="21"/>
                <w:highlight w:val="none"/>
              </w:rPr>
              <w:t>性</w:t>
            </w:r>
          </w:p>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审</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准</w:t>
            </w:r>
          </w:p>
          <w:p>
            <w:pPr>
              <w:spacing w:line="440" w:lineRule="exact"/>
              <w:ind w:firstLine="420" w:firstLineChars="200"/>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投标函签字盖章</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由法定代表人（负责人）或委托代理人签字并加盖单位公章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投标文件格式</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符合磋商文件格式要求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合同履行期限</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符合第二章供应商须知前附表1.3.2规定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rFonts w:hint="eastAsia"/>
                <w:color w:val="auto"/>
                <w:szCs w:val="21"/>
                <w:highlight w:val="none"/>
              </w:rPr>
            </w:pPr>
            <w:r>
              <w:rPr>
                <w:rFonts w:hint="eastAsia" w:ascii="宋体" w:hAnsi="宋体" w:cs="宋体"/>
                <w:color w:val="auto"/>
                <w:szCs w:val="21"/>
                <w:highlight w:val="none"/>
                <w:lang w:eastAsia="zh-CN"/>
              </w:rPr>
              <w:t>单个项目完成期限</w:t>
            </w:r>
          </w:p>
        </w:tc>
        <w:tc>
          <w:tcPr>
            <w:tcW w:w="5204" w:type="dxa"/>
            <w:vAlign w:val="center"/>
          </w:tcPr>
          <w:p>
            <w:pPr>
              <w:spacing w:line="600" w:lineRule="auto"/>
              <w:jc w:val="left"/>
              <w:textAlignment w:val="baseline"/>
              <w:rPr>
                <w:rFonts w:hint="eastAsia"/>
                <w:color w:val="auto"/>
                <w:szCs w:val="21"/>
                <w:highlight w:val="none"/>
              </w:rPr>
            </w:pPr>
            <w:r>
              <w:rPr>
                <w:rFonts w:hint="eastAsia"/>
                <w:color w:val="auto"/>
                <w:szCs w:val="21"/>
                <w:highlight w:val="none"/>
              </w:rPr>
              <w:t>符合第二章供应商须知前附表1.3.2规定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质量要求</w:t>
            </w:r>
          </w:p>
        </w:tc>
        <w:tc>
          <w:tcPr>
            <w:tcW w:w="5204" w:type="dxa"/>
            <w:vAlign w:val="center"/>
          </w:tcPr>
          <w:p>
            <w:pPr>
              <w:spacing w:line="600" w:lineRule="auto"/>
              <w:jc w:val="left"/>
              <w:textAlignment w:val="baseline"/>
              <w:rPr>
                <w:rFonts w:hint="eastAsia" w:eastAsia="宋体"/>
                <w:color w:val="auto"/>
                <w:szCs w:val="21"/>
                <w:highlight w:val="none"/>
                <w:lang w:eastAsia="zh-CN"/>
              </w:rPr>
            </w:pPr>
            <w:r>
              <w:rPr>
                <w:rFonts w:hint="eastAsia" w:ascii="宋体" w:hAnsi="宋体" w:eastAsia="宋体" w:cs="宋体"/>
                <w:color w:val="auto"/>
                <w:szCs w:val="21"/>
                <w:highlight w:val="none"/>
                <w:lang w:eastAsia="zh-CN"/>
              </w:rPr>
              <w:t>合格，满足国家及</w:t>
            </w:r>
            <w:r>
              <w:rPr>
                <w:rFonts w:hint="eastAsia" w:ascii="宋体" w:hAnsi="宋体" w:cs="宋体"/>
                <w:color w:val="auto"/>
                <w:szCs w:val="21"/>
                <w:highlight w:val="none"/>
                <w:lang w:eastAsia="zh-CN"/>
              </w:rPr>
              <w:t>相关</w:t>
            </w:r>
            <w:r>
              <w:rPr>
                <w:rFonts w:hint="eastAsia" w:ascii="宋体" w:hAnsi="宋体" w:eastAsia="宋体" w:cs="宋体"/>
                <w:color w:val="auto"/>
                <w:szCs w:val="21"/>
                <w:highlight w:val="none"/>
                <w:lang w:eastAsia="zh-CN"/>
              </w:rPr>
              <w:t>行业规范</w:t>
            </w:r>
            <w:r>
              <w:rPr>
                <w:rFonts w:hint="eastAsia" w:ascii="宋体" w:hAnsi="宋体" w:cs="宋体"/>
                <w:color w:val="auto"/>
                <w:szCs w:val="21"/>
                <w:highlight w:val="none"/>
                <w:lang w:eastAsia="zh-CN"/>
              </w:rPr>
              <w:t>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投标报价</w:t>
            </w:r>
          </w:p>
        </w:tc>
        <w:tc>
          <w:tcPr>
            <w:tcW w:w="5204" w:type="dxa"/>
            <w:vAlign w:val="center"/>
          </w:tcPr>
          <w:p>
            <w:pPr>
              <w:spacing w:line="600" w:lineRule="auto"/>
              <w:jc w:val="left"/>
              <w:textAlignment w:val="baseline"/>
              <w:rPr>
                <w:rFonts w:hint="eastAsia" w:eastAsia="宋体"/>
                <w:color w:val="auto"/>
                <w:szCs w:val="21"/>
                <w:highlight w:val="yellow"/>
                <w:lang w:eastAsia="zh-CN"/>
              </w:rPr>
            </w:pPr>
            <w:r>
              <w:rPr>
                <w:rFonts w:hint="eastAsia"/>
                <w:color w:val="auto"/>
                <w:szCs w:val="21"/>
                <w:highlight w:val="none"/>
              </w:rPr>
              <w:t>只能有一个有效报价，且不能超过</w:t>
            </w:r>
            <w:r>
              <w:rPr>
                <w:rFonts w:hint="eastAsia"/>
                <w:color w:val="auto"/>
                <w:szCs w:val="21"/>
                <w:highlight w:val="none"/>
                <w:lang w:eastAsia="zh-CN"/>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投标承诺函</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符合第二章“供应商须知”规定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磋商有效期</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响应文件递交截止日起60日历天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其他要求</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符合法律、法规和磋商文件中规定的其他实质性要求的。</w:t>
            </w:r>
          </w:p>
        </w:tc>
      </w:tr>
    </w:tbl>
    <w:p>
      <w:pPr>
        <w:spacing w:line="260" w:lineRule="exact"/>
        <w:rPr>
          <w:rFonts w:hint="eastAsia" w:ascii="宋体" w:hAnsi="宋体" w:cs="宋体"/>
          <w:b/>
          <w:bCs/>
          <w:color w:val="auto"/>
          <w:kern w:val="0"/>
          <w:szCs w:val="21"/>
          <w:highlight w:val="none"/>
        </w:rPr>
      </w:pPr>
      <w:bookmarkStart w:id="70" w:name="_Toc31363"/>
      <w:bookmarkStart w:id="71" w:name="_Toc31569"/>
      <w:bookmarkStart w:id="72" w:name="_Toc241"/>
      <w:bookmarkStart w:id="73" w:name="_Toc421284754"/>
      <w:bookmarkStart w:id="74" w:name="_Toc380581854"/>
      <w:bookmarkStart w:id="75" w:name="_Toc388091815"/>
      <w:bookmarkStart w:id="76" w:name="_Toc18099"/>
      <w:bookmarkStart w:id="77" w:name="_Toc371425844"/>
      <w:bookmarkStart w:id="78" w:name="_Toc13205"/>
      <w:bookmarkStart w:id="79" w:name="_Toc388541209"/>
      <w:bookmarkStart w:id="80" w:name="_Toc371423273"/>
      <w:bookmarkStart w:id="81" w:name="_Toc17206"/>
    </w:p>
    <w:p>
      <w:pPr>
        <w:spacing w:line="260" w:lineRule="exact"/>
        <w:ind w:firstLine="422" w:firstLineChars="200"/>
        <w:rPr>
          <w:rFonts w:hint="eastAsia" w:ascii="宋体" w:hAnsi="宋体" w:cs="宋体"/>
          <w:b/>
          <w:bCs/>
          <w:color w:val="auto"/>
          <w:kern w:val="0"/>
          <w:szCs w:val="21"/>
          <w:highlight w:val="none"/>
        </w:rPr>
      </w:pPr>
    </w:p>
    <w:bookmarkEnd w:id="70"/>
    <w:bookmarkEnd w:id="71"/>
    <w:bookmarkEnd w:id="72"/>
    <w:bookmarkEnd w:id="73"/>
    <w:bookmarkEnd w:id="74"/>
    <w:bookmarkEnd w:id="75"/>
    <w:bookmarkEnd w:id="76"/>
    <w:bookmarkEnd w:id="77"/>
    <w:bookmarkEnd w:id="78"/>
    <w:bookmarkEnd w:id="79"/>
    <w:bookmarkEnd w:id="80"/>
    <w:bookmarkEnd w:id="81"/>
    <w:p>
      <w:pPr>
        <w:spacing w:line="260" w:lineRule="exact"/>
        <w:ind w:firstLine="422" w:firstLineChars="200"/>
        <w:rPr>
          <w:rFonts w:hint="eastAsia" w:ascii="宋体" w:hAnsi="宋体"/>
          <w:b/>
        </w:rPr>
      </w:pPr>
      <w:r>
        <w:rPr>
          <w:rFonts w:hint="eastAsia" w:ascii="宋体" w:hAnsi="宋体" w:cs="宋体"/>
          <w:b/>
          <w:bCs/>
          <w:kern w:val="0"/>
          <w:szCs w:val="21"/>
        </w:rPr>
        <w:t>2.2</w:t>
      </w:r>
      <w:r>
        <w:rPr>
          <w:rFonts w:hint="eastAsia" w:ascii="宋体" w:hAnsi="宋体"/>
          <w:b/>
        </w:rPr>
        <w:t>详细评标标准</w:t>
      </w:r>
    </w:p>
    <w:p>
      <w:pPr>
        <w:pStyle w:val="14"/>
        <w:spacing w:line="260" w:lineRule="exact"/>
        <w:ind w:firstLine="402" w:firstLineChars="200"/>
        <w:rPr>
          <w:rFonts w:hint="eastAsia"/>
          <w:b/>
          <w:bCs/>
        </w:rPr>
      </w:pPr>
      <w:r>
        <w:rPr>
          <w:rFonts w:hint="eastAsia" w:ascii="宋体" w:eastAsia="宋体" w:cs="宋体"/>
          <w:b/>
          <w:bCs/>
          <w:color w:val="000000"/>
          <w:kern w:val="0"/>
          <w:sz w:val="20"/>
          <w:szCs w:val="20"/>
          <w:lang w:bidi="ar"/>
        </w:rPr>
        <w:t>分值构成 (总分 100 分) 报价部分：</w:t>
      </w:r>
      <w:r>
        <w:rPr>
          <w:rFonts w:hint="eastAsia" w:ascii="宋体" w:cs="宋体"/>
          <w:b/>
          <w:bCs/>
          <w:color w:val="000000"/>
          <w:kern w:val="0"/>
          <w:sz w:val="20"/>
          <w:szCs w:val="20"/>
          <w:lang w:val="en-US" w:eastAsia="zh-CN" w:bidi="ar"/>
        </w:rPr>
        <w:t>15</w:t>
      </w:r>
      <w:r>
        <w:rPr>
          <w:rFonts w:hint="eastAsia" w:ascii="宋体" w:eastAsia="宋体" w:cs="宋体"/>
          <w:b/>
          <w:bCs/>
          <w:color w:val="000000"/>
          <w:kern w:val="0"/>
          <w:sz w:val="20"/>
          <w:szCs w:val="20"/>
          <w:lang w:bidi="ar"/>
        </w:rPr>
        <w:t>分</w:t>
      </w:r>
      <w:r>
        <w:rPr>
          <w:rFonts w:hint="eastAsia" w:ascii="宋体" w:eastAsia="宋体" w:cs="宋体"/>
          <w:b/>
          <w:bCs/>
          <w:color w:val="000000"/>
          <w:kern w:val="0"/>
          <w:sz w:val="20"/>
          <w:szCs w:val="20"/>
          <w:lang w:eastAsia="zh-CN" w:bidi="ar"/>
        </w:rPr>
        <w:t>；</w:t>
      </w:r>
      <w:r>
        <w:rPr>
          <w:rFonts w:hint="eastAsia" w:ascii="宋体" w:eastAsia="宋体" w:cs="宋体"/>
          <w:b/>
          <w:bCs/>
          <w:color w:val="000000"/>
          <w:kern w:val="0"/>
          <w:sz w:val="20"/>
          <w:szCs w:val="20"/>
          <w:lang w:bidi="ar"/>
        </w:rPr>
        <w:t>技术部分：</w:t>
      </w:r>
      <w:r>
        <w:rPr>
          <w:rFonts w:hint="eastAsia" w:ascii="宋体" w:cs="宋体"/>
          <w:b/>
          <w:bCs/>
          <w:color w:val="000000"/>
          <w:kern w:val="0"/>
          <w:sz w:val="20"/>
          <w:szCs w:val="20"/>
          <w:lang w:val="en-US" w:eastAsia="zh-CN" w:bidi="ar"/>
        </w:rPr>
        <w:t>60</w:t>
      </w:r>
      <w:r>
        <w:rPr>
          <w:rFonts w:hint="eastAsia" w:ascii="宋体" w:eastAsia="宋体" w:cs="宋体"/>
          <w:b/>
          <w:bCs/>
          <w:color w:val="000000"/>
          <w:kern w:val="0"/>
          <w:sz w:val="20"/>
          <w:szCs w:val="20"/>
          <w:lang w:bidi="ar"/>
        </w:rPr>
        <w:t>分</w:t>
      </w:r>
      <w:r>
        <w:rPr>
          <w:rFonts w:hint="eastAsia" w:ascii="宋体" w:cs="宋体"/>
          <w:b/>
          <w:bCs/>
          <w:color w:val="000000"/>
          <w:kern w:val="0"/>
          <w:sz w:val="20"/>
          <w:szCs w:val="20"/>
          <w:lang w:bidi="ar"/>
        </w:rPr>
        <w:t>；</w:t>
      </w:r>
      <w:r>
        <w:rPr>
          <w:rFonts w:hint="eastAsia" w:ascii="宋体" w:cs="宋体"/>
          <w:b/>
          <w:bCs/>
          <w:color w:val="000000"/>
          <w:kern w:val="0"/>
          <w:sz w:val="20"/>
          <w:szCs w:val="20"/>
          <w:lang w:eastAsia="zh-CN" w:bidi="ar"/>
        </w:rPr>
        <w:t>综合</w:t>
      </w:r>
      <w:r>
        <w:rPr>
          <w:rFonts w:hint="eastAsia" w:ascii="宋体" w:eastAsia="宋体" w:cs="宋体"/>
          <w:b/>
          <w:bCs/>
          <w:color w:val="000000"/>
          <w:kern w:val="0"/>
          <w:sz w:val="20"/>
          <w:szCs w:val="20"/>
          <w:lang w:bidi="ar"/>
        </w:rPr>
        <w:t>部分：</w:t>
      </w:r>
      <w:r>
        <w:rPr>
          <w:rFonts w:hint="eastAsia" w:ascii="宋体" w:cs="宋体"/>
          <w:b/>
          <w:bCs/>
          <w:color w:val="000000"/>
          <w:kern w:val="0"/>
          <w:sz w:val="20"/>
          <w:szCs w:val="20"/>
          <w:lang w:val="en-US" w:eastAsia="zh-CN" w:bidi="ar"/>
        </w:rPr>
        <w:t>25</w:t>
      </w:r>
      <w:r>
        <w:rPr>
          <w:rFonts w:hint="eastAsia" w:ascii="宋体" w:eastAsia="宋体" w:cs="宋体"/>
          <w:b/>
          <w:bCs/>
          <w:color w:val="000000"/>
          <w:kern w:val="0"/>
          <w:sz w:val="20"/>
          <w:szCs w:val="20"/>
          <w:lang w:bidi="ar"/>
        </w:rPr>
        <w:t>分</w:t>
      </w:r>
      <w:r>
        <w:rPr>
          <w:rFonts w:hint="eastAsia" w:ascii="宋体" w:cs="宋体"/>
          <w:b/>
          <w:bCs/>
          <w:color w:val="000000"/>
          <w:kern w:val="0"/>
          <w:sz w:val="20"/>
          <w:szCs w:val="20"/>
          <w:lang w:bidi="ar"/>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kern w:val="0"/>
          <w:szCs w:val="21"/>
        </w:rPr>
      </w:pPr>
    </w:p>
    <w:tbl>
      <w:tblPr>
        <w:tblStyle w:val="30"/>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
        <w:gridCol w:w="706"/>
        <w:gridCol w:w="1109"/>
        <w:gridCol w:w="930"/>
        <w:gridCol w:w="5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1085"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rFonts w:ascii="宋体" w:hAnsi="宋体"/>
                <w:b/>
                <w:bCs/>
                <w:color w:val="auto"/>
              </w:rPr>
            </w:pPr>
            <w:r>
              <w:rPr>
                <w:rFonts w:hint="eastAsia" w:ascii="宋体" w:hAnsi="宋体"/>
                <w:b/>
                <w:bCs/>
                <w:color w:val="auto"/>
              </w:rPr>
              <w:t>分值构成</w:t>
            </w:r>
          </w:p>
          <w:p>
            <w:pPr>
              <w:jc w:val="center"/>
              <w:rPr>
                <w:rFonts w:ascii="宋体" w:hAnsi="宋体"/>
                <w:b/>
                <w:bCs/>
                <w:color w:val="auto"/>
              </w:rPr>
            </w:pPr>
            <w:r>
              <w:rPr>
                <w:rFonts w:hint="eastAsia" w:ascii="宋体" w:hAnsi="宋体"/>
                <w:b/>
                <w:bCs/>
                <w:color w:val="auto"/>
              </w:rPr>
              <w:t>（总分100分）</w:t>
            </w:r>
          </w:p>
        </w:tc>
        <w:tc>
          <w:tcPr>
            <w:tcW w:w="8027" w:type="dxa"/>
            <w:gridSpan w:val="3"/>
            <w:tcBorders>
              <w:top w:val="single" w:color="auto" w:sz="4" w:space="0"/>
              <w:left w:val="nil"/>
              <w:bottom w:val="single" w:color="auto" w:sz="4" w:space="0"/>
              <w:right w:val="single" w:color="auto" w:sz="4" w:space="0"/>
            </w:tcBorders>
            <w:noWrap w:val="0"/>
            <w:vAlign w:val="center"/>
          </w:tcPr>
          <w:p>
            <w:pPr>
              <w:ind w:firstLine="240"/>
              <w:rPr>
                <w:b/>
                <w:bCs/>
              </w:rPr>
            </w:pPr>
            <w:r>
              <w:rPr>
                <w:rFonts w:hint="eastAsia"/>
                <w:b/>
                <w:bCs/>
              </w:rPr>
              <w:t>价  格 分 值：</w:t>
            </w:r>
            <w:r>
              <w:rPr>
                <w:rFonts w:hint="eastAsia"/>
                <w:b/>
                <w:bCs/>
                <w:lang w:val="en-US" w:eastAsia="zh-CN"/>
              </w:rPr>
              <w:t>15</w:t>
            </w:r>
            <w:r>
              <w:rPr>
                <w:rFonts w:hint="eastAsia"/>
                <w:b/>
                <w:bCs/>
              </w:rPr>
              <w:t>分</w:t>
            </w:r>
          </w:p>
          <w:p>
            <w:pPr>
              <w:ind w:firstLine="240"/>
              <w:rPr>
                <w:rFonts w:hint="eastAsia"/>
                <w:b/>
                <w:bCs/>
              </w:rPr>
            </w:pPr>
            <w:r>
              <w:rPr>
                <w:rFonts w:hint="eastAsia"/>
                <w:b/>
                <w:bCs/>
              </w:rPr>
              <w:t>技  术 部 分：</w:t>
            </w:r>
            <w:r>
              <w:rPr>
                <w:rFonts w:hint="eastAsia"/>
                <w:b/>
                <w:bCs/>
                <w:lang w:val="en-US" w:eastAsia="zh-CN"/>
              </w:rPr>
              <w:t>60</w:t>
            </w:r>
            <w:r>
              <w:rPr>
                <w:rFonts w:hint="eastAsia"/>
                <w:b/>
                <w:bCs/>
              </w:rPr>
              <w:t>分</w:t>
            </w:r>
          </w:p>
          <w:p>
            <w:pPr>
              <w:ind w:firstLine="240"/>
            </w:pPr>
            <w:r>
              <w:rPr>
                <w:rFonts w:hint="eastAsia"/>
                <w:b/>
                <w:bCs/>
                <w:color w:val="auto"/>
                <w:lang w:val="en-US" w:eastAsia="zh-CN"/>
              </w:rPr>
              <w:t>综  合</w:t>
            </w:r>
            <w:r>
              <w:rPr>
                <w:rFonts w:hint="eastAsia" w:ascii="宋体" w:hAnsi="宋体"/>
                <w:b/>
                <w:bCs/>
                <w:color w:val="auto"/>
              </w:rPr>
              <w:t xml:space="preserve"> 部 分：</w:t>
            </w:r>
            <w:r>
              <w:rPr>
                <w:rFonts w:hint="eastAsia" w:ascii="宋体" w:hAnsi="宋体"/>
                <w:b/>
                <w:bCs/>
                <w:color w:val="auto"/>
                <w:u w:val="none"/>
                <w:lang w:val="en-US" w:eastAsia="zh-CN"/>
              </w:rPr>
              <w:t>25</w:t>
            </w:r>
            <w:r>
              <w:rPr>
                <w:rFonts w:hint="eastAsia" w:ascii="宋体" w:hAnsi="宋体"/>
                <w:b/>
                <w:bCs/>
                <w:color w:val="auto"/>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379"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cs="宋体"/>
                <w:b/>
                <w:color w:val="000000"/>
                <w:sz w:val="24"/>
                <w:szCs w:val="24"/>
                <w:highlight w:val="none"/>
              </w:rPr>
              <w:t>序号</w:t>
            </w:r>
          </w:p>
        </w:tc>
        <w:tc>
          <w:tcPr>
            <w:tcW w:w="706"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cs="宋体"/>
                <w:b/>
                <w:color w:val="000000"/>
                <w:sz w:val="24"/>
                <w:szCs w:val="24"/>
                <w:highlight w:val="none"/>
              </w:rPr>
              <w:t>评标因素</w:t>
            </w:r>
          </w:p>
        </w:tc>
        <w:tc>
          <w:tcPr>
            <w:tcW w:w="1109"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b/>
                <w:bCs/>
                <w:color w:val="000000"/>
                <w:szCs w:val="21"/>
                <w:highlight w:val="none"/>
              </w:rPr>
              <w:t>评分内容</w:t>
            </w:r>
          </w:p>
        </w:tc>
        <w:tc>
          <w:tcPr>
            <w:tcW w:w="930"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cs="宋体"/>
                <w:b/>
                <w:color w:val="000000"/>
                <w:sz w:val="24"/>
                <w:szCs w:val="24"/>
                <w:highlight w:val="none"/>
              </w:rPr>
              <w:t>分 值</w:t>
            </w:r>
          </w:p>
        </w:tc>
        <w:tc>
          <w:tcPr>
            <w:tcW w:w="5988" w:type="dxa"/>
            <w:noWrap w:val="0"/>
            <w:vAlign w:val="center"/>
          </w:tcPr>
          <w:p>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5" w:hRule="atLeast"/>
          <w:jc w:val="center"/>
        </w:trPr>
        <w:tc>
          <w:tcPr>
            <w:tcW w:w="379" w:type="dxa"/>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1</w:t>
            </w:r>
          </w:p>
        </w:tc>
        <w:tc>
          <w:tcPr>
            <w:tcW w:w="706" w:type="dxa"/>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报价部分(</w:t>
            </w:r>
            <w:r>
              <w:rPr>
                <w:rFonts w:hint="eastAsia" w:ascii="宋体" w:hAnsi="宋体" w:cs="宋体"/>
                <w:color w:val="000000"/>
                <w:sz w:val="24"/>
                <w:szCs w:val="24"/>
                <w:highlight w:val="none"/>
                <w:lang w:val="en-US" w:eastAsia="zh-CN"/>
              </w:rPr>
              <w:t>15</w:t>
            </w:r>
            <w:r>
              <w:rPr>
                <w:rFonts w:hint="eastAsia" w:ascii="宋体" w:hAnsi="宋体" w:cs="宋体"/>
                <w:color w:val="000000"/>
                <w:sz w:val="24"/>
                <w:szCs w:val="24"/>
                <w:highlight w:val="none"/>
              </w:rPr>
              <w:t>分）</w:t>
            </w: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报价</w:t>
            </w: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15</w:t>
            </w:r>
            <w:r>
              <w:rPr>
                <w:rFonts w:hint="eastAsia" w:ascii="宋体" w:hAnsi="宋体" w:cs="宋体"/>
                <w:color w:val="000000"/>
                <w:sz w:val="24"/>
                <w:szCs w:val="24"/>
                <w:highlight w:val="none"/>
              </w:rPr>
              <w:t>分</w:t>
            </w:r>
          </w:p>
        </w:tc>
        <w:tc>
          <w:tcPr>
            <w:tcW w:w="5988" w:type="dxa"/>
            <w:noWrap w:val="0"/>
            <w:vAlign w:val="center"/>
          </w:tcPr>
          <w:p>
            <w:pPr>
              <w:pStyle w:val="38"/>
              <w:spacing w:line="400" w:lineRule="exact"/>
              <w:rPr>
                <w:rFonts w:hint="eastAsia" w:hAnsi="宋体"/>
                <w:color w:val="auto"/>
                <w:kern w:val="2"/>
                <w:sz w:val="21"/>
                <w:szCs w:val="21"/>
              </w:rPr>
            </w:pPr>
            <w:r>
              <w:rPr>
                <w:rFonts w:hint="eastAsia" w:hAnsi="宋体"/>
                <w:color w:val="auto"/>
                <w:kern w:val="2"/>
                <w:sz w:val="21"/>
                <w:szCs w:val="21"/>
              </w:rPr>
              <w:t>满足</w:t>
            </w:r>
            <w:r>
              <w:rPr>
                <w:rFonts w:hint="eastAsia" w:hAnsi="宋体"/>
                <w:color w:val="auto"/>
                <w:kern w:val="2"/>
                <w:sz w:val="21"/>
                <w:szCs w:val="21"/>
                <w:lang w:eastAsia="zh-CN"/>
              </w:rPr>
              <w:t>磋商</w:t>
            </w:r>
            <w:r>
              <w:rPr>
                <w:rFonts w:hint="eastAsia" w:hAnsi="宋体"/>
                <w:color w:val="auto"/>
                <w:kern w:val="2"/>
                <w:sz w:val="21"/>
                <w:szCs w:val="21"/>
              </w:rPr>
              <w:t>文件要求且投标报价最低的为评标基准价，投标报价最低的为满分</w:t>
            </w:r>
            <w:r>
              <w:rPr>
                <w:rFonts w:hint="eastAsia" w:hAnsi="宋体"/>
                <w:color w:val="auto"/>
                <w:kern w:val="2"/>
                <w:sz w:val="21"/>
                <w:szCs w:val="21"/>
                <w:lang w:val="en-US" w:eastAsia="zh-CN"/>
              </w:rPr>
              <w:t>15</w:t>
            </w:r>
            <w:r>
              <w:rPr>
                <w:rFonts w:hint="eastAsia" w:hAnsi="宋体"/>
                <w:color w:val="auto"/>
                <w:kern w:val="2"/>
                <w:sz w:val="21"/>
                <w:szCs w:val="21"/>
              </w:rPr>
              <w:t>分。其他投标人的价格分别按照下列公式计算：投标报价得分=(评标基准价／投标报价)×</w:t>
            </w:r>
            <w:r>
              <w:rPr>
                <w:rFonts w:hint="eastAsia" w:hAnsi="宋体"/>
                <w:color w:val="auto"/>
                <w:kern w:val="2"/>
                <w:sz w:val="21"/>
                <w:szCs w:val="21"/>
                <w:lang w:val="en-US" w:eastAsia="zh-CN"/>
              </w:rPr>
              <w:t>15</w:t>
            </w:r>
            <w:r>
              <w:rPr>
                <w:rFonts w:hint="eastAsia" w:hAnsi="宋体"/>
                <w:color w:val="auto"/>
                <w:kern w:val="2"/>
                <w:sz w:val="21"/>
                <w:szCs w:val="21"/>
              </w:rPr>
              <w:t>，计算过程按四舍五入，保留两位小数。</w:t>
            </w:r>
          </w:p>
          <w:p>
            <w:pPr>
              <w:spacing w:line="400" w:lineRule="exact"/>
              <w:rPr>
                <w:rFonts w:hint="eastAsia" w:ascii="宋体" w:hAnsi="宋体" w:cs="宋体"/>
                <w:color w:val="000000"/>
                <w:sz w:val="24"/>
                <w:szCs w:val="24"/>
                <w:highlight w:val="none"/>
              </w:rPr>
            </w:pPr>
            <w:r>
              <w:rPr>
                <w:rFonts w:hint="eastAsia" w:hAnsi="宋体"/>
                <w:color w:val="auto"/>
                <w:kern w:val="2"/>
                <w:sz w:val="21"/>
                <w:szCs w:val="21"/>
              </w:rPr>
              <w:t>注：</w:t>
            </w:r>
            <w:r>
              <w:rPr>
                <w:rFonts w:hint="eastAsia" w:eastAsia="宋体" w:cs="Times New Roman"/>
                <w:color w:val="000000" w:themeColor="text1"/>
                <w:szCs w:val="21"/>
                <w:highlight w:val="none"/>
                <w:lang w:val="en-US" w:eastAsia="zh-CN"/>
                <w14:textFill>
                  <w14:solidFill>
                    <w14:schemeClr w14:val="tx1"/>
                  </w14:solidFill>
                </w14:textFill>
              </w:rPr>
              <w:t>小微企业的报价给予20%的扣除，用扣除后的价格参加评审用扣除后的价格参加评审。对于中型企业的价格不予扣除。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79" w:type="dxa"/>
            <w:vMerge w:val="restart"/>
            <w:noWrap w:val="0"/>
            <w:vAlign w:val="center"/>
          </w:tcPr>
          <w:p>
            <w:pPr>
              <w:spacing w:line="400" w:lineRule="exact"/>
              <w:rPr>
                <w:rFonts w:ascii="宋体" w:hAnsi="宋体" w:cs="宋体"/>
                <w:color w:val="000000"/>
                <w:sz w:val="24"/>
                <w:szCs w:val="24"/>
                <w:highlight w:val="none"/>
              </w:rPr>
            </w:pPr>
            <w:r>
              <w:rPr>
                <w:rFonts w:ascii="宋体" w:hAnsi="宋体" w:cs="宋体"/>
                <w:color w:val="000000"/>
                <w:sz w:val="24"/>
                <w:szCs w:val="24"/>
                <w:highlight w:val="none"/>
              </w:rPr>
              <w:t>2</w:t>
            </w:r>
          </w:p>
        </w:tc>
        <w:tc>
          <w:tcPr>
            <w:tcW w:w="706" w:type="dxa"/>
            <w:vMerge w:val="restart"/>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技术</w:t>
            </w:r>
            <w:r>
              <w:rPr>
                <w:rFonts w:hint="eastAsia" w:ascii="宋体" w:hAnsi="宋体" w:cs="宋体"/>
                <w:color w:val="000000"/>
                <w:sz w:val="24"/>
                <w:szCs w:val="24"/>
                <w:highlight w:val="none"/>
              </w:rPr>
              <w:t>部分（</w:t>
            </w:r>
            <w:r>
              <w:rPr>
                <w:rFonts w:hint="eastAsia" w:ascii="宋体" w:hAnsi="宋体" w:cs="宋体"/>
                <w:color w:val="000000"/>
                <w:sz w:val="24"/>
                <w:szCs w:val="24"/>
                <w:highlight w:val="none"/>
                <w:lang w:val="en-US" w:eastAsia="zh-CN"/>
              </w:rPr>
              <w:t>60</w:t>
            </w:r>
            <w:r>
              <w:rPr>
                <w:rFonts w:hint="eastAsia" w:ascii="宋体" w:hAnsi="宋体" w:cs="宋体"/>
                <w:color w:val="000000"/>
                <w:sz w:val="24"/>
                <w:szCs w:val="24"/>
                <w:highlight w:val="none"/>
              </w:rPr>
              <w:t>分）</w:t>
            </w: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总体工作方案、工作计划运作机制及工作流程</w:t>
            </w:r>
          </w:p>
        </w:tc>
        <w:tc>
          <w:tcPr>
            <w:tcW w:w="930" w:type="dxa"/>
            <w:noWrap w:val="0"/>
            <w:vAlign w:val="center"/>
          </w:tcPr>
          <w:p>
            <w:pPr>
              <w:spacing w:line="40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5分</w:t>
            </w:r>
          </w:p>
        </w:tc>
        <w:tc>
          <w:tcPr>
            <w:tcW w:w="5988" w:type="dxa"/>
            <w:noWrap w:val="0"/>
            <w:vAlign w:val="center"/>
          </w:tcPr>
          <w:p>
            <w:pPr>
              <w:pStyle w:val="38"/>
              <w:spacing w:line="400" w:lineRule="exact"/>
              <w:rPr>
                <w:rFonts w:hint="eastAsia" w:hAnsi="宋体"/>
                <w:color w:val="auto"/>
                <w:kern w:val="2"/>
                <w:sz w:val="21"/>
                <w:szCs w:val="21"/>
                <w:lang w:val="en-US" w:eastAsia="zh-CN"/>
              </w:rPr>
            </w:pPr>
            <w:r>
              <w:rPr>
                <w:rFonts w:hint="eastAsia" w:hAnsi="宋体"/>
                <w:color w:val="auto"/>
                <w:kern w:val="2"/>
                <w:sz w:val="21"/>
                <w:szCs w:val="21"/>
                <w:lang w:val="en-US" w:eastAsia="zh-CN"/>
              </w:rPr>
              <w:t>总体工作方案、工作计划运作机制及工作流程科学、合理、可行的，得5分；</w:t>
            </w:r>
          </w:p>
          <w:p>
            <w:pPr>
              <w:pStyle w:val="38"/>
              <w:spacing w:line="400" w:lineRule="exact"/>
              <w:rPr>
                <w:rFonts w:hint="eastAsia" w:hAnsi="宋体"/>
                <w:color w:val="auto"/>
                <w:kern w:val="2"/>
                <w:sz w:val="21"/>
                <w:szCs w:val="21"/>
                <w:lang w:val="en-US" w:eastAsia="zh-CN"/>
              </w:rPr>
            </w:pPr>
            <w:r>
              <w:rPr>
                <w:rFonts w:hint="eastAsia" w:hAnsi="宋体"/>
                <w:color w:val="auto"/>
                <w:kern w:val="2"/>
                <w:sz w:val="21"/>
                <w:szCs w:val="21"/>
                <w:lang w:val="en-US" w:eastAsia="zh-CN"/>
              </w:rPr>
              <w:t>总体工作方案、工作计划运作机制及工作流程基本合理可行的，得3分；</w:t>
            </w:r>
          </w:p>
          <w:p>
            <w:pPr>
              <w:pStyle w:val="38"/>
              <w:spacing w:line="400" w:lineRule="exact"/>
              <w:rPr>
                <w:rFonts w:hint="eastAsia" w:hAnsi="宋体"/>
                <w:color w:val="auto"/>
                <w:kern w:val="2"/>
                <w:sz w:val="21"/>
                <w:szCs w:val="21"/>
              </w:rPr>
            </w:pPr>
            <w:r>
              <w:rPr>
                <w:rFonts w:hint="eastAsia" w:hAnsi="宋体"/>
                <w:color w:val="auto"/>
                <w:kern w:val="2"/>
                <w:sz w:val="21"/>
                <w:szCs w:val="21"/>
                <w:lang w:val="en-US" w:eastAsia="zh-CN"/>
              </w:rPr>
              <w:t>总体工作方案、工作计划运作机制及工作流程欠合理可行的，得1分。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项目审查依据</w:t>
            </w: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13</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项目审查依据清晰明了、范围清晰、审查依据充分全面，得1</w:t>
            </w:r>
            <w:r>
              <w:rPr>
                <w:rFonts w:hint="eastAsia" w:ascii="宋体" w:hAnsi="宋体" w:eastAsia="宋体" w:cs="宋体"/>
                <w:bCs/>
                <w:szCs w:val="21"/>
                <w:lang w:val="en-US" w:eastAsia="zh-CN"/>
              </w:rPr>
              <w:t>3</w:t>
            </w:r>
            <w:r>
              <w:rPr>
                <w:rFonts w:hint="eastAsia" w:ascii="宋体" w:hAnsi="宋体" w:eastAsia="宋体" w:cs="宋体"/>
                <w:bCs/>
                <w:szCs w:val="21"/>
              </w:rPr>
              <w:t>分；</w:t>
            </w:r>
          </w:p>
          <w:p>
            <w:pPr>
              <w:spacing w:line="400" w:lineRule="exact"/>
              <w:rPr>
                <w:rFonts w:hint="eastAsia" w:ascii="宋体" w:hAnsi="宋体" w:eastAsia="宋体" w:cs="宋体"/>
                <w:bCs/>
                <w:szCs w:val="21"/>
              </w:rPr>
            </w:pPr>
            <w:r>
              <w:rPr>
                <w:rFonts w:hint="eastAsia" w:ascii="宋体" w:hAnsi="宋体" w:eastAsia="宋体" w:cs="宋体"/>
                <w:bCs/>
                <w:szCs w:val="21"/>
              </w:rPr>
              <w:t>项目审查较为明了、范围较为清晰、审查依据较为全面，得8分；</w:t>
            </w:r>
          </w:p>
          <w:p>
            <w:pPr>
              <w:spacing w:line="400" w:lineRule="exact"/>
              <w:rPr>
                <w:rFonts w:hint="eastAsia" w:ascii="宋体" w:hAnsi="宋体" w:eastAsia="宋体" w:cs="宋体"/>
                <w:bCs/>
                <w:szCs w:val="21"/>
              </w:rPr>
            </w:pPr>
            <w:r>
              <w:rPr>
                <w:rFonts w:hint="eastAsia" w:ascii="宋体" w:hAnsi="宋体" w:eastAsia="宋体" w:cs="宋体"/>
                <w:bCs/>
                <w:szCs w:val="21"/>
              </w:rPr>
              <w:t>项目审查依据基本明了、范围满足审查要求、审查依据无错漏，得4分。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tabs>
                <w:tab w:val="left" w:pos="-900"/>
              </w:tabs>
              <w:spacing w:line="560" w:lineRule="exact"/>
              <w:jc w:val="both"/>
              <w:rPr>
                <w:rFonts w:hint="eastAsia" w:ascii="宋体" w:hAnsi="宋体" w:eastAsia="宋体" w:cs="宋体"/>
                <w:bCs/>
                <w:szCs w:val="21"/>
              </w:rPr>
            </w:pPr>
            <w:r>
              <w:rPr>
                <w:rFonts w:hint="eastAsia" w:ascii="宋体" w:hAnsi="宋体" w:eastAsia="宋体" w:cs="宋体"/>
                <w:bCs/>
                <w:szCs w:val="21"/>
              </w:rPr>
              <w:t>审查重点及主要内容</w:t>
            </w:r>
          </w:p>
          <w:p>
            <w:pPr>
              <w:tabs>
                <w:tab w:val="left" w:pos="-900"/>
              </w:tabs>
              <w:spacing w:line="560" w:lineRule="exact"/>
              <w:jc w:val="both"/>
              <w:rPr>
                <w:rFonts w:hint="eastAsia" w:ascii="宋体" w:hAnsi="宋体" w:eastAsia="宋体" w:cs="宋体"/>
                <w:bCs/>
                <w:szCs w:val="21"/>
              </w:rPr>
            </w:pP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13</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施工图审查核对内容明确、计划清晰，施工图图纸审查内容全面、充分，总体和各专业审查重点突出，得13分；</w:t>
            </w:r>
          </w:p>
          <w:p>
            <w:pPr>
              <w:spacing w:line="400" w:lineRule="exact"/>
              <w:rPr>
                <w:rFonts w:hint="eastAsia" w:ascii="宋体" w:hAnsi="宋体" w:eastAsia="宋体" w:cs="宋体"/>
                <w:bCs/>
                <w:szCs w:val="21"/>
              </w:rPr>
            </w:pPr>
            <w:r>
              <w:rPr>
                <w:rFonts w:hint="eastAsia" w:ascii="宋体" w:hAnsi="宋体" w:eastAsia="宋体" w:cs="宋体"/>
                <w:bCs/>
                <w:szCs w:val="21"/>
              </w:rPr>
              <w:t>施工图审查核对内容较为明确、有计划，施工图图纸审查内容较为全面，总体和各专业审查有重点，得8分；</w:t>
            </w:r>
          </w:p>
          <w:p>
            <w:pPr>
              <w:spacing w:line="400" w:lineRule="exact"/>
              <w:rPr>
                <w:rFonts w:hint="eastAsia" w:ascii="宋体" w:hAnsi="宋体" w:eastAsia="宋体" w:cs="宋体"/>
                <w:bCs/>
                <w:szCs w:val="21"/>
              </w:rPr>
            </w:pPr>
            <w:r>
              <w:rPr>
                <w:rFonts w:hint="eastAsia" w:ascii="宋体" w:hAnsi="宋体" w:eastAsia="宋体" w:cs="宋体"/>
                <w:bCs/>
                <w:szCs w:val="21"/>
                <w:lang w:val="en-US" w:eastAsia="zh-CN"/>
              </w:rPr>
              <w:t>施工图审查核对内容基本明确、有计划，施工图图纸审查内容基本全面，有总体和各专业审查，得4分。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5"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tabs>
                <w:tab w:val="left" w:pos="-900"/>
              </w:tabs>
              <w:spacing w:line="560" w:lineRule="exact"/>
              <w:jc w:val="both"/>
              <w:rPr>
                <w:rFonts w:ascii="宋体" w:hAnsi="宋体" w:eastAsia="宋体" w:cs="宋体"/>
                <w:bCs/>
                <w:szCs w:val="21"/>
              </w:rPr>
            </w:pPr>
            <w:r>
              <w:rPr>
                <w:rFonts w:hint="eastAsia" w:ascii="宋体" w:hAnsi="宋体" w:eastAsia="宋体" w:cs="宋体"/>
                <w:bCs/>
                <w:szCs w:val="21"/>
              </w:rPr>
              <w:t>保证审查质量及服务周期所采取的措施</w:t>
            </w:r>
          </w:p>
          <w:p>
            <w:pPr>
              <w:spacing w:line="400" w:lineRule="exact"/>
              <w:jc w:val="both"/>
              <w:rPr>
                <w:rFonts w:hint="eastAsia" w:ascii="宋体" w:hAnsi="宋体" w:cs="宋体"/>
                <w:color w:val="000000"/>
                <w:sz w:val="24"/>
                <w:szCs w:val="24"/>
                <w:highlight w:val="none"/>
              </w:rPr>
            </w:pP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13</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资源配备非常合理，针对本项目编制具体的工作制度，工作计划安排合理，质量及服务周期控制措施合理；得</w:t>
            </w:r>
            <w:r>
              <w:rPr>
                <w:rFonts w:hint="eastAsia" w:ascii="宋体" w:hAnsi="宋体" w:cs="宋体"/>
                <w:bCs/>
                <w:szCs w:val="21"/>
                <w:lang w:val="en-US" w:eastAsia="zh-CN"/>
              </w:rPr>
              <w:t>13</w:t>
            </w:r>
            <w:r>
              <w:rPr>
                <w:rFonts w:hint="eastAsia" w:ascii="宋体" w:hAnsi="宋体" w:eastAsia="宋体" w:cs="宋体"/>
                <w:bCs/>
                <w:szCs w:val="21"/>
              </w:rPr>
              <w:t>分；</w:t>
            </w:r>
          </w:p>
          <w:p>
            <w:pPr>
              <w:spacing w:line="400" w:lineRule="exact"/>
              <w:rPr>
                <w:rFonts w:hint="eastAsia" w:ascii="宋体" w:hAnsi="宋体" w:eastAsia="宋体" w:cs="宋体"/>
                <w:bCs/>
                <w:szCs w:val="21"/>
              </w:rPr>
            </w:pPr>
            <w:r>
              <w:rPr>
                <w:rFonts w:hint="eastAsia" w:ascii="宋体" w:hAnsi="宋体" w:eastAsia="宋体" w:cs="宋体"/>
                <w:bCs/>
                <w:szCs w:val="21"/>
              </w:rPr>
              <w:t>资源配备合理，针对本项目编制具体的工作制度，工作计划安排合理，质量及服务周期控制措施基本合理；得</w:t>
            </w:r>
            <w:r>
              <w:rPr>
                <w:rFonts w:hint="eastAsia" w:ascii="宋体" w:hAnsi="宋体" w:cs="宋体"/>
                <w:bCs/>
                <w:szCs w:val="21"/>
                <w:lang w:val="en-US" w:eastAsia="zh-CN"/>
              </w:rPr>
              <w:t>8</w:t>
            </w:r>
            <w:r>
              <w:rPr>
                <w:rFonts w:hint="eastAsia" w:ascii="宋体" w:hAnsi="宋体" w:eastAsia="宋体" w:cs="宋体"/>
                <w:bCs/>
                <w:szCs w:val="21"/>
              </w:rPr>
              <w:t>分；</w:t>
            </w:r>
          </w:p>
          <w:p>
            <w:pPr>
              <w:spacing w:line="400" w:lineRule="exact"/>
              <w:rPr>
                <w:rFonts w:hint="eastAsia" w:ascii="宋体" w:hAnsi="宋体" w:eastAsia="宋体" w:cs="宋体"/>
                <w:bCs/>
                <w:szCs w:val="21"/>
              </w:rPr>
            </w:pPr>
            <w:r>
              <w:rPr>
                <w:rFonts w:hint="eastAsia" w:ascii="宋体" w:hAnsi="宋体" w:eastAsia="宋体" w:cs="宋体"/>
                <w:bCs/>
                <w:szCs w:val="21"/>
              </w:rPr>
              <w:t>保证施工图审查质量及服务周期所采用的措施不够合理；</w:t>
            </w:r>
            <w:r>
              <w:rPr>
                <w:rFonts w:hint="eastAsia" w:ascii="宋体" w:hAnsi="宋体" w:cs="宋体"/>
                <w:bCs/>
                <w:szCs w:val="21"/>
                <w:lang w:eastAsia="zh-CN"/>
              </w:rPr>
              <w:t>得</w:t>
            </w:r>
            <w:r>
              <w:rPr>
                <w:rFonts w:hint="eastAsia" w:ascii="宋体" w:hAnsi="宋体" w:eastAsia="宋体" w:cs="宋体"/>
                <w:bCs/>
                <w:szCs w:val="21"/>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档案管理措施和方法</w:t>
            </w:r>
          </w:p>
        </w:tc>
        <w:tc>
          <w:tcPr>
            <w:tcW w:w="930" w:type="dxa"/>
            <w:noWrap w:val="0"/>
            <w:vAlign w:val="center"/>
          </w:tcPr>
          <w:p>
            <w:pPr>
              <w:spacing w:line="400" w:lineRule="exact"/>
              <w:jc w:val="center"/>
              <w:rPr>
                <w:rFonts w:hint="eastAsia" w:ascii="宋体" w:hAnsi="宋体" w:cs="宋体"/>
                <w:color w:val="000000"/>
                <w:sz w:val="24"/>
                <w:szCs w:val="24"/>
                <w:highlight w:val="none"/>
                <w:lang w:val="en-US" w:eastAsia="zh-CN"/>
              </w:rPr>
            </w:pPr>
            <w:r>
              <w:rPr>
                <w:rFonts w:hint="eastAsia" w:ascii="宋体" w:hAnsi="宋体" w:eastAsia="宋体" w:cs="宋体"/>
                <w:bCs/>
                <w:sz w:val="24"/>
                <w:szCs w:val="24"/>
                <w:lang w:val="en-US" w:eastAsia="zh-CN"/>
              </w:rPr>
              <w:t>5</w:t>
            </w:r>
            <w:r>
              <w:rPr>
                <w:rFonts w:hint="eastAsia" w:ascii="宋体" w:hAnsi="宋体" w:eastAsia="宋体" w:cs="宋体"/>
                <w:bCs/>
                <w:sz w:val="24"/>
                <w:szCs w:val="24"/>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档案管理措施和方法全面详细、管理制度切实可行，得5分；档案管理措施和方法比较详细、管理制度基本可行，得3分；档案管理措施和方法不够全面详细、管理制度实施性较差，得1分。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eastAsia="宋体" w:cs="宋体"/>
                <w:color w:val="000000"/>
                <w:sz w:val="24"/>
                <w:szCs w:val="24"/>
                <w:highlight w:val="none"/>
                <w:lang w:eastAsia="zh-CN"/>
              </w:rPr>
            </w:pPr>
            <w:r>
              <w:rPr>
                <w:rFonts w:hint="eastAsia" w:ascii="宋体" w:hAnsi="宋体" w:eastAsia="宋体" w:cs="宋体"/>
                <w:bCs/>
                <w:szCs w:val="21"/>
              </w:rPr>
              <w:t>风险管控</w:t>
            </w:r>
            <w:r>
              <w:rPr>
                <w:rFonts w:hint="eastAsia" w:ascii="宋体" w:hAnsi="宋体" w:cs="宋体"/>
                <w:bCs/>
                <w:szCs w:val="21"/>
                <w:lang w:eastAsia="zh-CN"/>
              </w:rPr>
              <w:t>措施</w:t>
            </w:r>
          </w:p>
        </w:tc>
        <w:tc>
          <w:tcPr>
            <w:tcW w:w="930" w:type="dxa"/>
            <w:noWrap w:val="0"/>
            <w:vAlign w:val="center"/>
          </w:tcPr>
          <w:p>
            <w:pPr>
              <w:spacing w:line="400" w:lineRule="exact"/>
              <w:jc w:val="center"/>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工作过程中风险防控管理措施齐全，廉洁自律和职业操守制度建全，管控措施准确，各阶段风险控制及应急措施得力，得5分；</w:t>
            </w:r>
          </w:p>
          <w:p>
            <w:pPr>
              <w:spacing w:line="400" w:lineRule="exact"/>
              <w:rPr>
                <w:rFonts w:hint="eastAsia" w:ascii="宋体" w:hAnsi="宋体" w:eastAsia="宋体" w:cs="宋体"/>
                <w:bCs/>
                <w:szCs w:val="21"/>
              </w:rPr>
            </w:pPr>
            <w:r>
              <w:rPr>
                <w:rFonts w:hint="eastAsia" w:ascii="宋体" w:hAnsi="宋体" w:eastAsia="宋体" w:cs="宋体"/>
                <w:bCs/>
                <w:szCs w:val="21"/>
              </w:rPr>
              <w:t>风险防控管理措施基本齐全，有廉洁自律和职业操守制度，各阶段风险控制及应急措施基本可行，得3分；</w:t>
            </w:r>
          </w:p>
          <w:p>
            <w:pPr>
              <w:spacing w:line="400" w:lineRule="exact"/>
              <w:rPr>
                <w:rFonts w:hint="eastAsia" w:ascii="宋体" w:hAnsi="宋体" w:eastAsia="宋体" w:cs="宋体"/>
                <w:bCs/>
                <w:szCs w:val="21"/>
              </w:rPr>
            </w:pPr>
            <w:r>
              <w:rPr>
                <w:rFonts w:hint="eastAsia" w:ascii="宋体" w:hAnsi="宋体" w:eastAsia="宋体" w:cs="宋体"/>
                <w:bCs/>
                <w:szCs w:val="21"/>
              </w:rPr>
              <w:t>风险防控管理措施不够齐全，廉洁自律和职业操守制度不够健全，缺乏应急措施，得1分。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tabs>
                <w:tab w:val="left" w:pos="-900"/>
              </w:tabs>
              <w:spacing w:line="560" w:lineRule="exact"/>
              <w:jc w:val="center"/>
              <w:rPr>
                <w:rFonts w:ascii="宋体" w:hAnsi="宋体" w:eastAsia="宋体" w:cs="宋体"/>
                <w:bCs/>
                <w:szCs w:val="21"/>
              </w:rPr>
            </w:pPr>
            <w:r>
              <w:rPr>
                <w:rFonts w:hint="eastAsia" w:ascii="宋体" w:hAnsi="宋体" w:eastAsia="宋体" w:cs="宋体"/>
                <w:bCs/>
                <w:szCs w:val="21"/>
              </w:rPr>
              <w:t>服务承诺</w:t>
            </w:r>
          </w:p>
          <w:p>
            <w:pPr>
              <w:spacing w:line="400" w:lineRule="exact"/>
              <w:jc w:val="center"/>
              <w:rPr>
                <w:rFonts w:hint="eastAsia" w:ascii="宋体" w:hAnsi="宋体" w:cs="宋体"/>
                <w:color w:val="000000"/>
                <w:sz w:val="24"/>
                <w:szCs w:val="24"/>
                <w:highlight w:val="none"/>
              </w:rPr>
            </w:pP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⑴结合本项目实际，保证实现审查工作计划、保证项目审查规范、到位的措施及承诺，得</w:t>
            </w:r>
            <w:r>
              <w:rPr>
                <w:rFonts w:hint="eastAsia" w:ascii="宋体" w:hAnsi="宋体" w:eastAsia="宋体" w:cs="宋体"/>
                <w:bCs/>
                <w:szCs w:val="21"/>
                <w:lang w:val="en-US" w:eastAsia="zh-CN"/>
              </w:rPr>
              <w:t>2</w:t>
            </w:r>
            <w:r>
              <w:rPr>
                <w:rFonts w:hint="eastAsia" w:ascii="宋体" w:hAnsi="宋体" w:eastAsia="宋体" w:cs="宋体"/>
                <w:bCs/>
                <w:szCs w:val="21"/>
              </w:rPr>
              <w:t xml:space="preserve">分。 </w:t>
            </w:r>
          </w:p>
          <w:p>
            <w:pPr>
              <w:spacing w:line="400" w:lineRule="exact"/>
              <w:rPr>
                <w:rFonts w:hint="eastAsia" w:ascii="宋体" w:hAnsi="宋体" w:eastAsia="宋体" w:cs="宋体"/>
                <w:bCs/>
                <w:szCs w:val="21"/>
              </w:rPr>
            </w:pPr>
            <w:r>
              <w:rPr>
                <w:rFonts w:hint="eastAsia" w:ascii="宋体" w:hAnsi="宋体" w:eastAsia="宋体" w:cs="宋体"/>
                <w:bCs/>
                <w:szCs w:val="21"/>
              </w:rPr>
              <w:t>⑵对审查优惠服务、额外工作及附加工作的优惠承诺 ，得</w:t>
            </w:r>
            <w:r>
              <w:rPr>
                <w:rFonts w:hint="eastAsia" w:ascii="宋体" w:hAnsi="宋体" w:cs="宋体"/>
                <w:bCs/>
                <w:szCs w:val="21"/>
                <w:lang w:val="en-US" w:eastAsia="zh-CN"/>
              </w:rPr>
              <w:t>2</w:t>
            </w:r>
            <w:r>
              <w:rPr>
                <w:rFonts w:hint="eastAsia" w:ascii="宋体" w:hAnsi="宋体" w:eastAsia="宋体" w:cs="宋体"/>
                <w:bCs/>
                <w:szCs w:val="21"/>
              </w:rPr>
              <w:t>分。</w:t>
            </w:r>
          </w:p>
          <w:p>
            <w:pPr>
              <w:spacing w:line="400" w:lineRule="exact"/>
              <w:rPr>
                <w:rFonts w:hint="eastAsia"/>
                <w:color w:val="000000"/>
                <w:highlight w:val="none"/>
              </w:rPr>
            </w:pPr>
            <w:r>
              <w:rPr>
                <w:rFonts w:hint="eastAsia" w:ascii="宋体" w:hAnsi="宋体" w:eastAsia="宋体" w:cs="宋体"/>
                <w:bCs/>
                <w:szCs w:val="21"/>
              </w:rPr>
              <w:t>⑶投标人承诺：在工作期间出错率超过相应次数后，同意采购人扣除相应服务费，承诺</w:t>
            </w:r>
            <w:r>
              <w:rPr>
                <w:rFonts w:hint="eastAsia" w:ascii="宋体" w:hAnsi="宋体" w:eastAsia="宋体" w:cs="宋体"/>
                <w:bCs/>
                <w:szCs w:val="21"/>
                <w:lang w:val="en-US" w:eastAsia="zh-CN"/>
              </w:rPr>
              <w:t>2</w:t>
            </w:r>
            <w:r>
              <w:rPr>
                <w:rFonts w:hint="eastAsia" w:ascii="宋体" w:hAnsi="宋体" w:eastAsia="宋体" w:cs="宋体"/>
                <w:bCs/>
                <w:szCs w:val="21"/>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restart"/>
            <w:noWrap w:val="0"/>
            <w:vAlign w:val="center"/>
          </w:tcPr>
          <w:p>
            <w:pPr>
              <w:spacing w:line="400" w:lineRule="exact"/>
              <w:rPr>
                <w:rFonts w:ascii="宋体" w:hAnsi="宋体" w:cs="宋体"/>
                <w:color w:val="000000"/>
                <w:sz w:val="24"/>
                <w:szCs w:val="24"/>
                <w:highlight w:val="none"/>
              </w:rPr>
            </w:pPr>
            <w:r>
              <w:rPr>
                <w:rFonts w:hint="eastAsia" w:ascii="宋体" w:hAnsi="宋体" w:cs="宋体"/>
                <w:color w:val="000000"/>
                <w:sz w:val="24"/>
                <w:szCs w:val="24"/>
                <w:highlight w:val="none"/>
              </w:rPr>
              <w:t>3</w:t>
            </w:r>
          </w:p>
        </w:tc>
        <w:tc>
          <w:tcPr>
            <w:tcW w:w="706" w:type="dxa"/>
            <w:vMerge w:val="restart"/>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商务</w:t>
            </w:r>
            <w:r>
              <w:rPr>
                <w:rFonts w:hint="eastAsia" w:ascii="宋体" w:hAnsi="宋体" w:cs="宋体"/>
                <w:color w:val="000000"/>
                <w:sz w:val="24"/>
                <w:szCs w:val="24"/>
                <w:highlight w:val="none"/>
              </w:rPr>
              <w:t>部分</w:t>
            </w:r>
            <w:r>
              <w:rPr>
                <w:rFonts w:hint="eastAsia" w:ascii="宋体" w:hAnsi="宋体" w:cs="宋体"/>
                <w:color w:val="000000"/>
                <w:sz w:val="24"/>
                <w:szCs w:val="24"/>
                <w:highlight w:val="none"/>
                <w:lang w:val="en-US" w:eastAsia="zh-CN"/>
              </w:rPr>
              <w:t>25</w:t>
            </w:r>
            <w:r>
              <w:rPr>
                <w:rFonts w:hint="eastAsia" w:ascii="宋体" w:hAnsi="宋体" w:cs="宋体"/>
                <w:color w:val="000000"/>
                <w:sz w:val="24"/>
                <w:szCs w:val="24"/>
                <w:highlight w:val="none"/>
              </w:rPr>
              <w:t>分</w:t>
            </w: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企业业绩</w:t>
            </w: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10</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b/>
                <w:bCs/>
                <w:color w:val="000000"/>
                <w:sz w:val="24"/>
                <w:szCs w:val="24"/>
                <w:highlight w:val="none"/>
              </w:rPr>
            </w:pPr>
            <w:r>
              <w:rPr>
                <w:rFonts w:hint="eastAsia" w:ascii="宋体" w:hAnsi="宋体" w:eastAsia="宋体" w:cs="宋体"/>
                <w:bCs/>
                <w:szCs w:val="21"/>
              </w:rPr>
              <w:t>投标人自20</w:t>
            </w:r>
            <w:r>
              <w:rPr>
                <w:rFonts w:hint="eastAsia" w:ascii="宋体" w:hAnsi="宋体" w:eastAsia="宋体" w:cs="宋体"/>
                <w:bCs/>
                <w:szCs w:val="21"/>
                <w:lang w:val="en-US" w:eastAsia="zh-CN"/>
              </w:rPr>
              <w:t>20</w:t>
            </w:r>
            <w:r>
              <w:rPr>
                <w:rFonts w:hint="eastAsia" w:ascii="宋体" w:hAnsi="宋体" w:eastAsia="宋体" w:cs="宋体"/>
                <w:bCs/>
                <w:szCs w:val="21"/>
              </w:rPr>
              <w:t>年至今承担过单项合同建筑面积不低于5000㎡（含）的施工图审查业绩的，每有一项得</w:t>
            </w:r>
            <w:r>
              <w:rPr>
                <w:rFonts w:hint="eastAsia" w:ascii="宋体" w:hAnsi="宋体" w:eastAsia="宋体" w:cs="宋体"/>
                <w:bCs/>
                <w:szCs w:val="21"/>
                <w:lang w:val="en-US" w:eastAsia="zh-CN"/>
              </w:rPr>
              <w:t>1</w:t>
            </w:r>
            <w:r>
              <w:rPr>
                <w:rFonts w:hint="eastAsia" w:ascii="宋体" w:hAnsi="宋体" w:eastAsia="宋体" w:cs="宋体"/>
                <w:bCs/>
                <w:szCs w:val="21"/>
              </w:rPr>
              <w:t>分；单项合同建筑面积不低于10000㎡（含）的施工图审查业绩的，每有一项得</w:t>
            </w:r>
            <w:r>
              <w:rPr>
                <w:rFonts w:hint="eastAsia" w:ascii="宋体" w:hAnsi="宋体" w:eastAsia="宋体" w:cs="宋体"/>
                <w:bCs/>
                <w:szCs w:val="21"/>
                <w:lang w:val="en-US" w:eastAsia="zh-CN"/>
              </w:rPr>
              <w:t>2</w:t>
            </w:r>
            <w:r>
              <w:rPr>
                <w:rFonts w:hint="eastAsia" w:ascii="宋体" w:hAnsi="宋体" w:eastAsia="宋体" w:cs="宋体"/>
                <w:bCs/>
                <w:szCs w:val="21"/>
              </w:rPr>
              <w:t>分；</w:t>
            </w:r>
            <w:r>
              <w:rPr>
                <w:rFonts w:hint="eastAsia" w:ascii="宋体" w:hAnsi="宋体" w:eastAsia="宋体" w:cs="宋体"/>
                <w:bCs/>
                <w:szCs w:val="21"/>
                <w:lang w:eastAsia="zh-CN"/>
              </w:rPr>
              <w:t>不重复累计得分，</w:t>
            </w:r>
            <w:r>
              <w:rPr>
                <w:rFonts w:hint="eastAsia" w:ascii="宋体" w:hAnsi="宋体" w:eastAsia="宋体" w:cs="宋体"/>
                <w:bCs/>
                <w:szCs w:val="21"/>
              </w:rPr>
              <w:t>最高得</w:t>
            </w:r>
            <w:r>
              <w:rPr>
                <w:rFonts w:hint="eastAsia" w:ascii="宋体" w:hAnsi="宋体" w:cs="宋体"/>
                <w:bCs/>
                <w:szCs w:val="21"/>
                <w:lang w:val="en-US" w:eastAsia="zh-CN"/>
              </w:rPr>
              <w:t>10</w:t>
            </w:r>
            <w:r>
              <w:rPr>
                <w:rFonts w:hint="eastAsia" w:ascii="宋体" w:hAnsi="宋体" w:eastAsia="宋体" w:cs="宋体"/>
                <w:bCs/>
                <w:szCs w:val="21"/>
              </w:rPr>
              <w:t>分。（</w:t>
            </w:r>
            <w:r>
              <w:rPr>
                <w:rFonts w:hint="eastAsia" w:ascii="宋体" w:hAnsi="宋体" w:cs="宋体"/>
                <w:bCs/>
                <w:szCs w:val="21"/>
                <w:lang w:eastAsia="zh-CN"/>
              </w:rPr>
              <w:t>提供合同协议书原件扫苗件加盖公章，</w:t>
            </w:r>
            <w:r>
              <w:rPr>
                <w:rFonts w:hint="eastAsia" w:ascii="宋体" w:hAnsi="宋体" w:eastAsia="宋体" w:cs="宋体"/>
                <w:bCs/>
                <w:szCs w:val="21"/>
              </w:rPr>
              <w:t>时间以合同签订时间为准）</w:t>
            </w:r>
            <w:r>
              <w:rPr>
                <w:rFonts w:hint="eastAsia"/>
                <w:color w:val="000000"/>
                <w:sz w:val="24"/>
                <w:szCs w:val="24"/>
                <w:highlight w:val="none"/>
              </w:rPr>
              <w:t>。</w:t>
            </w:r>
            <w:r>
              <w:rPr>
                <w:color w:val="000000"/>
                <w:sz w:val="24"/>
                <w:szCs w:val="24"/>
                <w:highlight w:val="none"/>
              </w:rPr>
              <w:c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379" w:type="dxa"/>
            <w:vMerge w:val="continue"/>
            <w:noWrap w:val="0"/>
            <w:vAlign w:val="center"/>
          </w:tcPr>
          <w:p>
            <w:pPr>
              <w:spacing w:line="400" w:lineRule="exact"/>
              <w:rPr>
                <w:rFonts w:hint="eastAsia"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lang w:val="en-US" w:eastAsia="zh-CN"/>
              </w:rPr>
            </w:pPr>
          </w:p>
        </w:tc>
        <w:tc>
          <w:tcPr>
            <w:tcW w:w="1109" w:type="dxa"/>
            <w:noWrap w:val="0"/>
            <w:vAlign w:val="center"/>
          </w:tcPr>
          <w:p>
            <w:pPr>
              <w:spacing w:line="400" w:lineRule="exact"/>
              <w:jc w:val="center"/>
              <w:rPr>
                <w:rFonts w:hint="default" w:ascii="宋体" w:hAnsi="宋体" w:eastAsia="宋体" w:cs="宋体"/>
                <w:bCs/>
                <w:szCs w:val="21"/>
                <w:lang w:val="en-US" w:eastAsia="zh-CN"/>
              </w:rPr>
            </w:pPr>
            <w:r>
              <w:rPr>
                <w:rFonts w:hint="eastAsia" w:ascii="宋体" w:hAnsi="宋体" w:eastAsia="宋体" w:cs="宋体"/>
                <w:bCs/>
                <w:szCs w:val="21"/>
                <w:lang w:val="en-US" w:eastAsia="zh-CN"/>
              </w:rPr>
              <w:t>企业实力</w:t>
            </w:r>
          </w:p>
        </w:tc>
        <w:tc>
          <w:tcPr>
            <w:tcW w:w="930" w:type="dxa"/>
            <w:noWrap w:val="0"/>
            <w:vAlign w:val="center"/>
          </w:tcPr>
          <w:p>
            <w:pPr>
              <w:spacing w:line="400" w:lineRule="exact"/>
              <w:jc w:val="center"/>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3分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color w:val="auto"/>
                <w:szCs w:val="21"/>
                <w:lang w:eastAsia="zh-CN"/>
              </w:rPr>
              <w:t>在《河南省施工图设计文件审查机构认定证书目录》内的企业</w:t>
            </w:r>
            <w:r>
              <w:rPr>
                <w:rFonts w:hint="eastAsia" w:ascii="宋体" w:hAnsi="宋体" w:eastAsia="宋体" w:cs="宋体"/>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continue"/>
            <w:noWrap w:val="0"/>
            <w:vAlign w:val="center"/>
          </w:tcPr>
          <w:p>
            <w:pPr>
              <w:spacing w:line="400" w:lineRule="exact"/>
              <w:rPr>
                <w:rFonts w:hint="eastAsia"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拟投入项目人员</w:t>
            </w:r>
          </w:p>
        </w:tc>
        <w:tc>
          <w:tcPr>
            <w:tcW w:w="930" w:type="dxa"/>
            <w:noWrap w:val="0"/>
            <w:vAlign w:val="center"/>
          </w:tcPr>
          <w:p>
            <w:pPr>
              <w:spacing w:line="400" w:lineRule="exact"/>
              <w:jc w:val="center"/>
              <w:rPr>
                <w:rFonts w:hint="eastAsia"/>
                <w:color w:val="000000"/>
                <w:sz w:val="24"/>
                <w:szCs w:val="24"/>
                <w:highlight w:val="none"/>
              </w:rPr>
            </w:pPr>
            <w:r>
              <w:rPr>
                <w:rFonts w:hint="eastAsia" w:ascii="宋体" w:hAnsi="宋体" w:eastAsia="宋体" w:cs="宋体"/>
                <w:color w:val="000000"/>
                <w:sz w:val="24"/>
                <w:szCs w:val="24"/>
                <w:highlight w:val="none"/>
                <w:lang w:val="en-US" w:eastAsia="zh-CN"/>
              </w:rPr>
              <w:t>12</w:t>
            </w:r>
            <w:r>
              <w:rPr>
                <w:rFonts w:hint="eastAsia"/>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（1）拟派项目负责人具有一级注册建筑师或一级注册结构工程师资格证且具有中级及以上工程师职称的得</w:t>
            </w:r>
            <w:r>
              <w:rPr>
                <w:rFonts w:hint="eastAsia" w:ascii="宋体" w:hAnsi="宋体" w:eastAsia="宋体" w:cs="宋体"/>
                <w:bCs/>
                <w:szCs w:val="21"/>
                <w:lang w:val="en-US" w:eastAsia="zh-CN"/>
              </w:rPr>
              <w:t>5</w:t>
            </w:r>
            <w:r>
              <w:rPr>
                <w:rFonts w:hint="eastAsia" w:ascii="宋体" w:hAnsi="宋体" w:eastAsia="宋体" w:cs="宋体"/>
                <w:bCs/>
                <w:szCs w:val="21"/>
              </w:rPr>
              <w:t xml:space="preserve">分；（需提供项目负责人劳务合同和社保证明） </w:t>
            </w:r>
          </w:p>
          <w:p>
            <w:pPr>
              <w:spacing w:line="400" w:lineRule="exact"/>
              <w:rPr>
                <w:rFonts w:ascii="宋体" w:hAnsi="宋体"/>
                <w:b/>
                <w:bCs/>
                <w:color w:val="000000"/>
                <w:sz w:val="24"/>
                <w:szCs w:val="24"/>
                <w:highlight w:val="none"/>
              </w:rPr>
            </w:pPr>
            <w:r>
              <w:rPr>
                <w:rFonts w:hint="eastAsia" w:ascii="宋体" w:hAnsi="宋体" w:eastAsia="宋体" w:cs="宋体"/>
                <w:bCs/>
                <w:szCs w:val="21"/>
              </w:rPr>
              <w:t>（2）项目负责人以外其他各专业人员配备满足程度：建筑专业配备1名一级注册建筑师，结构专业配备2名一级注册结构工程师，给排水、电气、暖通、勘察各配备1名本专业注册工程师，满足以上条件且证书齐全的得7分， 每缺少或未满足其中一个的在7分的基础上扣1分，扣完为止。 （所有注册证为</w:t>
            </w:r>
            <w:r>
              <w:rPr>
                <w:rFonts w:hint="eastAsia" w:ascii="宋体" w:hAnsi="宋体" w:cs="宋体"/>
                <w:bCs/>
                <w:szCs w:val="21"/>
                <w:lang w:eastAsia="zh-CN"/>
              </w:rPr>
              <w:t>原件扫描件加盖</w:t>
            </w:r>
            <w:r>
              <w:rPr>
                <w:rFonts w:hint="eastAsia" w:ascii="宋体" w:hAnsi="宋体" w:eastAsia="宋体" w:cs="宋体"/>
                <w:bCs/>
                <w:szCs w:val="21"/>
              </w:rPr>
              <w:t>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379" w:type="dxa"/>
            <w:noWrap w:val="0"/>
            <w:vAlign w:val="center"/>
          </w:tcPr>
          <w:p>
            <w:pPr>
              <w:spacing w:line="400" w:lineRule="exact"/>
              <w:rPr>
                <w:rFonts w:hint="eastAsia" w:ascii="宋体" w:hAnsi="宋体" w:cs="宋体"/>
                <w:color w:val="000000"/>
                <w:sz w:val="24"/>
                <w:szCs w:val="24"/>
                <w:highlight w:val="none"/>
              </w:rPr>
            </w:pPr>
          </w:p>
        </w:tc>
        <w:tc>
          <w:tcPr>
            <w:tcW w:w="706" w:type="dxa"/>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合计</w:t>
            </w:r>
          </w:p>
        </w:tc>
        <w:tc>
          <w:tcPr>
            <w:tcW w:w="1109" w:type="dxa"/>
            <w:noWrap w:val="0"/>
            <w:vAlign w:val="center"/>
          </w:tcPr>
          <w:p>
            <w:pPr>
              <w:spacing w:line="400" w:lineRule="exact"/>
              <w:rPr>
                <w:rFonts w:hint="eastAsia" w:ascii="宋体" w:hAnsi="宋体" w:cs="宋体"/>
                <w:color w:val="000000"/>
                <w:sz w:val="24"/>
                <w:szCs w:val="24"/>
                <w:highlight w:val="none"/>
              </w:rPr>
            </w:pPr>
          </w:p>
        </w:tc>
        <w:tc>
          <w:tcPr>
            <w:tcW w:w="930" w:type="dxa"/>
            <w:noWrap w:val="0"/>
            <w:vAlign w:val="center"/>
          </w:tcPr>
          <w:p>
            <w:pPr>
              <w:spacing w:line="400" w:lineRule="exact"/>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100分</w:t>
            </w:r>
          </w:p>
        </w:tc>
        <w:tc>
          <w:tcPr>
            <w:tcW w:w="5988" w:type="dxa"/>
            <w:noWrap w:val="0"/>
            <w:vAlign w:val="top"/>
          </w:tcPr>
          <w:p>
            <w:pPr>
              <w:spacing w:line="400" w:lineRule="exact"/>
              <w:rPr>
                <w:rFonts w:hint="eastAsia" w:ascii="宋体" w:hAnsi="宋体" w:cs="宋体"/>
                <w:color w:val="000000"/>
                <w:sz w:val="24"/>
                <w:szCs w:val="24"/>
                <w:highlight w:val="none"/>
              </w:rPr>
            </w:pPr>
          </w:p>
        </w:tc>
      </w:tr>
    </w:tbl>
    <w:p>
      <w:pPr>
        <w:pStyle w:val="38"/>
        <w:rPr>
          <w:rFonts w:hint="eastAsia" w:ascii="宋体" w:hAnsi="宋体" w:eastAsia="宋体" w:cs="宋体"/>
          <w:b/>
          <w:bCs/>
          <w:kern w:val="0"/>
          <w:szCs w:val="21"/>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kern w:val="0"/>
          <w:szCs w:val="21"/>
          <w:lang w:eastAsia="zh-CN"/>
        </w:rPr>
      </w:pPr>
      <w:r>
        <w:rPr>
          <w:rFonts w:hint="eastAsia" w:ascii="宋体" w:hAnsi="宋体" w:eastAsia="宋体" w:cs="宋体"/>
          <w:b/>
          <w:bCs/>
          <w:kern w:val="0"/>
          <w:szCs w:val="21"/>
        </w:rPr>
        <w:t>备注：以上评审因素，项目若有缺项的，该项为0分；不缺项的，不低于最低分。本评分办法中的所有业绩和证书不重复计算，以相关证明资料为准，未提供不得分</w:t>
      </w:r>
      <w:r>
        <w:rPr>
          <w:rFonts w:hint="eastAsia" w:ascii="宋体" w:hAnsi="宋体" w:eastAsia="宋体" w:cs="宋体"/>
          <w:b/>
          <w:bCs/>
          <w:kern w:val="0"/>
          <w:szCs w:val="21"/>
          <w:lang w:eastAsia="zh-CN"/>
        </w:rPr>
        <w:t>；</w:t>
      </w:r>
    </w:p>
    <w:p>
      <w:pPr>
        <w:spacing w:line="420" w:lineRule="exact"/>
        <w:rPr>
          <w:rFonts w:ascii="宋体" w:cs="宋体"/>
          <w:kern w:val="0"/>
          <w:szCs w:val="21"/>
        </w:rPr>
      </w:pPr>
      <w:r>
        <w:rPr>
          <w:rFonts w:hint="eastAsia" w:ascii="宋体" w:cs="宋体"/>
          <w:kern w:val="0"/>
          <w:szCs w:val="21"/>
        </w:rPr>
        <w:t>1.磋商小组根据磋商文件要求，在满足符合性审查的前提下，对技术标部分、综合部分、</w:t>
      </w:r>
      <w:r>
        <w:rPr>
          <w:rFonts w:hint="eastAsia" w:ascii="宋体" w:cs="宋体"/>
          <w:kern w:val="0"/>
          <w:szCs w:val="21"/>
          <w:lang w:eastAsia="zh-CN"/>
        </w:rPr>
        <w:t>报价</w:t>
      </w:r>
      <w:r>
        <w:rPr>
          <w:rFonts w:hint="eastAsia" w:ascii="宋体" w:cs="宋体"/>
          <w:kern w:val="0"/>
          <w:szCs w:val="21"/>
        </w:rPr>
        <w:t>部分的分值实行磋商小组署名评审打分，平均值为该项得分。</w:t>
      </w:r>
    </w:p>
    <w:p>
      <w:pPr>
        <w:spacing w:line="420" w:lineRule="exact"/>
        <w:rPr>
          <w:rFonts w:ascii="宋体" w:cs="宋体"/>
          <w:kern w:val="0"/>
          <w:szCs w:val="21"/>
        </w:rPr>
      </w:pPr>
      <w:r>
        <w:rPr>
          <w:rFonts w:hint="eastAsia" w:ascii="宋体" w:cs="宋体"/>
          <w:kern w:val="0"/>
          <w:szCs w:val="21"/>
        </w:rPr>
        <w:t>2.统分原则：供应商最终得分=报价分值得分+技术分值得分+</w:t>
      </w:r>
      <w:r>
        <w:rPr>
          <w:rFonts w:hint="eastAsia" w:ascii="宋体" w:cs="宋体"/>
          <w:kern w:val="0"/>
          <w:szCs w:val="21"/>
          <w:lang w:eastAsia="zh-CN"/>
        </w:rPr>
        <w:t>综合</w:t>
      </w:r>
      <w:r>
        <w:rPr>
          <w:rFonts w:hint="eastAsia" w:ascii="宋体" w:cs="宋体"/>
          <w:kern w:val="0"/>
          <w:szCs w:val="21"/>
        </w:rPr>
        <w:t>分值得分（所有得分四舍五入取小数点后两位）。</w:t>
      </w:r>
    </w:p>
    <w:p>
      <w:pPr>
        <w:spacing w:line="420" w:lineRule="exact"/>
        <w:rPr>
          <w:rFonts w:hint="eastAsia" w:ascii="宋体" w:cs="宋体"/>
          <w:kern w:val="0"/>
          <w:szCs w:val="21"/>
        </w:rPr>
      </w:pPr>
      <w:r>
        <w:rPr>
          <w:rFonts w:hint="eastAsia" w:ascii="宋体" w:cs="宋体"/>
          <w:kern w:val="0"/>
          <w:szCs w:val="21"/>
        </w:rPr>
        <w:t>3.磋商小组根据综合评分情况，按照评审得分由高到低顺序推荐1名成交候选供应商，并编写评审报告。</w:t>
      </w:r>
    </w:p>
    <w:p>
      <w:pPr>
        <w:spacing w:line="420" w:lineRule="exact"/>
        <w:rPr>
          <w:rFonts w:ascii="宋体" w:cs="宋体"/>
          <w:kern w:val="0"/>
          <w:szCs w:val="21"/>
        </w:rPr>
      </w:pPr>
      <w:r>
        <w:rPr>
          <w:rFonts w:hint="eastAsia" w:ascii="宋体" w:cs="宋体"/>
          <w:kern w:val="0"/>
          <w:szCs w:val="21"/>
        </w:rPr>
        <w:t>4.最终得分一致时报价低的优先。</w:t>
      </w:r>
    </w:p>
    <w:p>
      <w:pPr>
        <w:spacing w:line="420" w:lineRule="exact"/>
        <w:rPr>
          <w:rFonts w:ascii="宋体" w:cs="宋体"/>
          <w:kern w:val="0"/>
          <w:szCs w:val="21"/>
        </w:rPr>
      </w:pPr>
      <w:r>
        <w:rPr>
          <w:rFonts w:hint="eastAsia" w:ascii="宋体" w:cs="宋体"/>
          <w:kern w:val="0"/>
          <w:szCs w:val="21"/>
        </w:rPr>
        <w:t>5.</w:t>
      </w:r>
      <w:r>
        <w:rPr>
          <w:rFonts w:ascii="宋体" w:cs="宋体"/>
          <w:kern w:val="0"/>
          <w:szCs w:val="21"/>
        </w:rPr>
        <w:t>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r>
        <w:rPr>
          <w:rFonts w:hint="eastAsia" w:ascii="宋体" w:cs="宋体"/>
          <w:kern w:val="0"/>
          <w:szCs w:val="21"/>
        </w:rPr>
        <w:t>。</w:t>
      </w:r>
    </w:p>
    <w:p>
      <w:pPr>
        <w:spacing w:line="420" w:lineRule="exact"/>
        <w:rPr>
          <w:rFonts w:ascii="宋体" w:cs="宋体"/>
          <w:kern w:val="0"/>
          <w:szCs w:val="21"/>
        </w:rPr>
      </w:pPr>
      <w:r>
        <w:rPr>
          <w:rFonts w:hint="eastAsia" w:ascii="宋体" w:cs="宋体"/>
          <w:kern w:val="0"/>
          <w:szCs w:val="21"/>
        </w:rPr>
        <w:t>6.若供应商的最后报价高于项目预算，磋商小组有权拒绝该报价。</w:t>
      </w:r>
    </w:p>
    <w:p>
      <w:pPr>
        <w:spacing w:line="420" w:lineRule="exact"/>
        <w:rPr>
          <w:rFonts w:ascii="宋体" w:cs="宋体"/>
          <w:kern w:val="0"/>
          <w:szCs w:val="21"/>
        </w:rPr>
      </w:pPr>
      <w:r>
        <w:rPr>
          <w:rFonts w:hint="eastAsia" w:ascii="宋体" w:cs="宋体"/>
          <w:kern w:val="0"/>
          <w:szCs w:val="21"/>
        </w:rPr>
        <w:t>7. 在竞争性磋商期间，采购代理机构将有专门人员与供应商进行联络。</w:t>
      </w:r>
    </w:p>
    <w:p>
      <w:pPr>
        <w:spacing w:line="420" w:lineRule="exact"/>
        <w:rPr>
          <w:rFonts w:ascii="宋体" w:cs="宋体"/>
          <w:kern w:val="0"/>
          <w:szCs w:val="21"/>
        </w:rPr>
      </w:pPr>
      <w:r>
        <w:rPr>
          <w:rFonts w:hint="eastAsia" w:ascii="宋体" w:cs="宋体"/>
          <w:kern w:val="0"/>
          <w:szCs w:val="21"/>
        </w:rPr>
        <w:t>8.竞争性磋商终止</w:t>
      </w:r>
    </w:p>
    <w:p>
      <w:pPr>
        <w:spacing w:line="420" w:lineRule="exact"/>
        <w:rPr>
          <w:rFonts w:ascii="宋体" w:cs="宋体"/>
          <w:kern w:val="0"/>
          <w:szCs w:val="21"/>
        </w:rPr>
      </w:pPr>
      <w:r>
        <w:rPr>
          <w:rFonts w:hint="eastAsia" w:ascii="宋体" w:cs="宋体"/>
          <w:kern w:val="0"/>
          <w:szCs w:val="21"/>
        </w:rPr>
        <w:t>8.1出现下列情形之一的，采购人或者采购代理机构应当终止竞争性磋商采购活动，发布项目终止公告并说明原因，重新开展采购活动：</w:t>
      </w:r>
    </w:p>
    <w:p>
      <w:pPr>
        <w:spacing w:line="420" w:lineRule="exact"/>
        <w:rPr>
          <w:rFonts w:ascii="宋体" w:cs="宋体"/>
          <w:kern w:val="0"/>
          <w:szCs w:val="21"/>
        </w:rPr>
      </w:pPr>
      <w:r>
        <w:rPr>
          <w:rFonts w:hint="eastAsia" w:ascii="宋体" w:cs="宋体"/>
          <w:kern w:val="0"/>
          <w:szCs w:val="21"/>
        </w:rPr>
        <w:t>　　 （一）因情况变化，不再符合规定的竞争性磋商采购方式适用情形的；</w:t>
      </w:r>
    </w:p>
    <w:p>
      <w:pPr>
        <w:spacing w:line="420" w:lineRule="exact"/>
        <w:rPr>
          <w:rFonts w:ascii="宋体" w:cs="宋体"/>
          <w:kern w:val="0"/>
          <w:szCs w:val="21"/>
        </w:rPr>
      </w:pPr>
      <w:r>
        <w:rPr>
          <w:rFonts w:hint="eastAsia" w:ascii="宋体" w:cs="宋体"/>
          <w:kern w:val="0"/>
          <w:szCs w:val="21"/>
        </w:rPr>
        <w:t>　　 （二）出现影响采购公正的违法、违规行为的；</w:t>
      </w:r>
    </w:p>
    <w:p>
      <w:pPr>
        <w:spacing w:line="420" w:lineRule="exact"/>
        <w:rPr>
          <w:rFonts w:hint="eastAsia" w:ascii="宋体" w:cs="宋体"/>
          <w:kern w:val="0"/>
          <w:szCs w:val="21"/>
        </w:rPr>
      </w:pPr>
      <w:r>
        <w:rPr>
          <w:rFonts w:hint="eastAsia" w:ascii="宋体" w:cs="宋体"/>
          <w:kern w:val="0"/>
          <w:szCs w:val="21"/>
        </w:rPr>
        <w:t>　　 （三）除《政府采购竞争性磋商采购方式管理暂行办法》第二十一条第三款规定的情形外，在采购过程中符合要求的供应商或者报价未超过采购预算的供应商不足3家的。</w:t>
      </w:r>
    </w:p>
    <w:p>
      <w:pPr>
        <w:pStyle w:val="38"/>
        <w:rPr>
          <w:rFonts w:hint="eastAsia" w:ascii="宋体" w:cs="宋体"/>
          <w:kern w:val="0"/>
          <w:szCs w:val="21"/>
        </w:rPr>
      </w:pPr>
    </w:p>
    <w:p>
      <w:pPr>
        <w:pStyle w:val="40"/>
        <w:rPr>
          <w:rFonts w:hint="eastAsia" w:ascii="宋体" w:cs="宋体"/>
          <w:kern w:val="0"/>
          <w:szCs w:val="21"/>
        </w:rPr>
      </w:pPr>
    </w:p>
    <w:p>
      <w:pPr>
        <w:pStyle w:val="14"/>
        <w:rPr>
          <w:rFonts w:hint="eastAsia" w:ascii="宋体" w:cs="宋体"/>
          <w:kern w:val="0"/>
          <w:szCs w:val="21"/>
        </w:rPr>
      </w:pPr>
    </w:p>
    <w:p>
      <w:pPr>
        <w:rPr>
          <w:rFonts w:hint="eastAsia" w:ascii="宋体" w:cs="宋体"/>
          <w:kern w:val="0"/>
          <w:szCs w:val="21"/>
        </w:rPr>
      </w:pPr>
    </w:p>
    <w:p>
      <w:pPr>
        <w:pStyle w:val="38"/>
        <w:rPr>
          <w:rFonts w:hint="eastAsia" w:ascii="宋体" w:cs="宋体"/>
          <w:kern w:val="0"/>
          <w:szCs w:val="21"/>
        </w:rPr>
      </w:pPr>
    </w:p>
    <w:p>
      <w:pPr>
        <w:rPr>
          <w:rFonts w:hint="eastAsia" w:ascii="宋体" w:cs="宋体"/>
          <w:kern w:val="0"/>
          <w:szCs w:val="21"/>
        </w:rPr>
      </w:pPr>
    </w:p>
    <w:p>
      <w:pPr>
        <w:pStyle w:val="6"/>
        <w:numPr>
          <w:ilvl w:val="0"/>
          <w:numId w:val="0"/>
        </w:numPr>
        <w:spacing w:line="500" w:lineRule="exact"/>
        <w:jc w:val="both"/>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eastAsia="宋体" w:cs="宋体"/>
          <w:color w:val="auto"/>
          <w:sz w:val="32"/>
          <w:szCs w:val="32"/>
          <w:lang w:val="en-US" w:eastAsia="zh-CN"/>
        </w:rPr>
      </w:pPr>
      <w:bookmarkStart w:id="82" w:name="_Toc3061"/>
      <w:r>
        <w:rPr>
          <w:rFonts w:hint="eastAsia" w:ascii="宋体" w:hAnsi="宋体" w:cs="宋体"/>
          <w:color w:val="auto"/>
          <w:lang w:eastAsia="zh-CN"/>
        </w:rPr>
        <w:t>第四章、</w:t>
      </w:r>
      <w:r>
        <w:rPr>
          <w:rFonts w:ascii="宋体" w:hAnsi="宋体" w:cs="宋体"/>
          <w:color w:val="auto"/>
        </w:rPr>
        <w:t xml:space="preserve"> </w:t>
      </w:r>
      <w:bookmarkStart w:id="83" w:name="_Toc22343"/>
      <w:r>
        <w:rPr>
          <w:rFonts w:hint="eastAsia" w:ascii="宋体" w:hAnsi="宋体" w:cs="宋体"/>
          <w:color w:val="auto"/>
          <w:sz w:val="32"/>
          <w:szCs w:val="32"/>
          <w:lang w:val="en-US" w:eastAsia="zh-CN"/>
        </w:rPr>
        <w:t>采购需求</w:t>
      </w:r>
      <w:r>
        <w:rPr>
          <w:rFonts w:hint="eastAsia" w:ascii="宋体" w:hAnsi="宋体" w:cs="宋体"/>
          <w:color w:val="auto"/>
          <w:sz w:val="32"/>
          <w:szCs w:val="32"/>
        </w:rPr>
        <w:t>及要求</w:t>
      </w:r>
      <w:bookmarkEnd w:id="82"/>
      <w:bookmarkEnd w:id="83"/>
    </w:p>
    <w:p>
      <w:pPr>
        <w:numPr>
          <w:ilvl w:val="0"/>
          <w:numId w:val="7"/>
        </w:numPr>
        <w:spacing w:line="440" w:lineRule="exact"/>
        <w:jc w:val="left"/>
        <w:rPr>
          <w:rFonts w:ascii="宋体" w:hAnsi="宋体" w:cs="宋体"/>
          <w:b/>
          <w:sz w:val="21"/>
          <w:szCs w:val="21"/>
        </w:rPr>
      </w:pPr>
      <w:r>
        <w:rPr>
          <w:rFonts w:hint="eastAsia" w:ascii="宋体" w:hAnsi="宋体" w:cs="宋体"/>
          <w:b/>
          <w:sz w:val="21"/>
          <w:szCs w:val="21"/>
        </w:rPr>
        <w:t>项目概况</w:t>
      </w:r>
    </w:p>
    <w:p>
      <w:pPr>
        <w:pStyle w:val="74"/>
        <w:spacing w:line="440" w:lineRule="exact"/>
        <w:ind w:left="0" w:firstLine="420" w:firstLineChars="200"/>
        <w:rPr>
          <w:sz w:val="21"/>
          <w:szCs w:val="21"/>
          <w:lang w:eastAsia="zh-CN"/>
        </w:rPr>
      </w:pPr>
      <w:r>
        <w:rPr>
          <w:rFonts w:hint="eastAsia"/>
          <w:sz w:val="21"/>
          <w:szCs w:val="21"/>
        </w:rPr>
        <w:t>根据《河南省住房和城乡建设厅  河南省财政厅 河南省人民防空办公室 关于贯彻落实河南省人民政府办公厅“联合审图”方案有关工作的通知》(豫建设（2019）57 号)文件要求</w:t>
      </w:r>
      <w:r>
        <w:rPr>
          <w:rFonts w:hint="eastAsia"/>
          <w:sz w:val="21"/>
          <w:szCs w:val="21"/>
          <w:lang w:eastAsia="zh-CN"/>
        </w:rPr>
        <w:t>，对施工图联合审查实施政府购买服务，拟通过竞争性磋商的方式,选定</w:t>
      </w:r>
      <w:r>
        <w:rPr>
          <w:rFonts w:hint="eastAsia"/>
          <w:sz w:val="21"/>
          <w:szCs w:val="21"/>
          <w:lang w:val="en-US" w:eastAsia="zh-CN"/>
        </w:rPr>
        <w:t>1</w:t>
      </w:r>
      <w:r>
        <w:rPr>
          <w:rFonts w:hint="eastAsia"/>
          <w:sz w:val="21"/>
          <w:szCs w:val="21"/>
          <w:lang w:eastAsia="zh-CN"/>
        </w:rPr>
        <w:t>家施工图审查服务机构。</w:t>
      </w:r>
    </w:p>
    <w:p>
      <w:pPr>
        <w:snapToGrid w:val="0"/>
        <w:spacing w:line="440" w:lineRule="exact"/>
        <w:ind w:firstLine="422" w:firstLineChars="200"/>
        <w:jc w:val="left"/>
        <w:rPr>
          <w:rFonts w:ascii="宋体" w:hAnsi="宋体" w:cs="宋体"/>
          <w:b/>
          <w:bCs/>
          <w:sz w:val="21"/>
          <w:szCs w:val="21"/>
        </w:rPr>
      </w:pPr>
      <w:r>
        <w:rPr>
          <w:rFonts w:hint="eastAsia" w:ascii="宋体" w:hAnsi="宋体" w:cs="宋体"/>
          <w:b/>
          <w:bCs/>
          <w:sz w:val="21"/>
          <w:szCs w:val="21"/>
        </w:rPr>
        <w:t>二、</w:t>
      </w:r>
      <w:r>
        <w:rPr>
          <w:rFonts w:hint="eastAsia" w:ascii="宋体" w:hAnsi="宋体" w:cs="宋体"/>
          <w:b/>
          <w:bCs/>
          <w:color w:val="auto"/>
          <w:sz w:val="21"/>
          <w:szCs w:val="21"/>
        </w:rPr>
        <w:t>项目范围</w:t>
      </w:r>
    </w:p>
    <w:p>
      <w:pPr>
        <w:pStyle w:val="2"/>
        <w:spacing w:line="440" w:lineRule="exact"/>
        <w:ind w:firstLine="480"/>
        <w:rPr>
          <w:rFonts w:ascii="宋体" w:hAnsi="宋体" w:cs="宋体"/>
          <w:sz w:val="21"/>
          <w:szCs w:val="21"/>
        </w:rPr>
      </w:pPr>
      <w:r>
        <w:rPr>
          <w:rFonts w:hint="eastAsia" w:ascii="宋体" w:hAnsi="宋体" w:cs="宋体"/>
          <w:sz w:val="21"/>
          <w:szCs w:val="21"/>
        </w:rPr>
        <w:t>按国家、省、市有关规定必须进行施工图审查的房屋建筑和市政基础设施工程建设项目），不包括特殊工程（人防指挥工程及涉军、涉密工程）和交通、水利、能源等领域的</w:t>
      </w:r>
      <w:r>
        <w:rPr>
          <w:rFonts w:hint="eastAsia" w:ascii="宋体" w:hAnsi="宋体" w:cs="宋体"/>
          <w:sz w:val="21"/>
          <w:szCs w:val="21"/>
          <w:lang w:eastAsia="zh-CN"/>
        </w:rPr>
        <w:t>非</w:t>
      </w:r>
      <w:r>
        <w:rPr>
          <w:rFonts w:hint="eastAsia" w:ascii="宋体" w:hAnsi="宋体" w:cs="宋体"/>
          <w:sz w:val="21"/>
          <w:szCs w:val="21"/>
        </w:rPr>
        <w:t>房屋建筑工程。</w:t>
      </w:r>
    </w:p>
    <w:p>
      <w:pPr>
        <w:spacing w:line="440" w:lineRule="exact"/>
        <w:ind w:firstLine="420" w:firstLineChars="200"/>
        <w:jc w:val="left"/>
        <w:rPr>
          <w:rFonts w:ascii="宋体" w:hAnsi="宋体" w:cs="宋体"/>
          <w:b/>
          <w:sz w:val="21"/>
          <w:szCs w:val="21"/>
        </w:rPr>
      </w:pPr>
      <w:r>
        <w:rPr>
          <w:rFonts w:hint="eastAsia" w:ascii="宋体" w:hAnsi="宋体" w:cs="宋体"/>
          <w:sz w:val="21"/>
          <w:szCs w:val="21"/>
        </w:rPr>
        <w:t>三、</w:t>
      </w:r>
      <w:r>
        <w:rPr>
          <w:rFonts w:hint="eastAsia" w:ascii="宋体" w:hAnsi="宋体" w:cs="宋体"/>
          <w:b/>
          <w:sz w:val="21"/>
          <w:szCs w:val="21"/>
        </w:rPr>
        <w:t>审查要求</w:t>
      </w:r>
    </w:p>
    <w:p>
      <w:pPr>
        <w:pStyle w:val="2"/>
        <w:spacing w:line="440" w:lineRule="exact"/>
        <w:ind w:firstLine="480"/>
        <w:rPr>
          <w:rFonts w:hint="eastAsia" w:ascii="宋体" w:hAnsi="宋体" w:cs="宋体"/>
          <w:sz w:val="21"/>
          <w:szCs w:val="21"/>
        </w:rPr>
      </w:pPr>
      <w:r>
        <w:rPr>
          <w:rFonts w:hint="eastAsia" w:ascii="宋体" w:hAnsi="宋体" w:cs="宋体"/>
          <w:sz w:val="21"/>
          <w:szCs w:val="21"/>
        </w:rPr>
        <w:t>在我县从事施工图审查服务的图审机构中标后需在县内设立施工图审查技术服务点，方便为建设单位提供施工图审查全过程服务。</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1、质量保证。根据住建部令第46号，施工图审查机构对全套施工图设计文件审查内容应包含：（包括但不限于）</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（1）是否符合工程建设强制性标准；</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（2）地基基础和主体结构的安全性；</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（3）消防安全性；</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（4）人防工程（不含人防指挥工程）防护安全性；</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（5）是否符合民用建筑节能强制性标准，对执行绿色建筑标准的项目，还应当审查是否符合绿色建筑标准；</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（6）勘察设计企业和注册执业人员以及相关人员是否按规定在施工图上加盖相应的图章和签字；</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（7）法律、法规、规章规定必须审查的其他内容。</w:t>
      </w:r>
    </w:p>
    <w:p>
      <w:pPr>
        <w:pStyle w:val="2"/>
        <w:spacing w:line="440" w:lineRule="exact"/>
        <w:ind w:firstLine="0" w:firstLineChars="0"/>
        <w:rPr>
          <w:rFonts w:ascii="宋体" w:hAnsi="宋体" w:cs="宋体"/>
          <w:sz w:val="21"/>
          <w:szCs w:val="21"/>
        </w:rPr>
      </w:pPr>
      <w:r>
        <w:rPr>
          <w:rFonts w:hint="eastAsia" w:ascii="宋体" w:hAnsi="宋体" w:cs="宋体"/>
          <w:sz w:val="21"/>
          <w:szCs w:val="21"/>
        </w:rPr>
        <w:t xml:space="preserve">    施工图审查机构的审查要按照国家行政主管部门的规定要求，坚持全面、准确并在规定时间内完成工程项目的施工图审查工作，做到审查意见一次性告知；勘察设计单位应按照审查意见及时全面修改和反馈，减少复审次数，缩短审查时间，提升审查效率。</w:t>
      </w:r>
    </w:p>
    <w:p>
      <w:pPr>
        <w:numPr>
          <w:ilvl w:val="0"/>
          <w:numId w:val="8"/>
        </w:numPr>
        <w:snapToGrid w:val="0"/>
        <w:spacing w:line="440" w:lineRule="exact"/>
        <w:ind w:firstLine="420" w:firstLineChars="200"/>
        <w:jc w:val="left"/>
        <w:rPr>
          <w:rFonts w:ascii="宋体" w:hAnsi="宋体" w:cs="宋体"/>
          <w:sz w:val="21"/>
          <w:szCs w:val="21"/>
        </w:rPr>
      </w:pPr>
      <w:r>
        <w:rPr>
          <w:rFonts w:hint="eastAsia" w:ascii="宋体" w:hAnsi="宋体" w:cs="宋体"/>
          <w:color w:val="auto"/>
          <w:sz w:val="21"/>
          <w:szCs w:val="21"/>
        </w:rPr>
        <w:t>完成期限</w:t>
      </w:r>
      <w:r>
        <w:rPr>
          <w:rFonts w:hint="eastAsia" w:ascii="宋体" w:hAnsi="宋体" w:cs="宋体"/>
          <w:sz w:val="21"/>
          <w:szCs w:val="21"/>
        </w:rPr>
        <w:t>。</w:t>
      </w:r>
      <w:r>
        <w:rPr>
          <w:rFonts w:hint="eastAsia" w:ascii="宋体" w:hAnsi="宋体" w:cs="宋体"/>
          <w:sz w:val="21"/>
          <w:szCs w:val="21"/>
          <w:lang w:val="en-US" w:eastAsia="zh-CN"/>
        </w:rPr>
        <w:t>大型房屋建筑工程和市政设施工程10个工作日完成审查，中型及以下房屋建筑工程和市政设施工程7个工作日完成审查</w:t>
      </w:r>
      <w:r>
        <w:rPr>
          <w:rFonts w:hint="eastAsia" w:ascii="宋体" w:hAnsi="宋体" w:cs="宋体"/>
          <w:sz w:val="21"/>
          <w:szCs w:val="21"/>
          <w:lang w:eastAsia="zh-CN"/>
        </w:rPr>
        <w:t>。</w:t>
      </w:r>
      <w:r>
        <w:rPr>
          <w:rFonts w:hint="eastAsia" w:ascii="宋体" w:hAnsi="宋体" w:cs="宋体"/>
          <w:sz w:val="21"/>
          <w:szCs w:val="21"/>
        </w:rPr>
        <w:t>经审查合格的,应及时核发施工图审查合格书。审查机构对勘察设计提出的审查意见,勘察设计单位应及时回复意见。施工图审查机构对出具的施工图审查合格书承担相应的法律责任。</w:t>
      </w:r>
    </w:p>
    <w:p>
      <w:pPr>
        <w:spacing w:line="440" w:lineRule="exact"/>
        <w:jc w:val="left"/>
        <w:rPr>
          <w:rFonts w:hint="eastAsia" w:ascii="宋体" w:hAnsi="宋体" w:cs="宋体"/>
          <w:b/>
          <w:color w:val="auto"/>
          <w:sz w:val="21"/>
          <w:szCs w:val="21"/>
        </w:rPr>
      </w:pPr>
    </w:p>
    <w:p>
      <w:pPr>
        <w:spacing w:line="440" w:lineRule="exact"/>
        <w:jc w:val="left"/>
        <w:rPr>
          <w:rFonts w:ascii="宋体" w:hAnsi="宋体" w:cs="宋体"/>
          <w:b/>
          <w:color w:val="auto"/>
          <w:sz w:val="21"/>
          <w:szCs w:val="21"/>
        </w:rPr>
      </w:pPr>
      <w:r>
        <w:rPr>
          <w:rFonts w:hint="eastAsia" w:ascii="宋体" w:hAnsi="宋体" w:cs="宋体"/>
          <w:b/>
          <w:color w:val="auto"/>
          <w:sz w:val="21"/>
          <w:szCs w:val="21"/>
        </w:rPr>
        <w:t>四、最高限价</w:t>
      </w:r>
    </w:p>
    <w:p>
      <w:pPr>
        <w:snapToGrid w:val="0"/>
        <w:spacing w:line="440" w:lineRule="exact"/>
        <w:ind w:firstLine="420" w:firstLineChars="200"/>
        <w:jc w:val="left"/>
        <w:rPr>
          <w:rFonts w:hint="eastAsia" w:ascii="宋体" w:hAnsi="宋体" w:cs="宋体"/>
          <w:color w:val="auto"/>
          <w:kern w:val="2"/>
          <w:sz w:val="21"/>
          <w:szCs w:val="21"/>
          <w:lang w:val="en-US" w:eastAsia="zh-CN" w:bidi="ar-SA"/>
        </w:rPr>
      </w:pPr>
      <w:r>
        <w:rPr>
          <w:rFonts w:hint="eastAsia" w:ascii="宋体" w:hAnsi="宋体" w:cs="宋体"/>
          <w:color w:val="auto"/>
          <w:sz w:val="21"/>
          <w:szCs w:val="21"/>
        </w:rPr>
        <w:t>采购预算金额</w:t>
      </w:r>
      <w:r>
        <w:rPr>
          <w:rFonts w:hint="eastAsia" w:ascii="宋体" w:hAnsi="宋体" w:cs="宋体"/>
          <w:color w:val="auto"/>
          <w:kern w:val="2"/>
          <w:sz w:val="21"/>
          <w:szCs w:val="21"/>
          <w:lang w:val="en-US" w:eastAsia="zh-CN" w:bidi="ar-SA"/>
        </w:rPr>
        <w:t>：490000.00元（肆拾玖万元整）</w:t>
      </w:r>
    </w:p>
    <w:p>
      <w:pPr>
        <w:pStyle w:val="37"/>
        <w:ind w:firstLine="422" w:firstLineChars="200"/>
        <w:rPr>
          <w:rFonts w:hint="default"/>
          <w:b/>
          <w:bCs/>
          <w:color w:val="auto"/>
          <w:lang w:val="en-US" w:eastAsia="zh-CN"/>
        </w:rPr>
      </w:pPr>
      <w:r>
        <w:rPr>
          <w:rFonts w:hint="eastAsia" w:ascii="宋体" w:hAnsi="宋体" w:cs="宋体"/>
          <w:b/>
          <w:bCs/>
          <w:color w:val="auto"/>
          <w:kern w:val="2"/>
          <w:sz w:val="21"/>
          <w:szCs w:val="21"/>
          <w:lang w:val="en-US" w:eastAsia="zh-CN" w:bidi="ar-SA"/>
        </w:rPr>
        <w:t>本项目投标报价按豫建设【2019】57号文件河南省施工图设计文件审查结算标准的70%作为最高限价。</w:t>
      </w:r>
    </w:p>
    <w:p>
      <w:pPr>
        <w:snapToGrid w:val="0"/>
        <w:spacing w:line="440" w:lineRule="exact"/>
        <w:ind w:firstLine="422" w:firstLineChars="200"/>
        <w:jc w:val="left"/>
        <w:rPr>
          <w:rFonts w:ascii="宋体" w:hAnsi="宋体" w:cs="宋体"/>
          <w:b/>
          <w:color w:val="auto"/>
          <w:sz w:val="21"/>
          <w:szCs w:val="21"/>
        </w:rPr>
      </w:pPr>
      <w:r>
        <w:rPr>
          <w:rFonts w:hint="eastAsia" w:ascii="宋体" w:hAnsi="宋体" w:cs="宋体"/>
          <w:b/>
          <w:color w:val="auto"/>
          <w:sz w:val="21"/>
          <w:szCs w:val="21"/>
        </w:rPr>
        <w:t>五、审查费用结算</w:t>
      </w:r>
    </w:p>
    <w:p>
      <w:pPr>
        <w:pStyle w:val="3"/>
        <w:tabs>
          <w:tab w:val="left" w:pos="297"/>
        </w:tabs>
        <w:spacing w:line="520" w:lineRule="exact"/>
        <w:ind w:firstLine="522" w:firstLineChars="249"/>
        <w:rPr>
          <w:rFonts w:hint="eastAsia" w:ascii="宋体" w:hAnsi="宋体" w:eastAsia="宋体" w:cs="宋体"/>
          <w:color w:val="000000"/>
          <w:sz w:val="21"/>
          <w:szCs w:val="21"/>
        </w:rPr>
      </w:pPr>
      <w:r>
        <w:rPr>
          <w:rFonts w:hint="eastAsia" w:ascii="宋体" w:hAnsi="宋体" w:cs="宋体"/>
          <w:color w:val="000000"/>
          <w:sz w:val="21"/>
          <w:szCs w:val="21"/>
        </w:rPr>
        <w:t>图审费用按照《河南省施工图设计文件审查结算标准》、《</w:t>
      </w:r>
      <w:r>
        <w:rPr>
          <w:rFonts w:hint="eastAsia" w:ascii="宋体" w:hAnsi="宋体" w:cs="宋体"/>
          <w:color w:val="000000"/>
          <w:sz w:val="21"/>
          <w:szCs w:val="21"/>
          <w:lang w:eastAsia="zh-CN"/>
        </w:rPr>
        <w:t>温</w:t>
      </w:r>
      <w:r>
        <w:rPr>
          <w:rFonts w:hint="eastAsia" w:ascii="宋体" w:hAnsi="宋体" w:cs="宋体"/>
          <w:color w:val="000000"/>
          <w:sz w:val="21"/>
          <w:szCs w:val="21"/>
        </w:rPr>
        <w:t>县政府购买施工图审查服务计费标准》、施工图审查合同的约定等有关规定进行结算</w:t>
      </w:r>
      <w:r>
        <w:rPr>
          <w:rFonts w:hint="eastAsia" w:ascii="宋体" w:hAnsi="宋体" w:cs="宋体"/>
          <w:color w:val="000000"/>
          <w:sz w:val="21"/>
          <w:szCs w:val="21"/>
          <w:lang w:eastAsia="zh-CN"/>
        </w:rPr>
        <w:t>。</w:t>
      </w:r>
      <w:r>
        <w:rPr>
          <w:rFonts w:hint="eastAsia" w:ascii="宋体" w:hAnsi="宋体" w:eastAsia="宋体" w:cs="宋体"/>
          <w:color w:val="000000"/>
          <w:sz w:val="21"/>
          <w:szCs w:val="21"/>
        </w:rPr>
        <w:t>（一）审查机构在出具审查合格书后，向建设行政主管部门出具审查费用结算发票，建设行政主管部门按</w:t>
      </w:r>
      <w:r>
        <w:rPr>
          <w:rFonts w:hint="eastAsia" w:ascii="宋体" w:hAnsi="宋体" w:eastAsia="宋体" w:cs="宋体"/>
          <w:color w:val="000000"/>
          <w:sz w:val="21"/>
          <w:szCs w:val="21"/>
          <w:lang w:val="en-US" w:eastAsia="zh-CN"/>
        </w:rPr>
        <w:t>每季度完成合同额的</w:t>
      </w:r>
      <w:r>
        <w:rPr>
          <w:rFonts w:hint="eastAsia" w:ascii="宋体" w:hAnsi="宋体" w:eastAsia="宋体" w:cs="宋体"/>
          <w:color w:val="000000"/>
          <w:sz w:val="21"/>
          <w:szCs w:val="21"/>
        </w:rPr>
        <w:t>90%</w:t>
      </w:r>
      <w:r>
        <w:rPr>
          <w:rFonts w:hint="eastAsia" w:ascii="宋体" w:hAnsi="宋体" w:eastAsia="宋体" w:cs="宋体"/>
          <w:color w:val="000000"/>
          <w:sz w:val="21"/>
          <w:szCs w:val="21"/>
          <w:lang w:val="en-US" w:eastAsia="zh-CN"/>
        </w:rPr>
        <w:t>支付审查</w:t>
      </w:r>
      <w:r>
        <w:rPr>
          <w:rFonts w:hint="eastAsia" w:ascii="宋体" w:hAnsi="宋体" w:eastAsia="宋体" w:cs="宋体"/>
          <w:color w:val="000000"/>
          <w:sz w:val="21"/>
          <w:szCs w:val="21"/>
        </w:rPr>
        <w:t>费用，剩余10%</w:t>
      </w:r>
      <w:r>
        <w:rPr>
          <w:rFonts w:hint="eastAsia" w:ascii="宋体" w:hAnsi="宋体" w:eastAsia="宋体" w:cs="宋体"/>
          <w:color w:val="000000"/>
          <w:sz w:val="21"/>
          <w:szCs w:val="21"/>
          <w:lang w:val="en-US" w:eastAsia="zh-CN"/>
        </w:rPr>
        <w:t>审查</w:t>
      </w:r>
      <w:r>
        <w:rPr>
          <w:rFonts w:hint="eastAsia" w:ascii="宋体" w:hAnsi="宋体" w:eastAsia="宋体" w:cs="宋体"/>
          <w:color w:val="000000"/>
          <w:sz w:val="21"/>
          <w:szCs w:val="21"/>
        </w:rPr>
        <w:t>费用在半年度考评后集中支付。（二）由于建设单位原因，在审查机构出具审查意见后，终止项目审查的，审查费用按项目合同审查费的75%结算。若因建设单位原因变更或二次审查的由建设单位承担所产生的审查费。</w:t>
      </w: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pStyle w:val="38"/>
        <w:rPr>
          <w:rFonts w:hint="eastAsia" w:asciiTheme="majorEastAsia" w:hAnsiTheme="majorEastAsia" w:eastAsiaTheme="majorEastAsia"/>
          <w:b/>
          <w:color w:val="auto"/>
          <w:sz w:val="32"/>
          <w:szCs w:val="32"/>
          <w:highlight w:val="none"/>
        </w:rPr>
      </w:pPr>
    </w:p>
    <w:p>
      <w:pPr>
        <w:pStyle w:val="40"/>
        <w:rPr>
          <w:rFonts w:hint="eastAsia" w:asciiTheme="majorEastAsia" w:hAnsiTheme="majorEastAsia" w:eastAsiaTheme="majorEastAsia"/>
          <w:b/>
          <w:color w:val="auto"/>
          <w:sz w:val="32"/>
          <w:szCs w:val="32"/>
          <w:highlight w:val="none"/>
        </w:rPr>
      </w:pPr>
    </w:p>
    <w:p>
      <w:pPr>
        <w:pStyle w:val="14"/>
        <w:rPr>
          <w:rFonts w:hint="eastAsia" w:asciiTheme="majorEastAsia" w:hAnsiTheme="majorEastAsia" w:eastAsiaTheme="majorEastAsia"/>
          <w:b/>
          <w:color w:val="auto"/>
          <w:sz w:val="32"/>
          <w:szCs w:val="32"/>
          <w:highlight w:val="none"/>
        </w:rPr>
      </w:pPr>
    </w:p>
    <w:p>
      <w:pPr>
        <w:rPr>
          <w:rFonts w:hint="eastAsia" w:asciiTheme="majorEastAsia" w:hAnsiTheme="majorEastAsia" w:eastAsiaTheme="majorEastAsia"/>
          <w:b/>
          <w:color w:val="auto"/>
          <w:sz w:val="32"/>
          <w:szCs w:val="32"/>
          <w:highlight w:val="none"/>
        </w:rPr>
      </w:pPr>
    </w:p>
    <w:p>
      <w:pPr>
        <w:pStyle w:val="38"/>
        <w:rPr>
          <w:rFonts w:hint="eastAsia" w:asciiTheme="majorEastAsia" w:hAnsiTheme="majorEastAsia" w:eastAsiaTheme="majorEastAsia"/>
          <w:b/>
          <w:color w:val="auto"/>
          <w:sz w:val="32"/>
          <w:szCs w:val="32"/>
          <w:highlight w:val="none"/>
        </w:rPr>
      </w:pPr>
    </w:p>
    <w:p>
      <w:pPr>
        <w:pStyle w:val="40"/>
        <w:rPr>
          <w:rFonts w:hint="eastAsia" w:asciiTheme="majorEastAsia" w:hAnsiTheme="majorEastAsia" w:eastAsiaTheme="majorEastAsia"/>
          <w:b/>
          <w:color w:val="auto"/>
          <w:sz w:val="32"/>
          <w:szCs w:val="32"/>
          <w:highlight w:val="none"/>
        </w:rPr>
      </w:pPr>
    </w:p>
    <w:p>
      <w:pPr>
        <w:spacing w:line="440" w:lineRule="exact"/>
        <w:jc w:val="both"/>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bookmarkStart w:id="84" w:name="_Toc2373"/>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asciiTheme="majorEastAsia" w:hAnsiTheme="majorEastAsia" w:eastAsiaTheme="majorEastAsia"/>
          <w:b/>
          <w:color w:val="auto"/>
          <w:sz w:val="28"/>
          <w:szCs w:val="28"/>
          <w:highlight w:val="none"/>
        </w:rPr>
      </w:pPr>
      <w:r>
        <w:rPr>
          <w:rFonts w:hint="eastAsia" w:asciiTheme="majorEastAsia" w:hAnsiTheme="majorEastAsia" w:eastAsiaTheme="majorEastAsia"/>
          <w:b/>
          <w:color w:val="auto"/>
          <w:sz w:val="32"/>
          <w:szCs w:val="32"/>
          <w:highlight w:val="none"/>
        </w:rPr>
        <w:t>第五章</w:t>
      </w:r>
      <w:r>
        <w:rPr>
          <w:rFonts w:hint="eastAsia" w:asciiTheme="majorEastAsia" w:hAnsiTheme="majorEastAsia" w:eastAsiaTheme="majorEastAsia"/>
          <w:b/>
          <w:color w:val="auto"/>
          <w:sz w:val="28"/>
          <w:szCs w:val="28"/>
          <w:highlight w:val="none"/>
        </w:rPr>
        <w:t xml:space="preserve">  </w:t>
      </w:r>
      <w:r>
        <w:rPr>
          <w:rFonts w:hint="eastAsia" w:asciiTheme="majorEastAsia" w:hAnsiTheme="majorEastAsia" w:eastAsiaTheme="majorEastAsia"/>
          <w:b/>
          <w:color w:val="auto"/>
          <w:sz w:val="32"/>
          <w:szCs w:val="32"/>
          <w:highlight w:val="none"/>
        </w:rPr>
        <w:t>合同签订及条款</w:t>
      </w:r>
      <w:bookmarkEnd w:id="84"/>
    </w:p>
    <w:p>
      <w:pPr>
        <w:spacing w:line="440" w:lineRule="exact"/>
        <w:ind w:firstLine="480" w:firstLineChars="200"/>
        <w:rPr>
          <w:rFonts w:ascii="宋体" w:hAnsi="宋体" w:cs="宋体"/>
          <w:color w:val="auto"/>
          <w:szCs w:val="21"/>
          <w:highlight w:val="none"/>
        </w:rPr>
      </w:pPr>
      <w:bookmarkStart w:id="85" w:name="_Toc1706"/>
      <w:r>
        <w:rPr>
          <w:rFonts w:asciiTheme="majorEastAsia" w:hAnsiTheme="majorEastAsia" w:eastAsiaTheme="majorEastAsia"/>
          <w:color w:val="auto"/>
          <w:sz w:val="24"/>
          <w:szCs w:val="24"/>
          <w:highlight w:val="none"/>
        </w:rPr>
        <w:t>1</w:t>
      </w:r>
      <w:r>
        <w:rPr>
          <w:rFonts w:hint="eastAsia" w:ascii="宋体" w:hAnsi="宋体" w:cs="宋体"/>
          <w:color w:val="auto"/>
          <w:szCs w:val="21"/>
          <w:highlight w:val="none"/>
        </w:rPr>
        <w:t>.合同签订</w:t>
      </w:r>
      <w:bookmarkEnd w:id="85"/>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1.1 中标人应按中标通知书指定的时间、地点，与采购人签订合同。中标人与采购人不得签订背离招标文件实质性内容的合同，否则合同无效。</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1.2 如采购人或中标人拒签合同，则按违约处理。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1.3 如中标人不按本招标文件要求签订合同，则取消其中标资格。招标人并依法追究中标人的缔约过失责任及其他法律责任。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10%。</w:t>
      </w:r>
      <w:r>
        <w:rPr>
          <w:rFonts w:hint="eastAsia" w:ascii="宋体" w:hAnsi="宋体" w:cs="宋体"/>
          <w:color w:val="auto"/>
          <w:szCs w:val="21"/>
          <w:highlight w:val="none"/>
        </w:rPr>
        <w:tab/>
      </w:r>
    </w:p>
    <w:p>
      <w:pPr>
        <w:spacing w:line="440" w:lineRule="exact"/>
        <w:ind w:firstLine="420" w:firstLineChars="200"/>
        <w:rPr>
          <w:rFonts w:ascii="宋体" w:hAnsi="宋体" w:cs="宋体"/>
          <w:color w:val="auto"/>
          <w:szCs w:val="21"/>
          <w:highlight w:val="none"/>
        </w:rPr>
      </w:pPr>
      <w:bookmarkStart w:id="86" w:name="_Toc488422014"/>
      <w:bookmarkStart w:id="87" w:name="_Toc8336"/>
      <w:bookmarkStart w:id="88" w:name="_Toc6716"/>
      <w:bookmarkStart w:id="89" w:name="_Toc3663"/>
      <w:bookmarkStart w:id="90" w:name="_Toc21209"/>
      <w:bookmarkStart w:id="91" w:name="_Toc421284761"/>
      <w:bookmarkStart w:id="92" w:name="_Toc27043"/>
      <w:bookmarkStart w:id="93" w:name="_Toc488422613"/>
      <w:bookmarkStart w:id="94" w:name="_Toc9383"/>
      <w:bookmarkStart w:id="95" w:name="_Toc32638"/>
      <w:bookmarkStart w:id="96" w:name="_Toc18545"/>
      <w:r>
        <w:rPr>
          <w:rFonts w:hint="eastAsia" w:ascii="宋体" w:hAnsi="宋体" w:cs="宋体"/>
          <w:color w:val="auto"/>
          <w:szCs w:val="21"/>
          <w:highlight w:val="none"/>
        </w:rPr>
        <w:t>2.合同一般条款</w:t>
      </w:r>
      <w:bookmarkEnd w:id="86"/>
      <w:bookmarkEnd w:id="87"/>
      <w:bookmarkEnd w:id="88"/>
      <w:bookmarkEnd w:id="89"/>
      <w:bookmarkEnd w:id="90"/>
      <w:bookmarkEnd w:id="91"/>
      <w:bookmarkEnd w:id="92"/>
      <w:bookmarkEnd w:id="93"/>
      <w:bookmarkEnd w:id="94"/>
      <w:bookmarkEnd w:id="95"/>
      <w:bookmarkEnd w:id="96"/>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2.1、定义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（1）甲方（需方）即采购人，是指通过招标采购，接受合同货物及服务的各级国家机关、事业单位和团体组织。</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（2）乙方（供方）即中标供应商，是指中标后提供合同货物和服务的自然人、法人及其他组织。</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（3）合同是指由甲乙双方按照招标文件和投标文件的实质性内容，通过协商一致达成的书面协议。</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（4）合同价格指以中标价格为依据，在供方全面履行合同义务后，需方应支付给供方的金额。</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（5）技术资料是指合同货物及其相关的设计、制造、监造、检验、验收等文件（包括图纸、各种文字说明、标准）。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2.2、货物内容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合同包括以下内容：货物名称、规格型号、技术参数、数量（单位）等内容。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2.3、合同价格</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（1）合同价格即合同总价。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（2）合同价格包括合同货物、技术资料、合同货物的税费、运杂费、保险费、包装费、装卸费及与货物有关的供方应纳的税费等，所有税费由乙方负担。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2.4、转包或分包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（1）本合同范围的货物，应由乙方直接供应，不得转让他人供应；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（2）非经甲方书面同意，乙方不得将本合同范围的货物全部或部分分包给他人供应；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（3）如有转让和未经甲方同意的分包行为，甲方有权解除合同，履约保证金不予退还并追究乙方的违约责任。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2.5、质量保证及售后服务</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（1）乙方应按招标文件规定的货物性能、技术要求、质量标准向甲方提供未经使用的全新产品。</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（2）乙方提供的货物在质保期内因货物本身的质量问题发生故障，乙方应负责免费更换。对达不到技术要求者，根据实际情况，经双方协商，可按以下办法处理：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A、更换：由乙方承担所发生的全部费用。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B、退货处理：乙方应退还甲方支付的合同款，同时应承担该货物的直接费用（运输、保险、检验、货款利息及银行手续费等）。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（3）如在使用过程中发生质量问题，乙方在接到甲方通知后在X小时内到达甲方现场。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（4）在质保期内，乙方应对货物出现的质量及安全问题负责处理解决并承担一切费用。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（5）上述货物的免费保修期按照国家有关规定标准执行，终生维修，维修时只收部件成本费。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（6）乙方提供的货物由原厂提供售后服务的，乙方必须提供原厂商出具的售后服务承诺函（原件）。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2.6、付款</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（1）本合同使用货币币制为人民币。</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（2）付款方式及方法：按专用条款执行。</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2.7、检查验收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（1）供方应随货物提供合格证和质量证明文件，如是国外进口的货物还须提供入关证明。</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（2）货物验收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（3）货物验收报告应由需方、供方经办人签字，并加盖双方公章，以此作为支付凭据。</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2.8、索赔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供方所提供货物、工程或者服务不符合合同约定的，需方有权拒收货物、拒绝服务、解除合同，供方应赔偿需方所有损失。</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2.9、知识产权</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乙方应保证所提供的货物或其任何一部分均不会侵犯任何第三方的知识产权，如若出现侵权行为，由乙方付全部责任。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2.10、人员培训：供方免费对需方人员进行技术培训，直到需方人员熟练操作或掌握为准。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培训地点：；培训时间：；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培训方式：</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2.11、违约责任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按专用条款及招标文件的其他有关约定执行。专用条款及招标文件约定不明或未约定的，按照《中华人民共和国合同法》、《中华人民共和国政府采购法》的有关规定执行。</w:t>
      </w:r>
      <w:bookmarkStart w:id="97" w:name="_Toc421284762"/>
      <w:bookmarkStart w:id="98" w:name="_Toc17461"/>
      <w:bookmarkStart w:id="99" w:name="_Toc15325"/>
      <w:bookmarkStart w:id="100" w:name="_Toc17676"/>
      <w:bookmarkStart w:id="101" w:name="_Toc13625"/>
      <w:bookmarkStart w:id="102" w:name="_Toc24549"/>
      <w:bookmarkStart w:id="103" w:name="_Toc488422614"/>
      <w:bookmarkStart w:id="104" w:name="_Toc1746"/>
      <w:bookmarkStart w:id="105" w:name="_Toc5009"/>
      <w:bookmarkStart w:id="106" w:name="_Toc27148142"/>
      <w:bookmarkStart w:id="107" w:name="_Toc488422015"/>
      <w:bookmarkStart w:id="108" w:name="_Toc18962"/>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End w:id="97"/>
      <w:bookmarkEnd w:id="98"/>
      <w:bookmarkEnd w:id="99"/>
      <w:bookmarkEnd w:id="100"/>
      <w:bookmarkEnd w:id="101"/>
      <w:r>
        <w:rPr>
          <w:rFonts w:hint="eastAsia" w:ascii="宋体" w:hAnsi="宋体" w:cs="宋体"/>
          <w:color w:val="auto"/>
          <w:szCs w:val="21"/>
          <w:highlight w:val="none"/>
        </w:rPr>
        <w:t>合同专用条款（特别约定条款）</w:t>
      </w:r>
      <w:bookmarkEnd w:id="102"/>
      <w:bookmarkEnd w:id="103"/>
      <w:bookmarkEnd w:id="104"/>
      <w:bookmarkEnd w:id="105"/>
      <w:bookmarkEnd w:id="106"/>
      <w:bookmarkEnd w:id="107"/>
      <w:bookmarkEnd w:id="108"/>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（注：可结合具体招标项目进行更明确的约定）</w:t>
      </w:r>
    </w:p>
    <w:p>
      <w:pPr>
        <w:spacing w:line="440" w:lineRule="exact"/>
        <w:rPr>
          <w:rFonts w:ascii="宋体" w:hAnsi="宋体" w:cs="宋体"/>
          <w:color w:val="auto"/>
          <w:szCs w:val="21"/>
          <w:highlight w:val="none"/>
        </w:rPr>
      </w:pPr>
    </w:p>
    <w:p>
      <w:pPr>
        <w:spacing w:line="440" w:lineRule="exact"/>
        <w:ind w:firstLine="420" w:firstLineChars="200"/>
        <w:jc w:val="center"/>
        <w:rPr>
          <w:rFonts w:ascii="宋体" w:hAnsi="宋体" w:cs="宋体"/>
          <w:color w:val="auto"/>
          <w:szCs w:val="21"/>
          <w:highlight w:val="none"/>
        </w:rPr>
      </w:pPr>
      <w:r>
        <w:rPr>
          <w:rFonts w:hint="eastAsia" w:ascii="宋体" w:hAnsi="宋体" w:cs="宋体"/>
          <w:color w:val="auto"/>
          <w:szCs w:val="21"/>
          <w:highlight w:val="none"/>
        </w:rPr>
        <w:t>温县政府集中采购合同</w:t>
      </w:r>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合同编号：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需方（甲方）（采购人全称）：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供方（乙方）（中标供应商全称）：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供方持签发的中标/成交通知书，根据招标文件、供方的投标/报价等文件[项目编号：温交易]，按照《政府采购法》、《合同法》等有关法律、法规的规定，供需双方经协商一致，达成以下合同专用条款：</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一、本合同名称：。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二、本合同总价：元（人民币）（大写：元）。供货范围、技术规格、及分项价格如下：单位：人民币元</w:t>
      </w:r>
    </w:p>
    <w:tbl>
      <w:tblPr>
        <w:tblStyle w:val="30"/>
        <w:tblW w:w="9380" w:type="dxa"/>
        <w:jc w:val="center"/>
        <w:tblLayout w:type="fixed"/>
        <w:tblCellMar>
          <w:top w:w="0" w:type="dxa"/>
          <w:left w:w="108" w:type="dxa"/>
          <w:bottom w:w="0" w:type="dxa"/>
          <w:right w:w="108" w:type="dxa"/>
        </w:tblCellMar>
      </w:tblPr>
      <w:tblGrid>
        <w:gridCol w:w="873"/>
        <w:gridCol w:w="1196"/>
        <w:gridCol w:w="2233"/>
        <w:gridCol w:w="543"/>
        <w:gridCol w:w="709"/>
        <w:gridCol w:w="734"/>
        <w:gridCol w:w="723"/>
        <w:gridCol w:w="1031"/>
        <w:gridCol w:w="1338"/>
      </w:tblGrid>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618" w:hRule="atLeast"/>
          <w:jc w:val="center"/>
        </w:trPr>
        <w:tc>
          <w:tcPr>
            <w:tcW w:w="873" w:type="dxa"/>
            <w:vMerge w:val="restart"/>
            <w:tcBorders>
              <w:top w:val="single" w:color="auto" w:sz="6" w:space="0"/>
              <w:left w:val="single" w:color="auto" w:sz="6" w:space="0"/>
              <w:bottom w:val="single" w:color="auto" w:sz="6" w:space="0"/>
              <w:right w:val="single" w:color="auto" w:sz="6" w:space="0"/>
            </w:tcBorders>
          </w:tcPr>
          <w:p>
            <w:pPr>
              <w:spacing w:line="440" w:lineRule="exact"/>
              <w:rPr>
                <w:rFonts w:ascii="宋体" w:hAnsi="宋体" w:cs="宋体"/>
                <w:color w:val="auto"/>
                <w:szCs w:val="21"/>
                <w:highlight w:val="none"/>
              </w:rPr>
            </w:pPr>
            <w:r>
              <w:rPr>
                <w:rFonts w:hint="eastAsia" w:ascii="宋体" w:hAnsi="宋体" w:cs="宋体"/>
                <w:color w:val="auto"/>
                <w:szCs w:val="21"/>
                <w:highlight w:val="none"/>
              </w:rPr>
              <w:t>总价（人民币）</w:t>
            </w: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小写：</w:t>
            </w:r>
          </w:p>
        </w:tc>
      </w:tr>
      <w:tr>
        <w:tblPrEx>
          <w:tblCellMar>
            <w:top w:w="0" w:type="dxa"/>
            <w:left w:w="108" w:type="dxa"/>
            <w:bottom w:w="0" w:type="dxa"/>
            <w:right w:w="108" w:type="dxa"/>
          </w:tblCellMar>
        </w:tblPrEx>
        <w:trPr>
          <w:trHeight w:val="1156" w:hRule="atLeast"/>
          <w:jc w:val="center"/>
        </w:trPr>
        <w:tc>
          <w:tcPr>
            <w:tcW w:w="873" w:type="dxa"/>
            <w:vMerge w:val="continue"/>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大写：</w:t>
            </w:r>
          </w:p>
        </w:tc>
      </w:tr>
    </w:tbl>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三、质量要求及供方对质量负责条件和期限：</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所供货物必须首先符合有关国家强制性规定、国家（行业）标准或相关法律法规要求，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日内以书面形式向供方提出，需安装调试成套设备的提出异议的期限为日。</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四、售后服务承诺：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售后服务响应时间：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解决问题时间：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售后服务机构名称、地址及联系方式：</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其他服务承诺：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五、合同履行地点及进度：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生效后，供方应于年月日前按需方要求在（需方指定的地点）完成本项目的交货、安装、调试（或施工）。货物运送的费用由供方负责。需方应在货物到达指定地点后，提供符合安装条件的场地、电源、环境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六、资料：供方在交付货物时应向需方提供货物的使用说明、合格证书及其它相关资料，否则按不能交货对待。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七、验收要求。</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1、供方履约完毕及时向需方提出验收申请。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2、需方在收到供方验收申请后个工作日内组织验收。按照招标文件规定、中标供应商投标文件承诺，及国家有关规定认真组织验收工作.</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3、验收合格后日内，需方出具《温县政府采购验收报告》。</w:t>
      </w:r>
    </w:p>
    <w:p>
      <w:pPr>
        <w:spacing w:line="380" w:lineRule="exact"/>
        <w:ind w:firstLine="417" w:firstLineChars="199"/>
        <w:rPr>
          <w:rFonts w:hint="eastAsia" w:ascii="宋体" w:hAnsi="宋体" w:cs="宋体"/>
          <w:b/>
          <w:bCs/>
          <w:color w:val="000000" w:themeColor="text1"/>
          <w:szCs w:val="21"/>
          <w:highlight w:val="none"/>
          <w:lang w:val="zh-CN" w:eastAsia="zh-CN"/>
          <w14:textFill>
            <w14:solidFill>
              <w14:schemeClr w14:val="tx1"/>
            </w14:solidFill>
          </w14:textFill>
        </w:rPr>
      </w:pPr>
      <w:r>
        <w:rPr>
          <w:rFonts w:hint="eastAsia" w:ascii="宋体" w:hAnsi="宋体" w:cs="宋体"/>
          <w:color w:val="auto"/>
          <w:szCs w:val="21"/>
          <w:highlight w:val="none"/>
        </w:rPr>
        <w:t>八、</w:t>
      </w:r>
      <w:r>
        <w:rPr>
          <w:rFonts w:hint="eastAsia" w:ascii="宋体" w:hAnsi="宋体" w:cs="宋体"/>
          <w:b/>
          <w:bCs/>
          <w:color w:val="auto"/>
          <w:szCs w:val="21"/>
          <w:highlight w:val="none"/>
        </w:rPr>
        <w:t>付款方式</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000000" w:themeColor="text1"/>
          <w:sz w:val="21"/>
          <w:szCs w:val="21"/>
          <w14:textFill>
            <w14:solidFill>
              <w14:schemeClr w14:val="tx1"/>
            </w14:solidFill>
          </w14:textFill>
        </w:rPr>
        <w:t>图审费用按照《河南省施工图设计文件审查结算标准》、《</w:t>
      </w:r>
      <w:r>
        <w:rPr>
          <w:rFonts w:hint="eastAsia" w:ascii="宋体" w:hAnsi="宋体" w:cs="宋体"/>
          <w:color w:val="000000" w:themeColor="text1"/>
          <w:sz w:val="21"/>
          <w:szCs w:val="21"/>
          <w:lang w:eastAsia="zh-CN"/>
          <w14:textFill>
            <w14:solidFill>
              <w14:schemeClr w14:val="tx1"/>
            </w14:solidFill>
          </w14:textFill>
        </w:rPr>
        <w:t>温</w:t>
      </w:r>
      <w:r>
        <w:rPr>
          <w:rFonts w:hint="eastAsia" w:ascii="宋体" w:hAnsi="宋体" w:cs="宋体"/>
          <w:color w:val="000000" w:themeColor="text1"/>
          <w:sz w:val="21"/>
          <w:szCs w:val="21"/>
          <w14:textFill>
            <w14:solidFill>
              <w14:schemeClr w14:val="tx1"/>
            </w14:solidFill>
          </w14:textFill>
        </w:rPr>
        <w:t>县政府购买施工图审查服务计费标准》、施工图审查合同的约定等有关规定进行结算</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（一）审查机构在出具审查合格书后，向建设行政主管部门出具审查费用结算发票，建设行政主管部门按</w:t>
      </w:r>
      <w:r>
        <w:rPr>
          <w:rFonts w:hint="eastAsia" w:ascii="宋体" w:hAnsi="宋体" w:eastAsia="宋体" w:cs="宋体"/>
          <w:color w:val="000000" w:themeColor="text1"/>
          <w:sz w:val="21"/>
          <w:szCs w:val="21"/>
          <w:lang w:val="en-US" w:eastAsia="zh-CN"/>
          <w14:textFill>
            <w14:solidFill>
              <w14:schemeClr w14:val="tx1"/>
            </w14:solidFill>
          </w14:textFill>
        </w:rPr>
        <w:t>每季度完成合同额的</w:t>
      </w:r>
      <w:r>
        <w:rPr>
          <w:rFonts w:hint="eastAsia" w:ascii="宋体" w:hAnsi="宋体" w:eastAsia="宋体" w:cs="宋体"/>
          <w:color w:val="000000" w:themeColor="text1"/>
          <w:sz w:val="21"/>
          <w:szCs w:val="21"/>
          <w14:textFill>
            <w14:solidFill>
              <w14:schemeClr w14:val="tx1"/>
            </w14:solidFill>
          </w14:textFill>
        </w:rPr>
        <w:t>90%</w:t>
      </w:r>
      <w:r>
        <w:rPr>
          <w:rFonts w:hint="eastAsia" w:ascii="宋体" w:hAnsi="宋体" w:eastAsia="宋体" w:cs="宋体"/>
          <w:color w:val="000000" w:themeColor="text1"/>
          <w:sz w:val="21"/>
          <w:szCs w:val="21"/>
          <w:lang w:val="en-US" w:eastAsia="zh-CN"/>
          <w14:textFill>
            <w14:solidFill>
              <w14:schemeClr w14:val="tx1"/>
            </w14:solidFill>
          </w14:textFill>
        </w:rPr>
        <w:t>支付审查</w:t>
      </w:r>
      <w:r>
        <w:rPr>
          <w:rFonts w:hint="eastAsia" w:ascii="宋体" w:hAnsi="宋体" w:eastAsia="宋体" w:cs="宋体"/>
          <w:color w:val="000000" w:themeColor="text1"/>
          <w:sz w:val="21"/>
          <w:szCs w:val="21"/>
          <w14:textFill>
            <w14:solidFill>
              <w14:schemeClr w14:val="tx1"/>
            </w14:solidFill>
          </w14:textFill>
        </w:rPr>
        <w:t>费用，剩余10%</w:t>
      </w:r>
      <w:r>
        <w:rPr>
          <w:rFonts w:hint="eastAsia" w:ascii="宋体" w:hAnsi="宋体" w:eastAsia="宋体" w:cs="宋体"/>
          <w:color w:val="000000" w:themeColor="text1"/>
          <w:sz w:val="21"/>
          <w:szCs w:val="21"/>
          <w:lang w:val="en-US" w:eastAsia="zh-CN"/>
          <w14:textFill>
            <w14:solidFill>
              <w14:schemeClr w14:val="tx1"/>
            </w14:solidFill>
          </w14:textFill>
        </w:rPr>
        <w:t>审查</w:t>
      </w:r>
      <w:r>
        <w:rPr>
          <w:rFonts w:hint="eastAsia" w:ascii="宋体" w:hAnsi="宋体" w:eastAsia="宋体" w:cs="宋体"/>
          <w:color w:val="000000" w:themeColor="text1"/>
          <w:sz w:val="21"/>
          <w:szCs w:val="21"/>
          <w14:textFill>
            <w14:solidFill>
              <w14:schemeClr w14:val="tx1"/>
            </w14:solidFill>
          </w14:textFill>
        </w:rPr>
        <w:t>费用在半年度考评后集中支付。（二）由于建设单位原因，在审查机构出具审查意见后，终止项目审查的，审查费用按项目合同审查费的75%结算。若因建设单位原因变更或二次审查的由建设单位承担所产生的审查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九、本合同单价及总价为不变价，不受市场风险等因素的影响。</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lang w:val="zh-CN"/>
        </w:rPr>
        <w:t xml:space="preserve">供方所交付的货物品种、型号、规格、质量不符合国家规定标准及合同要求的，或者供方不能交付货物或完成系统安装、调试的，供方应向需方支付合同金额总值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 xml:space="preserve"> %的违约金；需方并有权解除合同，要求供方赔偿损失。供方如逾期交付的，每逾期一日供方应向需方支付合同金额的</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的违约金。逾期交付的违约金总额不超过合同总金额的</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lang w:val="zh-CN"/>
        </w:rPr>
        <w:t xml:space="preserve">。逾期超过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日的，需方有权解除合同或者选择继续履行；需方要求供方继续履行合同的，不影响需方向供方主张违约责任。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2、如需方违约，按合同一般条款执行。</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十一、争议的解决：</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1、双方友好协商；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2、提请主管部门进行调解；</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3、由需方所在地人民法院诉讼管辖。</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十二、合同生效、备案及其它</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1、本合同经双方代表签字并加盖公章后生效。</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2、本合同一式</w:t>
      </w:r>
      <w:r>
        <w:rPr>
          <w:rFonts w:hint="eastAsia" w:ascii="宋体" w:hAnsi="宋体" w:cs="宋体"/>
          <w:color w:val="auto"/>
          <w:szCs w:val="21"/>
          <w:highlight w:val="none"/>
          <w:lang w:eastAsia="zh-CN"/>
        </w:rPr>
        <w:t>四</w:t>
      </w:r>
      <w:r>
        <w:rPr>
          <w:rFonts w:hint="eastAsia" w:ascii="宋体" w:hAnsi="宋体" w:cs="宋体"/>
          <w:color w:val="auto"/>
          <w:szCs w:val="21"/>
          <w:highlight w:val="none"/>
        </w:rPr>
        <w:t>份，供需双方各持</w:t>
      </w:r>
      <w:r>
        <w:rPr>
          <w:rFonts w:hint="eastAsia" w:ascii="宋体" w:hAnsi="宋体" w:cs="宋体"/>
          <w:color w:val="auto"/>
          <w:szCs w:val="21"/>
          <w:highlight w:val="none"/>
          <w:lang w:eastAsia="zh-CN"/>
        </w:rPr>
        <w:t>一</w:t>
      </w:r>
      <w:r>
        <w:rPr>
          <w:rFonts w:hint="eastAsia" w:ascii="宋体" w:hAnsi="宋体" w:cs="宋体"/>
          <w:color w:val="auto"/>
          <w:szCs w:val="21"/>
          <w:highlight w:val="none"/>
        </w:rPr>
        <w:t>份，在合同签订之日起七个工作日内交付温县财政局备案一份，办理资金支付手续时提交一份。</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3、本合同未尽事宜，供需双方可签订补充协议，但补充协议不得违背本招标文件及供方的投标文件或报价文件的实质性约定内容。</w:t>
      </w:r>
    </w:p>
    <w:p>
      <w:pPr>
        <w:spacing w:line="440" w:lineRule="exact"/>
        <w:ind w:firstLine="420" w:firstLineChars="200"/>
        <w:rPr>
          <w:rFonts w:ascii="宋体" w:hAnsi="宋体" w:cs="宋体"/>
          <w:color w:val="auto"/>
          <w:szCs w:val="21"/>
          <w:highlight w:val="none"/>
        </w:rPr>
      </w:pPr>
    </w:p>
    <w:p>
      <w:pPr>
        <w:spacing w:line="340" w:lineRule="exact"/>
        <w:rPr>
          <w:rFonts w:ascii="宋体" w:hAnsi="宋体" w:cs="宋体"/>
          <w:color w:val="auto"/>
          <w:szCs w:val="21"/>
          <w:highlight w:val="none"/>
        </w:rPr>
      </w:pPr>
      <w:r>
        <w:rPr>
          <w:rFonts w:hint="eastAsia" w:ascii="宋体" w:hAnsi="宋体" w:cs="宋体"/>
          <w:color w:val="auto"/>
          <w:szCs w:val="21"/>
          <w:highlight w:val="none"/>
        </w:rPr>
        <w:t>供方（公章）：                          需方（公章）：</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地址：                                 地址：</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法定代表人或委托                       法定代表人或委托</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代理人（签字）：                        代理人（签字）：</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电话：                                 电话：</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开户行：                               开户行：</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账号：                                 账号：</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签约时间：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       签约时间：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pStyle w:val="38"/>
        <w:rPr>
          <w:color w:val="auto"/>
          <w:szCs w:val="21"/>
          <w:highlight w:val="none"/>
        </w:rPr>
      </w:pPr>
    </w:p>
    <w:p>
      <w:pPr>
        <w:pStyle w:val="38"/>
        <w:rPr>
          <w:color w:val="auto"/>
          <w:szCs w:val="21"/>
          <w:highlight w:val="none"/>
        </w:rPr>
      </w:pPr>
    </w:p>
    <w:p>
      <w:pPr>
        <w:pStyle w:val="38"/>
        <w:rPr>
          <w:color w:val="auto"/>
          <w:szCs w:val="21"/>
          <w:highlight w:val="none"/>
        </w:rPr>
      </w:pPr>
    </w:p>
    <w:p>
      <w:pPr>
        <w:pStyle w:val="38"/>
        <w:rPr>
          <w:color w:val="auto"/>
          <w:szCs w:val="21"/>
          <w:highlight w:val="none"/>
        </w:rPr>
      </w:pPr>
    </w:p>
    <w:p>
      <w:pPr>
        <w:pStyle w:val="38"/>
        <w:rPr>
          <w:color w:val="auto"/>
          <w:szCs w:val="21"/>
          <w:highlight w:val="none"/>
        </w:rPr>
      </w:pPr>
    </w:p>
    <w:p>
      <w:pPr>
        <w:pStyle w:val="6"/>
        <w:jc w:val="both"/>
        <w:rPr>
          <w:rFonts w:ascii="宋体" w:hAnsi="宋体" w:cs="宋体"/>
          <w:color w:val="auto"/>
          <w:highlight w:val="none"/>
        </w:rPr>
      </w:pPr>
      <w:bookmarkStart w:id="109" w:name="_Toc21953"/>
    </w:p>
    <w:p>
      <w:pPr>
        <w:rPr>
          <w:rFonts w:ascii="宋体" w:hAnsi="宋体" w:cs="宋体"/>
          <w:color w:val="auto"/>
          <w:highlight w:val="none"/>
        </w:rPr>
      </w:pPr>
    </w:p>
    <w:p>
      <w:pPr>
        <w:pStyle w:val="10"/>
        <w:ind w:left="0" w:leftChars="0"/>
        <w:rPr>
          <w:color w:val="auto"/>
          <w:highlight w:val="none"/>
        </w:rPr>
      </w:pPr>
    </w:p>
    <w:p>
      <w:pPr>
        <w:pStyle w:val="6"/>
        <w:jc w:val="center"/>
        <w:rPr>
          <w:rFonts w:hint="eastAsia" w:ascii="宋体" w:hAnsi="宋体" w:cs="宋体"/>
          <w:color w:val="auto"/>
          <w:highlight w:val="none"/>
        </w:rPr>
      </w:pPr>
    </w:p>
    <w:p>
      <w:pPr>
        <w:pStyle w:val="6"/>
        <w:jc w:val="center"/>
        <w:rPr>
          <w:rFonts w:hint="eastAsia" w:ascii="宋体" w:hAnsi="宋体" w:cs="宋体"/>
          <w:color w:val="auto"/>
          <w:highlight w:val="none"/>
        </w:rPr>
      </w:pPr>
    </w:p>
    <w:p>
      <w:pPr>
        <w:pStyle w:val="6"/>
        <w:jc w:val="center"/>
        <w:rPr>
          <w:rFonts w:ascii="宋体" w:cs="宋体"/>
          <w:color w:val="auto"/>
          <w:highlight w:val="none"/>
        </w:rPr>
      </w:pPr>
      <w:bookmarkStart w:id="110" w:name="_Toc21644"/>
      <w:r>
        <w:rPr>
          <w:rFonts w:hint="eastAsia" w:ascii="宋体" w:hAnsi="宋体" w:cs="宋体"/>
          <w:color w:val="auto"/>
          <w:highlight w:val="none"/>
        </w:rPr>
        <w:t>第六章</w:t>
      </w:r>
      <w:r>
        <w:rPr>
          <w:rFonts w:ascii="宋体" w:hAnsi="宋体" w:cs="宋体"/>
          <w:color w:val="auto"/>
          <w:highlight w:val="none"/>
        </w:rPr>
        <w:t xml:space="preserve">  </w:t>
      </w:r>
      <w:r>
        <w:rPr>
          <w:rFonts w:hint="eastAsia" w:ascii="宋体" w:hAnsi="宋体" w:cs="宋体"/>
          <w:color w:val="auto"/>
          <w:highlight w:val="none"/>
        </w:rPr>
        <w:t>响应文件格式</w:t>
      </w:r>
      <w:bookmarkEnd w:id="109"/>
      <w:bookmarkEnd w:id="110"/>
    </w:p>
    <w:p>
      <w:pPr>
        <w:spacing w:line="360" w:lineRule="exact"/>
        <w:rPr>
          <w:rFonts w:ascii="宋体" w:cs="宋体"/>
          <w:color w:val="auto"/>
          <w:szCs w:val="21"/>
          <w:highlight w:val="none"/>
        </w:rPr>
      </w:pPr>
    </w:p>
    <w:p>
      <w:pPr>
        <w:spacing w:line="360" w:lineRule="exact"/>
        <w:jc w:val="center"/>
        <w:rPr>
          <w:rFonts w:ascii="宋体" w:cs="宋体"/>
          <w:color w:val="auto"/>
          <w:szCs w:val="21"/>
          <w:highlight w:val="none"/>
        </w:rPr>
      </w:pPr>
      <w:r>
        <w:rPr>
          <w:rFonts w:ascii="宋体" w:hAnsi="宋体" w:cs="宋体"/>
          <w:color w:val="auto"/>
          <w:szCs w:val="21"/>
          <w:highlight w:val="none"/>
        </w:rPr>
        <w:t xml:space="preserve">                                                                     </w:t>
      </w:r>
    </w:p>
    <w:p>
      <w:pPr>
        <w:spacing w:line="360" w:lineRule="exact"/>
        <w:ind w:right="420"/>
        <w:outlineLvl w:val="0"/>
        <w:rPr>
          <w:rFonts w:ascii="宋体" w:cs="宋体"/>
          <w:color w:val="auto"/>
          <w:szCs w:val="21"/>
          <w:highlight w:val="none"/>
        </w:rPr>
      </w:pPr>
    </w:p>
    <w:p>
      <w:pPr>
        <w:spacing w:line="360" w:lineRule="exact"/>
        <w:ind w:right="315"/>
        <w:outlineLvl w:val="0"/>
        <w:rPr>
          <w:rFonts w:ascii="宋体" w:cs="宋体"/>
          <w:color w:val="auto"/>
          <w:szCs w:val="21"/>
          <w:highlight w:val="none"/>
        </w:rPr>
      </w:pPr>
    </w:p>
    <w:p>
      <w:pPr>
        <w:spacing w:line="360" w:lineRule="exact"/>
        <w:rPr>
          <w:rFonts w:ascii="宋体" w:cs="宋体"/>
          <w:b/>
          <w:color w:val="auto"/>
          <w:sz w:val="44"/>
          <w:szCs w:val="44"/>
          <w:highlight w:val="none"/>
        </w:rPr>
      </w:pPr>
    </w:p>
    <w:p>
      <w:pPr>
        <w:spacing w:line="360" w:lineRule="exact"/>
        <w:jc w:val="center"/>
        <w:rPr>
          <w:rFonts w:hint="eastAsia" w:ascii="宋体" w:hAnsi="宋体" w:eastAsia="宋体" w:cs="宋体"/>
          <w:b/>
          <w:color w:val="auto"/>
          <w:kern w:val="2"/>
          <w:sz w:val="36"/>
          <w:szCs w:val="36"/>
          <w:highlight w:val="none"/>
          <w:u w:val="none"/>
          <w:lang w:val="en-US" w:eastAsia="zh-CN" w:bidi="ar-SA"/>
        </w:rPr>
      </w:pPr>
      <w:r>
        <w:rPr>
          <w:rFonts w:hint="eastAsia" w:ascii="宋体" w:hAnsi="宋体" w:cs="宋体"/>
          <w:b/>
          <w:color w:val="auto"/>
          <w:sz w:val="36"/>
          <w:szCs w:val="36"/>
          <w:highlight w:val="none"/>
          <w:u w:val="single"/>
          <w:lang w:val="en-US" w:eastAsia="zh-CN"/>
        </w:rPr>
        <w:t>温县施工图审查政府购买服务项目（三包）二次</w:t>
      </w:r>
      <w:r>
        <w:rPr>
          <w:rFonts w:hint="eastAsia" w:ascii="宋体" w:hAnsi="宋体" w:eastAsia="宋体" w:cs="宋体"/>
          <w:b/>
          <w:color w:val="auto"/>
          <w:kern w:val="2"/>
          <w:sz w:val="36"/>
          <w:szCs w:val="36"/>
          <w:highlight w:val="none"/>
          <w:u w:val="none"/>
          <w:lang w:val="en-US" w:eastAsia="zh-CN" w:bidi="ar-SA"/>
        </w:rPr>
        <w:t>(项目名称）</w:t>
      </w:r>
    </w:p>
    <w:p>
      <w:pPr>
        <w:spacing w:line="480" w:lineRule="exact"/>
        <w:jc w:val="center"/>
        <w:rPr>
          <w:rFonts w:hint="eastAsia" w:ascii="宋体" w:hAnsi="宋体" w:cs="宋体"/>
          <w:b/>
          <w:color w:val="auto"/>
          <w:sz w:val="44"/>
          <w:szCs w:val="44"/>
          <w:highlight w:val="none"/>
        </w:rPr>
      </w:pPr>
    </w:p>
    <w:p>
      <w:pPr>
        <w:spacing w:line="480" w:lineRule="exact"/>
        <w:jc w:val="center"/>
        <w:rPr>
          <w:rFonts w:ascii="宋体" w:cs="宋体"/>
          <w:b/>
          <w:color w:val="auto"/>
          <w:sz w:val="44"/>
          <w:szCs w:val="44"/>
          <w:highlight w:val="none"/>
        </w:rPr>
      </w:pPr>
      <w:r>
        <w:rPr>
          <w:rFonts w:hint="eastAsia" w:ascii="宋体" w:hAnsi="宋体" w:cs="宋体"/>
          <w:b/>
          <w:color w:val="auto"/>
          <w:sz w:val="44"/>
          <w:szCs w:val="44"/>
          <w:highlight w:val="none"/>
        </w:rPr>
        <w:t>（参考格式）</w:t>
      </w:r>
    </w:p>
    <w:p>
      <w:pPr>
        <w:spacing w:line="480" w:lineRule="exact"/>
        <w:rPr>
          <w:rFonts w:ascii="宋体" w:cs="宋体"/>
          <w:b/>
          <w:color w:val="auto"/>
          <w:sz w:val="44"/>
          <w:szCs w:val="44"/>
          <w:highlight w:val="none"/>
        </w:rPr>
      </w:pPr>
    </w:p>
    <w:p>
      <w:pPr>
        <w:spacing w:line="480" w:lineRule="exact"/>
        <w:jc w:val="center"/>
        <w:rPr>
          <w:rFonts w:ascii="宋体" w:cs="宋体"/>
          <w:b/>
          <w:color w:val="auto"/>
          <w:sz w:val="44"/>
          <w:szCs w:val="44"/>
          <w:highlight w:val="none"/>
        </w:rPr>
      </w:pPr>
      <w:r>
        <w:rPr>
          <w:rFonts w:hint="eastAsia" w:ascii="宋体" w:hAnsi="宋体" w:cs="宋体"/>
          <w:b/>
          <w:color w:val="auto"/>
          <w:sz w:val="44"/>
          <w:szCs w:val="44"/>
          <w:highlight w:val="none"/>
        </w:rPr>
        <w:t>响</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应</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文</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件</w:t>
      </w:r>
    </w:p>
    <w:p>
      <w:pPr>
        <w:spacing w:line="480" w:lineRule="exact"/>
        <w:jc w:val="center"/>
        <w:rPr>
          <w:rFonts w:ascii="宋体" w:cs="宋体"/>
          <w:b/>
          <w:color w:val="auto"/>
          <w:sz w:val="44"/>
          <w:szCs w:val="44"/>
          <w:highlight w:val="none"/>
        </w:rPr>
      </w:pPr>
    </w:p>
    <w:p>
      <w:pPr>
        <w:spacing w:line="480" w:lineRule="exact"/>
        <w:jc w:val="center"/>
        <w:rPr>
          <w:rFonts w:ascii="宋体" w:cs="宋体"/>
          <w:color w:val="auto"/>
          <w:szCs w:val="21"/>
          <w:highlight w:val="none"/>
        </w:rPr>
      </w:pPr>
      <w:r>
        <w:rPr>
          <w:rFonts w:hint="eastAsia" w:ascii="宋体" w:hAnsi="宋体" w:cs="宋体"/>
          <w:color w:val="auto"/>
          <w:szCs w:val="21"/>
          <w:highlight w:val="none"/>
        </w:rPr>
        <w:t>项目编号：温交易</w:t>
      </w:r>
      <w:r>
        <w:rPr>
          <w:rFonts w:ascii="宋体" w:hAnsi="宋体" w:cs="宋体"/>
          <w:color w:val="auto"/>
          <w:szCs w:val="21"/>
          <w:highlight w:val="none"/>
        </w:rPr>
        <w:t>[20</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ascii="宋体" w:hAnsi="宋体" w:cs="宋体"/>
          <w:color w:val="auto"/>
          <w:szCs w:val="21"/>
          <w:highlight w:val="none"/>
        </w:rPr>
        <w:t xml:space="preserve">]   </w:t>
      </w:r>
      <w:r>
        <w:rPr>
          <w:rFonts w:hint="eastAsia" w:ascii="宋体" w:hAnsi="宋体" w:cs="宋体"/>
          <w:color w:val="auto"/>
          <w:szCs w:val="21"/>
          <w:highlight w:val="none"/>
        </w:rPr>
        <w:t>号</w:t>
      </w:r>
    </w:p>
    <w:p>
      <w:pPr>
        <w:spacing w:line="480" w:lineRule="exact"/>
        <w:jc w:val="center"/>
        <w:rPr>
          <w:rFonts w:ascii="宋体" w:cs="宋体"/>
          <w:color w:val="auto"/>
          <w:szCs w:val="21"/>
          <w:highlight w:val="none"/>
        </w:rPr>
      </w:pPr>
      <w:r>
        <w:rPr>
          <w:rFonts w:hint="eastAsia" w:ascii="宋体" w:hAnsi="宋体" w:cs="宋体"/>
          <w:color w:val="auto"/>
          <w:szCs w:val="21"/>
          <w:highlight w:val="none"/>
        </w:rPr>
        <w:t>采购编号：温政采</w:t>
      </w:r>
      <w:r>
        <w:rPr>
          <w:rFonts w:ascii="宋体" w:hAnsi="宋体" w:cs="宋体"/>
          <w:color w:val="auto"/>
          <w:szCs w:val="21"/>
          <w:highlight w:val="none"/>
        </w:rPr>
        <w:t>[20</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ascii="宋体" w:hAnsi="宋体" w:cs="宋体"/>
          <w:color w:val="auto"/>
          <w:szCs w:val="21"/>
          <w:highlight w:val="none"/>
        </w:rPr>
        <w:t xml:space="preserve">]   </w:t>
      </w:r>
      <w:r>
        <w:rPr>
          <w:rFonts w:hint="eastAsia" w:ascii="宋体" w:hAnsi="宋体" w:cs="宋体"/>
          <w:color w:val="auto"/>
          <w:szCs w:val="21"/>
          <w:highlight w:val="none"/>
        </w:rPr>
        <w:t>号</w:t>
      </w:r>
    </w:p>
    <w:p>
      <w:pPr>
        <w:spacing w:line="480" w:lineRule="exact"/>
        <w:jc w:val="center"/>
        <w:rPr>
          <w:rFonts w:ascii="宋体" w:cs="宋体"/>
          <w:color w:val="auto"/>
          <w:szCs w:val="21"/>
          <w:highlight w:val="none"/>
        </w:rPr>
      </w:pPr>
      <w:r>
        <w:rPr>
          <w:rFonts w:ascii="宋体" w:hAnsi="宋体" w:cs="宋体"/>
          <w:color w:val="auto"/>
          <w:szCs w:val="21"/>
          <w:highlight w:val="none"/>
        </w:rPr>
        <w:t xml:space="preserve">          </w:t>
      </w:r>
    </w:p>
    <w:p>
      <w:pPr>
        <w:spacing w:line="480" w:lineRule="exact"/>
        <w:rPr>
          <w:rFonts w:ascii="宋体" w:cs="宋体"/>
          <w:color w:val="auto"/>
          <w:szCs w:val="21"/>
          <w:highlight w:val="none"/>
        </w:rPr>
      </w:pPr>
    </w:p>
    <w:p>
      <w:pPr>
        <w:spacing w:line="48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outlineLvl w:val="0"/>
        <w:rPr>
          <w:rFonts w:ascii="宋体" w:cs="宋体"/>
          <w:color w:val="auto"/>
          <w:szCs w:val="21"/>
          <w:highlight w:val="none"/>
        </w:rPr>
      </w:pPr>
    </w:p>
    <w:p>
      <w:pPr>
        <w:spacing w:line="360" w:lineRule="exact"/>
        <w:outlineLvl w:val="0"/>
        <w:rPr>
          <w:rFonts w:ascii="宋体" w:cs="宋体"/>
          <w:color w:val="auto"/>
          <w:szCs w:val="21"/>
          <w:highlight w:val="none"/>
        </w:rPr>
      </w:pPr>
    </w:p>
    <w:p>
      <w:pPr>
        <w:spacing w:line="480" w:lineRule="exact"/>
        <w:rPr>
          <w:rFonts w:ascii="宋体" w:cs="宋体"/>
          <w:b/>
          <w:color w:val="auto"/>
          <w:sz w:val="28"/>
          <w:szCs w:val="28"/>
          <w:highlight w:val="none"/>
        </w:rPr>
      </w:pP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供应商：</w:t>
      </w:r>
      <w:r>
        <w:rPr>
          <w:rFonts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rPr>
        <w:t>单位全称（加盖单位公章）</w:t>
      </w:r>
    </w:p>
    <w:p>
      <w:pPr>
        <w:spacing w:line="480" w:lineRule="exact"/>
        <w:ind w:firstLine="1397" w:firstLineChars="497"/>
        <w:rPr>
          <w:rFonts w:ascii="宋体" w:cs="宋体"/>
          <w:b/>
          <w:color w:val="auto"/>
          <w:sz w:val="28"/>
          <w:szCs w:val="28"/>
          <w:highlight w:val="none"/>
          <w:u w:val="single"/>
        </w:rPr>
      </w:pP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法定代表人或授权代理人：</w:t>
      </w:r>
      <w:r>
        <w:rPr>
          <w:rFonts w:hint="eastAsia" w:ascii="宋体" w:hAnsi="宋体" w:cs="宋体"/>
          <w:b/>
          <w:color w:val="auto"/>
          <w:sz w:val="28"/>
          <w:szCs w:val="28"/>
          <w:highlight w:val="none"/>
          <w:u w:val="single"/>
        </w:rPr>
        <w:t>（签字或加盖印鉴）</w:t>
      </w:r>
    </w:p>
    <w:p>
      <w:pPr>
        <w:spacing w:line="480" w:lineRule="exact"/>
        <w:jc w:val="center"/>
        <w:rPr>
          <w:rFonts w:ascii="宋体" w:cs="宋体"/>
          <w:b/>
          <w:color w:val="auto"/>
          <w:sz w:val="32"/>
          <w:szCs w:val="32"/>
          <w:highlight w:val="none"/>
        </w:rPr>
      </w:pPr>
      <w:r>
        <w:rPr>
          <w:rFonts w:hint="eastAsia" w:ascii="宋体" w:hAnsi="宋体" w:cs="宋体"/>
          <w:b/>
          <w:color w:val="auto"/>
          <w:sz w:val="28"/>
          <w:szCs w:val="28"/>
          <w:highlight w:val="none"/>
        </w:rPr>
        <w:t>年</w:t>
      </w: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月</w:t>
      </w: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日</w:t>
      </w:r>
    </w:p>
    <w:p>
      <w:pPr>
        <w:spacing w:line="360" w:lineRule="exact"/>
        <w:jc w:val="center"/>
        <w:rPr>
          <w:rFonts w:ascii="宋体" w:cs="宋体"/>
          <w:b/>
          <w:color w:val="auto"/>
          <w:sz w:val="32"/>
          <w:szCs w:val="32"/>
          <w:highlight w:val="none"/>
        </w:rPr>
      </w:pPr>
      <w:r>
        <w:rPr>
          <w:rFonts w:ascii="宋体" w:cs="宋体"/>
          <w:b/>
          <w:color w:val="auto"/>
          <w:sz w:val="32"/>
          <w:szCs w:val="32"/>
          <w:highlight w:val="none"/>
        </w:rPr>
        <w:br w:type="page"/>
      </w:r>
    </w:p>
    <w:p>
      <w:pPr>
        <w:spacing w:line="360" w:lineRule="exact"/>
        <w:jc w:val="center"/>
        <w:rPr>
          <w:rFonts w:ascii="宋体" w:cs="宋体"/>
          <w:b/>
          <w:color w:val="auto"/>
          <w:sz w:val="32"/>
          <w:szCs w:val="32"/>
          <w:highlight w:val="none"/>
        </w:rPr>
      </w:pPr>
      <w:r>
        <w:rPr>
          <w:rFonts w:hint="eastAsia" w:ascii="宋体" w:hAnsi="宋体" w:cs="宋体"/>
          <w:b/>
          <w:color w:val="auto"/>
          <w:sz w:val="32"/>
          <w:szCs w:val="32"/>
          <w:highlight w:val="none"/>
        </w:rPr>
        <w:t>目</w:t>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录</w:t>
      </w:r>
    </w:p>
    <w:p>
      <w:pPr>
        <w:spacing w:line="360" w:lineRule="exact"/>
        <w:jc w:val="center"/>
        <w:rPr>
          <w:rFonts w:ascii="宋体" w:cs="宋体"/>
          <w:color w:val="auto"/>
          <w:sz w:val="28"/>
          <w:szCs w:val="28"/>
          <w:highlight w:val="none"/>
        </w:rPr>
      </w:pPr>
    </w:p>
    <w:p>
      <w:pPr>
        <w:spacing w:line="360" w:lineRule="exact"/>
        <w:jc w:val="center"/>
        <w:rPr>
          <w:rFonts w:ascii="宋体" w:cs="宋体"/>
          <w:b/>
          <w:color w:val="auto"/>
          <w:sz w:val="28"/>
          <w:szCs w:val="28"/>
          <w:highlight w:val="none"/>
        </w:rPr>
      </w:pPr>
      <w:r>
        <w:rPr>
          <w:rFonts w:hint="eastAsia" w:ascii="宋体" w:hAnsi="宋体" w:cs="宋体"/>
          <w:color w:val="auto"/>
          <w:sz w:val="28"/>
          <w:szCs w:val="28"/>
          <w:highlight w:val="none"/>
        </w:rPr>
        <w:t>（建议按照竞争性磋商文件《参考格式》顺序编写）</w:t>
      </w: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一、磋商函及磋商函附录</w:t>
      </w:r>
      <w:r>
        <w:rPr>
          <w:rFonts w:ascii="宋体" w:cs="宋体"/>
          <w:color w:val="auto"/>
          <w:szCs w:val="21"/>
          <w:highlight w:val="none"/>
        </w:rPr>
        <w:tab/>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rPr>
        <w:t>（一）磋商函</w:t>
      </w:r>
      <w:r>
        <w:rPr>
          <w:rFonts w:ascii="宋体" w:cs="宋体"/>
          <w:color w:val="auto"/>
          <w:szCs w:val="21"/>
          <w:highlight w:val="none"/>
        </w:rPr>
        <w:tab/>
      </w:r>
    </w:p>
    <w:p>
      <w:pPr>
        <w:spacing w:line="600" w:lineRule="exact"/>
        <w:ind w:firstLine="1058" w:firstLineChars="504"/>
        <w:rPr>
          <w:rFonts w:hint="eastAsia" w:ascii="宋体" w:hAnsi="宋体" w:eastAsia="宋体" w:cs="宋体"/>
          <w:color w:val="FF0000"/>
          <w:szCs w:val="21"/>
          <w:highlight w:val="none"/>
          <w:lang w:eastAsia="zh-CN"/>
        </w:rPr>
      </w:pPr>
      <w:r>
        <w:rPr>
          <w:rFonts w:hint="eastAsia" w:ascii="宋体" w:hAnsi="宋体" w:cs="宋体"/>
          <w:color w:val="auto"/>
          <w:szCs w:val="21"/>
          <w:highlight w:val="none"/>
        </w:rPr>
        <w:t>（二）磋商函附录</w:t>
      </w:r>
    </w:p>
    <w:p>
      <w:pPr>
        <w:spacing w:line="600" w:lineRule="exact"/>
        <w:ind w:firstLine="1050" w:firstLineChars="50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二</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声明函</w:t>
      </w:r>
    </w:p>
    <w:p>
      <w:pPr>
        <w:spacing w:line="600" w:lineRule="exact"/>
        <w:ind w:firstLine="1050" w:firstLineChars="50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三、</w:t>
      </w:r>
      <w:r>
        <w:rPr>
          <w:rFonts w:hint="eastAsia" w:ascii="宋体" w:hAnsi="宋体" w:eastAsia="宋体" w:cs="宋体"/>
          <w:color w:val="auto"/>
          <w:szCs w:val="21"/>
          <w:highlight w:val="none"/>
          <w:lang w:eastAsia="zh-CN"/>
        </w:rPr>
        <w:t>技术及综合部分</w:t>
      </w:r>
    </w:p>
    <w:p>
      <w:pPr>
        <w:spacing w:line="600" w:lineRule="exact"/>
        <w:ind w:firstLine="1050" w:firstLineChars="5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履约承诺函</w:t>
      </w:r>
    </w:p>
    <w:p>
      <w:pPr>
        <w:spacing w:line="600" w:lineRule="exact"/>
        <w:ind w:firstLine="1050" w:firstLineChars="500"/>
        <w:rPr>
          <w:rFonts w:ascii="宋体" w:hAnsi="宋体" w:cs="宋体"/>
          <w:color w:val="auto"/>
          <w:szCs w:val="21"/>
          <w:highlight w:val="none"/>
        </w:rPr>
      </w:pPr>
      <w:r>
        <w:rPr>
          <w:rFonts w:hint="eastAsia" w:ascii="宋体" w:hAnsi="宋体" w:cs="宋体"/>
          <w:color w:val="auto"/>
          <w:szCs w:val="21"/>
          <w:highlight w:val="none"/>
          <w:lang w:val="en-US" w:eastAsia="zh-CN"/>
        </w:rPr>
        <w:t>五、</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法定代表人（</w:t>
      </w:r>
      <w:r>
        <w:rPr>
          <w:rFonts w:hint="eastAsia" w:ascii="宋体" w:hAnsi="宋体" w:cs="宋体"/>
          <w:color w:val="auto"/>
          <w:szCs w:val="21"/>
          <w:highlight w:val="none"/>
        </w:rPr>
        <w:t>负责人）身份证明</w:t>
      </w:r>
    </w:p>
    <w:p>
      <w:pPr>
        <w:spacing w:line="600" w:lineRule="exact"/>
        <w:ind w:firstLine="1470" w:firstLineChars="700"/>
        <w:rPr>
          <w:rFonts w:asci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授权委托书</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六</w:t>
      </w:r>
      <w:r>
        <w:rPr>
          <w:rFonts w:hint="eastAsia" w:ascii="宋体" w:hAnsi="宋体" w:cs="宋体"/>
          <w:color w:val="auto"/>
          <w:szCs w:val="21"/>
          <w:highlight w:val="none"/>
        </w:rPr>
        <w:t>、供应商基本情况表</w:t>
      </w:r>
      <w:r>
        <w:rPr>
          <w:rFonts w:ascii="宋体" w:cs="宋体"/>
          <w:color w:val="auto"/>
          <w:szCs w:val="21"/>
          <w:highlight w:val="none"/>
        </w:rPr>
        <w:tab/>
      </w:r>
    </w:p>
    <w:p>
      <w:pPr>
        <w:spacing w:line="600" w:lineRule="exact"/>
        <w:ind w:firstLine="1058" w:firstLineChars="504"/>
        <w:rPr>
          <w:rFonts w:hint="eastAsia" w:ascii="宋体" w:cs="宋体"/>
          <w:color w:val="auto"/>
          <w:szCs w:val="21"/>
          <w:highlight w:val="none"/>
          <w:lang w:eastAsia="zh-CN"/>
        </w:rPr>
      </w:pPr>
      <w:r>
        <w:rPr>
          <w:rFonts w:hint="eastAsia" w:ascii="宋体" w:cs="宋体"/>
          <w:color w:val="auto"/>
          <w:szCs w:val="21"/>
          <w:highlight w:val="none"/>
          <w:lang w:eastAsia="zh-CN"/>
        </w:rPr>
        <w:t>七、（</w:t>
      </w:r>
      <w:r>
        <w:rPr>
          <w:rFonts w:hint="eastAsia" w:ascii="宋体" w:cs="宋体"/>
          <w:color w:val="auto"/>
          <w:szCs w:val="21"/>
          <w:highlight w:val="none"/>
          <w:lang w:val="en-US" w:eastAsia="zh-CN"/>
        </w:rPr>
        <w:t>1）</w:t>
      </w:r>
      <w:r>
        <w:rPr>
          <w:rFonts w:hint="eastAsia" w:ascii="宋体" w:cs="宋体"/>
          <w:color w:val="auto"/>
          <w:szCs w:val="21"/>
          <w:highlight w:val="none"/>
          <w:lang w:eastAsia="zh-CN"/>
        </w:rPr>
        <w:t>项目负责人基本情况表</w:t>
      </w:r>
    </w:p>
    <w:p>
      <w:pPr>
        <w:pStyle w:val="37"/>
        <w:ind w:firstLine="1470" w:firstLineChars="700"/>
        <w:rPr>
          <w:rFonts w:hint="default"/>
          <w:sz w:val="21"/>
          <w:szCs w:val="21"/>
          <w:lang w:val="en-US" w:eastAsia="zh-CN"/>
        </w:rPr>
      </w:pPr>
      <w:r>
        <w:rPr>
          <w:rFonts w:hint="eastAsia" w:ascii="宋体" w:cs="宋体"/>
          <w:color w:val="auto"/>
          <w:sz w:val="21"/>
          <w:szCs w:val="21"/>
          <w:highlight w:val="none"/>
          <w:lang w:eastAsia="zh-CN"/>
        </w:rPr>
        <w:t>（</w:t>
      </w:r>
      <w:r>
        <w:rPr>
          <w:rFonts w:hint="eastAsia" w:ascii="宋体" w:cs="宋体"/>
          <w:color w:val="auto"/>
          <w:sz w:val="21"/>
          <w:szCs w:val="21"/>
          <w:highlight w:val="none"/>
          <w:lang w:val="en-US" w:eastAsia="zh-CN"/>
        </w:rPr>
        <w:t>2）拟投入本项目其他人员表</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cs="宋体"/>
          <w:color w:val="auto"/>
          <w:szCs w:val="21"/>
          <w:highlight w:val="none"/>
          <w:lang w:eastAsia="zh-CN"/>
        </w:rPr>
        <w:t>八</w:t>
      </w:r>
      <w:r>
        <w:rPr>
          <w:rFonts w:hint="eastAsia" w:ascii="宋体" w:hAnsi="宋体" w:cs="宋体"/>
          <w:color w:val="auto"/>
          <w:szCs w:val="21"/>
          <w:highlight w:val="none"/>
        </w:rPr>
        <w:t>、</w:t>
      </w:r>
      <w:r>
        <w:rPr>
          <w:rFonts w:hint="eastAsia" w:ascii="宋体" w:hAnsi="宋体" w:cs="宋体"/>
          <w:color w:val="auto"/>
          <w:szCs w:val="21"/>
          <w:highlight w:val="none"/>
          <w:lang w:eastAsia="zh-CN"/>
        </w:rPr>
        <w:t>企业</w:t>
      </w:r>
      <w:r>
        <w:rPr>
          <w:rFonts w:hint="eastAsia" w:ascii="宋体" w:cs="宋体"/>
          <w:color w:val="auto"/>
          <w:szCs w:val="21"/>
          <w:highlight w:val="none"/>
          <w:lang w:eastAsia="zh-CN"/>
        </w:rPr>
        <w:t>业绩（如有）</w:t>
      </w:r>
    </w:p>
    <w:p>
      <w:pPr>
        <w:spacing w:line="600" w:lineRule="exact"/>
        <w:ind w:firstLine="1058" w:firstLineChars="504"/>
        <w:rPr>
          <w:rFonts w:ascii="宋体" w:cs="宋体"/>
          <w:color w:val="auto"/>
          <w:szCs w:val="21"/>
          <w:highlight w:val="none"/>
        </w:rPr>
      </w:pPr>
      <w:r>
        <w:rPr>
          <w:rFonts w:hint="eastAsia" w:ascii="宋体" w:cs="宋体"/>
          <w:color w:val="auto"/>
          <w:szCs w:val="21"/>
          <w:highlight w:val="none"/>
          <w:lang w:eastAsia="zh-CN"/>
        </w:rPr>
        <w:t>九、服务承诺及优惠条件</w:t>
      </w:r>
    </w:p>
    <w:p>
      <w:pPr>
        <w:spacing w:line="600" w:lineRule="exact"/>
        <w:ind w:firstLine="1058" w:firstLineChars="504"/>
        <w:rPr>
          <w:rFonts w:ascii="宋体" w:cs="宋体"/>
          <w:color w:val="auto"/>
          <w:szCs w:val="21"/>
          <w:highlight w:val="none"/>
        </w:rPr>
      </w:pPr>
      <w:r>
        <w:rPr>
          <w:rFonts w:hint="eastAsia" w:ascii="宋体" w:cs="宋体"/>
          <w:color w:val="auto"/>
          <w:szCs w:val="21"/>
          <w:highlight w:val="none"/>
          <w:lang w:eastAsia="zh-CN"/>
        </w:rPr>
        <w:t>十</w:t>
      </w:r>
      <w:r>
        <w:rPr>
          <w:rFonts w:hint="eastAsia" w:ascii="宋体" w:cs="宋体"/>
          <w:color w:val="auto"/>
          <w:szCs w:val="21"/>
          <w:highlight w:val="none"/>
        </w:rPr>
        <w:t>、</w:t>
      </w:r>
      <w:r>
        <w:rPr>
          <w:rFonts w:hint="eastAsia" w:ascii="宋体" w:hAnsi="宋体" w:cs="宋体"/>
          <w:color w:val="auto"/>
          <w:szCs w:val="21"/>
          <w:highlight w:val="none"/>
        </w:rPr>
        <w:t>反商业贿赂承诺书</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十一</w:t>
      </w:r>
      <w:r>
        <w:rPr>
          <w:rFonts w:hint="eastAsia" w:ascii="宋体" w:hAnsi="宋体" w:cs="宋体"/>
          <w:color w:val="auto"/>
          <w:szCs w:val="21"/>
          <w:highlight w:val="none"/>
        </w:rPr>
        <w:t>、无行贿承诺书格式</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十二</w:t>
      </w:r>
      <w:r>
        <w:rPr>
          <w:rFonts w:hint="eastAsia" w:ascii="宋体" w:hAnsi="宋体" w:cs="宋体"/>
          <w:color w:val="auto"/>
          <w:szCs w:val="21"/>
          <w:highlight w:val="none"/>
        </w:rPr>
        <w:t>、资</w:t>
      </w:r>
      <w:r>
        <w:rPr>
          <w:rFonts w:ascii="宋体" w:hAnsi="宋体" w:cs="宋体"/>
          <w:color w:val="auto"/>
          <w:szCs w:val="21"/>
          <w:highlight w:val="none"/>
        </w:rPr>
        <w:t xml:space="preserve"> </w:t>
      </w:r>
      <w:r>
        <w:rPr>
          <w:rFonts w:hint="eastAsia" w:ascii="宋体" w:hAnsi="宋体" w:cs="宋体"/>
          <w:color w:val="auto"/>
          <w:szCs w:val="21"/>
          <w:highlight w:val="none"/>
        </w:rPr>
        <w:t>格</w:t>
      </w:r>
      <w:r>
        <w:rPr>
          <w:rFonts w:ascii="宋体" w:hAnsi="宋体" w:cs="宋体"/>
          <w:color w:val="auto"/>
          <w:szCs w:val="21"/>
          <w:highlight w:val="none"/>
        </w:rPr>
        <w:t xml:space="preserve"> </w:t>
      </w:r>
      <w:r>
        <w:rPr>
          <w:rFonts w:hint="eastAsia" w:ascii="宋体" w:hAnsi="宋体" w:cs="宋体"/>
          <w:color w:val="auto"/>
          <w:szCs w:val="21"/>
          <w:highlight w:val="none"/>
        </w:rPr>
        <w:t>证</w:t>
      </w:r>
      <w:r>
        <w:rPr>
          <w:rFonts w:ascii="宋体" w:hAnsi="宋体" w:cs="宋体"/>
          <w:color w:val="auto"/>
          <w:szCs w:val="21"/>
          <w:highlight w:val="none"/>
        </w:rPr>
        <w:t xml:space="preserve"> </w:t>
      </w:r>
      <w:r>
        <w:rPr>
          <w:rFonts w:hint="eastAsia" w:ascii="宋体" w:hAnsi="宋体" w:cs="宋体"/>
          <w:color w:val="auto"/>
          <w:szCs w:val="21"/>
          <w:highlight w:val="none"/>
        </w:rPr>
        <w:t>明</w:t>
      </w:r>
      <w:r>
        <w:rPr>
          <w:rFonts w:ascii="宋体" w:hAnsi="宋体" w:cs="宋体"/>
          <w:color w:val="auto"/>
          <w:szCs w:val="21"/>
          <w:highlight w:val="none"/>
        </w:rPr>
        <w:t xml:space="preserve"> </w:t>
      </w:r>
      <w:r>
        <w:rPr>
          <w:rFonts w:hint="eastAsia" w:ascii="宋体" w:hAnsi="宋体" w:cs="宋体"/>
          <w:color w:val="auto"/>
          <w:szCs w:val="21"/>
          <w:highlight w:val="none"/>
        </w:rPr>
        <w:t>文</w:t>
      </w:r>
      <w:r>
        <w:rPr>
          <w:rFonts w:ascii="宋体" w:hAnsi="宋体" w:cs="宋体"/>
          <w:color w:val="auto"/>
          <w:szCs w:val="21"/>
          <w:highlight w:val="none"/>
        </w:rPr>
        <w:t xml:space="preserve"> </w:t>
      </w:r>
      <w:r>
        <w:rPr>
          <w:rFonts w:hint="eastAsia" w:ascii="宋体" w:hAnsi="宋体" w:cs="宋体"/>
          <w:color w:val="auto"/>
          <w:szCs w:val="21"/>
          <w:highlight w:val="none"/>
        </w:rPr>
        <w:t>件</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三</w:t>
      </w:r>
      <w:r>
        <w:rPr>
          <w:rFonts w:hint="eastAsia" w:ascii="宋体" w:hAnsi="宋体" w:cs="宋体"/>
          <w:color w:val="auto"/>
          <w:szCs w:val="21"/>
          <w:highlight w:val="none"/>
        </w:rPr>
        <w:t>、中小企业声明函</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四</w:t>
      </w:r>
      <w:r>
        <w:rPr>
          <w:rFonts w:hint="eastAsia" w:ascii="宋体" w:hAnsi="宋体" w:cs="宋体"/>
          <w:color w:val="auto"/>
          <w:szCs w:val="21"/>
          <w:highlight w:val="none"/>
        </w:rPr>
        <w:t>、投标承诺函</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五</w:t>
      </w:r>
      <w:r>
        <w:rPr>
          <w:rFonts w:hint="eastAsia" w:ascii="宋体" w:hAnsi="宋体" w:cs="宋体"/>
          <w:color w:val="auto"/>
          <w:szCs w:val="21"/>
          <w:highlight w:val="none"/>
        </w:rPr>
        <w:t>、温县政府采购供应商资格信用</w:t>
      </w:r>
      <w:r>
        <w:rPr>
          <w:rFonts w:hint="eastAsia" w:ascii="宋体" w:hAnsi="宋体" w:cs="宋体"/>
          <w:color w:val="auto"/>
          <w:szCs w:val="21"/>
          <w:highlight w:val="none"/>
          <w:lang w:eastAsia="zh-CN"/>
        </w:rPr>
        <w:t>承诺函</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六</w:t>
      </w:r>
      <w:r>
        <w:rPr>
          <w:rFonts w:hint="eastAsia" w:ascii="宋体" w:hAnsi="宋体" w:cs="宋体"/>
          <w:color w:val="auto"/>
          <w:szCs w:val="21"/>
          <w:highlight w:val="none"/>
        </w:rPr>
        <w:t>、供应商认为需要复印的其它材料</w:t>
      </w:r>
    </w:p>
    <w:p>
      <w:pPr>
        <w:pStyle w:val="25"/>
        <w:jc w:val="center"/>
        <w:rPr>
          <w:rFonts w:hint="eastAsia" w:ascii="宋体" w:hAnsi="宋体" w:cs="宋体"/>
          <w:color w:val="auto"/>
          <w:highlight w:val="none"/>
        </w:rPr>
      </w:pPr>
    </w:p>
    <w:p>
      <w:pPr>
        <w:pStyle w:val="25"/>
        <w:jc w:val="center"/>
        <w:rPr>
          <w:rFonts w:ascii="宋体" w:cs="宋体"/>
          <w:color w:val="auto"/>
          <w:highlight w:val="none"/>
        </w:rPr>
      </w:pPr>
      <w:bookmarkStart w:id="111" w:name="_Toc12352"/>
      <w:r>
        <w:rPr>
          <w:rFonts w:hint="eastAsia" w:ascii="宋体" w:hAnsi="宋体" w:cs="宋体"/>
          <w:color w:val="auto"/>
          <w:highlight w:val="none"/>
        </w:rPr>
        <w:t>一、磋商函及磋商函附录</w:t>
      </w:r>
      <w:bookmarkEnd w:id="111"/>
    </w:p>
    <w:p>
      <w:pPr>
        <w:pStyle w:val="25"/>
        <w:rPr>
          <w:rFonts w:hint="eastAsia" w:ascii="宋体" w:hAnsi="宋体" w:cs="宋体"/>
          <w:color w:val="auto"/>
          <w:highlight w:val="none"/>
        </w:rPr>
      </w:pPr>
      <w:bookmarkStart w:id="112" w:name="_Toc3837"/>
      <w:r>
        <w:rPr>
          <w:rFonts w:hint="eastAsia" w:ascii="宋体" w:hAnsi="宋体" w:cs="宋体"/>
          <w:color w:val="auto"/>
          <w:highlight w:val="none"/>
        </w:rPr>
        <w:t>（一）磋商函</w:t>
      </w:r>
      <w:bookmarkEnd w:id="112"/>
    </w:p>
    <w:p>
      <w:pPr>
        <w:spacing w:line="360" w:lineRule="exact"/>
        <w:outlineLvl w:val="1"/>
        <w:rPr>
          <w:rFonts w:ascii="宋体" w:cs="宋体"/>
          <w:color w:val="auto"/>
          <w:sz w:val="21"/>
          <w:szCs w:val="21"/>
          <w:highlight w:val="none"/>
        </w:rPr>
      </w:pPr>
    </w:p>
    <w:p>
      <w:pPr>
        <w:spacing w:line="520" w:lineRule="exact"/>
        <w:rPr>
          <w:rFonts w:ascii="宋体" w:cs="宋体"/>
          <w:color w:val="auto"/>
          <w:sz w:val="21"/>
          <w:szCs w:val="21"/>
          <w:highlight w:val="none"/>
          <w:u w:val="single"/>
        </w:rPr>
      </w:pPr>
      <w:r>
        <w:rPr>
          <w:rFonts w:hint="eastAsia" w:ascii="宋体" w:hAnsi="宋体" w:cs="宋体"/>
          <w:b/>
          <w:color w:val="auto"/>
          <w:sz w:val="21"/>
          <w:szCs w:val="21"/>
          <w:highlight w:val="none"/>
        </w:rPr>
        <w:t>致：</w:t>
      </w:r>
      <w:r>
        <w:rPr>
          <w:rFonts w:ascii="宋体" w:hAnsi="宋体" w:cs="宋体"/>
          <w:b/>
          <w:color w:val="auto"/>
          <w:sz w:val="21"/>
          <w:szCs w:val="21"/>
          <w:highlight w:val="none"/>
          <w:u w:val="single"/>
        </w:rPr>
        <w:t xml:space="preserve">  </w:t>
      </w:r>
      <w:r>
        <w:rPr>
          <w:rFonts w:ascii="宋体" w:hAnsi="宋体" w:cs="宋体"/>
          <w:color w:val="auto"/>
          <w:sz w:val="21"/>
          <w:szCs w:val="21"/>
          <w:highlight w:val="none"/>
          <w:u w:val="single"/>
        </w:rPr>
        <w:t xml:space="preserve">          </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（采购人名称）</w:t>
      </w:r>
    </w:p>
    <w:p>
      <w:pPr>
        <w:spacing w:line="520" w:lineRule="exact"/>
        <w:rPr>
          <w:rFonts w:ascii="宋体" w:cs="宋体"/>
          <w:color w:val="auto"/>
          <w:sz w:val="21"/>
          <w:szCs w:val="21"/>
          <w:highlight w:val="non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根据贵方</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（项目名称）磋商文件之投标邀请，签字代表：</w:t>
      </w:r>
      <w:r>
        <w:rPr>
          <w:rFonts w:hint="eastAsia" w:ascii="宋体" w:hAnsi="宋体" w:cs="宋体"/>
          <w:color w:val="auto"/>
          <w:sz w:val="21"/>
          <w:szCs w:val="21"/>
          <w:highlight w:val="none"/>
          <w:u w:val="single"/>
        </w:rPr>
        <w:t>（法定代表人或委托人）</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正式授权并代表供应商</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（单位名称、单位地址）</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提交</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，并对之负法律责任。</w:t>
      </w:r>
      <w:r>
        <w:rPr>
          <w:rFonts w:ascii="宋体" w:hAnsi="宋体" w:cs="宋体"/>
          <w:color w:val="auto"/>
          <w:sz w:val="21"/>
          <w:szCs w:val="21"/>
          <w:highlight w:val="none"/>
        </w:rPr>
        <w:t xml:space="preserve"> </w:t>
      </w:r>
    </w:p>
    <w:p>
      <w:pPr>
        <w:spacing w:line="520" w:lineRule="exact"/>
        <w:ind w:firstLine="420" w:firstLineChars="200"/>
        <w:rPr>
          <w:rFonts w:ascii="宋体" w:cs="宋体"/>
          <w:color w:val="auto"/>
          <w:sz w:val="21"/>
          <w:szCs w:val="21"/>
          <w:highlight w:val="none"/>
        </w:rPr>
      </w:pPr>
      <w:r>
        <w:rPr>
          <w:rFonts w:hint="eastAsia" w:ascii="宋体" w:hAnsi="宋体" w:cs="宋体"/>
          <w:color w:val="auto"/>
          <w:sz w:val="21"/>
          <w:szCs w:val="21"/>
          <w:highlight w:val="none"/>
        </w:rPr>
        <w:t>据此函，签字代表宣布同意如下：</w:t>
      </w:r>
    </w:p>
    <w:p>
      <w:pPr>
        <w:spacing w:line="560" w:lineRule="exact"/>
        <w:rPr>
          <w:rFonts w:ascii="宋体" w:cs="宋体"/>
          <w:color w:val="auto"/>
          <w:sz w:val="21"/>
          <w:szCs w:val="21"/>
          <w:highlight w:val="none"/>
        </w:rPr>
      </w:pPr>
      <w:r>
        <w:rPr>
          <w:rFonts w:ascii="宋体" w:hAnsi="宋体" w:cs="宋体"/>
          <w:color w:val="auto"/>
          <w:sz w:val="21"/>
          <w:szCs w:val="21"/>
          <w:highlight w:val="none"/>
        </w:rPr>
        <w:t xml:space="preserve">    </w:t>
      </w:r>
      <w:bookmarkStart w:id="113" w:name="_Toc20179"/>
      <w:r>
        <w:rPr>
          <w:rFonts w:ascii="宋体" w:hAnsi="宋体" w:cs="宋体"/>
          <w:color w:val="auto"/>
          <w:sz w:val="21"/>
          <w:szCs w:val="21"/>
          <w:highlight w:val="none"/>
        </w:rPr>
        <w:t xml:space="preserve"> 1</w:t>
      </w:r>
      <w:r>
        <w:rPr>
          <w:rFonts w:hint="eastAsia" w:ascii="宋体" w:hAnsi="宋体" w:cs="宋体"/>
          <w:color w:val="auto"/>
          <w:sz w:val="21"/>
          <w:szCs w:val="21"/>
          <w:highlight w:val="none"/>
        </w:rPr>
        <w:t>、我方已仔细研究了</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（项目名称）</w:t>
      </w:r>
      <w:r>
        <w:rPr>
          <w:rFonts w:hint="eastAsia" w:ascii="宋体" w:hAnsi="宋体" w:cs="宋体"/>
          <w:color w:val="auto"/>
          <w:sz w:val="21"/>
          <w:szCs w:val="21"/>
          <w:highlight w:val="none"/>
        </w:rPr>
        <w:t>磋商文件的全部内容，愿意</w:t>
      </w:r>
      <w:r>
        <w:rPr>
          <w:rFonts w:hint="eastAsia" w:ascii="宋体" w:hAnsi="宋体" w:cs="宋体"/>
          <w:color w:val="auto"/>
          <w:kern w:val="2"/>
          <w:sz w:val="21"/>
          <w:szCs w:val="21"/>
          <w:lang w:val="en-US" w:eastAsia="zh-CN" w:bidi="ar-SA"/>
        </w:rPr>
        <w:t>按豫建设【2019】57号文件河南省施工图设计文件审查结算标准的</w:t>
      </w:r>
      <w:r>
        <w:rPr>
          <w:rFonts w:hint="eastAsia" w:ascii="宋体" w:hAnsi="宋体" w:cs="宋体"/>
          <w:color w:val="auto"/>
          <w:kern w:val="2"/>
          <w:sz w:val="21"/>
          <w:szCs w:val="21"/>
          <w:u w:val="single"/>
          <w:lang w:val="en-US" w:eastAsia="zh-CN" w:bidi="ar-SA"/>
        </w:rPr>
        <w:t xml:space="preserve">     % </w:t>
      </w:r>
      <w:r>
        <w:rPr>
          <w:rFonts w:hint="eastAsia" w:ascii="宋体" w:hAnsi="宋体" w:cs="宋体"/>
          <w:color w:val="auto"/>
          <w:sz w:val="21"/>
          <w:szCs w:val="21"/>
          <w:highlight w:val="none"/>
        </w:rPr>
        <w:t>的投标报价，承担本项目的工作。</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、如果我们的响应文件被接受，我们将按磋商文件的规定签订并严格履行合同中的责任和义务。</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、投标供应商已详细审查全部磋商文件，包括修改文件以及全部参考资料和有关附件。我们完全理解并同意放弃对这方面有不明及误解的权力。</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4</w:t>
      </w:r>
      <w:r>
        <w:rPr>
          <w:rFonts w:hint="eastAsia" w:ascii="宋体" w:hAnsi="宋体" w:cs="宋体"/>
          <w:color w:val="auto"/>
          <w:sz w:val="21"/>
          <w:szCs w:val="21"/>
          <w:highlight w:val="none"/>
        </w:rPr>
        <w:t>、我方承诺在磋商有效期内（</w:t>
      </w:r>
      <w:r>
        <w:rPr>
          <w:rFonts w:ascii="宋体" w:hAnsi="宋体" w:cs="宋体"/>
          <w:color w:val="auto"/>
          <w:sz w:val="21"/>
          <w:szCs w:val="21"/>
          <w:highlight w:val="none"/>
        </w:rPr>
        <w:t>60</w:t>
      </w:r>
      <w:r>
        <w:rPr>
          <w:rFonts w:hint="eastAsia" w:ascii="宋体" w:hAnsi="宋体" w:cs="宋体"/>
          <w:color w:val="auto"/>
          <w:sz w:val="21"/>
          <w:szCs w:val="21"/>
          <w:highlight w:val="none"/>
        </w:rPr>
        <w:t>日历天）内不修改、撤销响应文件。</w:t>
      </w:r>
    </w:p>
    <w:p>
      <w:pPr>
        <w:spacing w:line="560" w:lineRule="exact"/>
        <w:ind w:firstLine="525" w:firstLineChars="250"/>
        <w:rPr>
          <w:rFonts w:hint="eastAsia" w:ascii="宋体" w:hAnsi="宋体" w:cs="宋体"/>
          <w:color w:val="auto"/>
          <w:sz w:val="21"/>
          <w:szCs w:val="21"/>
          <w:highlight w:val="none"/>
          <w:lang w:eastAsia="zh-CN"/>
        </w:rPr>
      </w:pPr>
      <w:r>
        <w:rPr>
          <w:rFonts w:ascii="宋体" w:hAnsi="宋体" w:cs="宋体"/>
          <w:color w:val="auto"/>
          <w:sz w:val="21"/>
          <w:szCs w:val="21"/>
          <w:highlight w:val="none"/>
        </w:rPr>
        <w:t>5</w:t>
      </w:r>
      <w:r>
        <w:rPr>
          <w:rFonts w:hint="eastAsia" w:ascii="宋体" w:hAnsi="宋体" w:cs="宋体"/>
          <w:color w:val="auto"/>
          <w:sz w:val="21"/>
          <w:szCs w:val="21"/>
          <w:highlight w:val="none"/>
        </w:rPr>
        <w:t>、如果在规定的开标时间后，投标供应商在投标有效期内撤回投标，</w:t>
      </w:r>
      <w:r>
        <w:rPr>
          <w:rFonts w:hint="eastAsia" w:ascii="宋体" w:hAnsi="宋体" w:cs="宋体"/>
          <w:color w:val="auto"/>
          <w:sz w:val="21"/>
          <w:szCs w:val="21"/>
          <w:highlight w:val="none"/>
          <w:lang w:eastAsia="zh-CN"/>
        </w:rPr>
        <w:t>我们将自愿接受相关处罚。</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6</w:t>
      </w:r>
      <w:r>
        <w:rPr>
          <w:rFonts w:hint="eastAsia" w:ascii="宋体" w:hAnsi="宋体" w:cs="宋体"/>
          <w:color w:val="auto"/>
          <w:sz w:val="21"/>
          <w:szCs w:val="21"/>
          <w:highlight w:val="none"/>
        </w:rPr>
        <w:t>、投标供应商同意提供按照贵方可能要求的与其投标有关的一切数据或资料，完全理解贵方不一定接受最低价的投标或没收任何投标。</w:t>
      </w:r>
    </w:p>
    <w:p>
      <w:pPr>
        <w:spacing w:line="560" w:lineRule="exact"/>
        <w:rPr>
          <w:rFonts w:ascii="宋体" w:cs="宋体"/>
          <w:color w:val="auto"/>
          <w:sz w:val="21"/>
          <w:szCs w:val="21"/>
          <w:highlight w:val="none"/>
          <w:u w:val="singl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供应商名称（公章）：</w:t>
      </w:r>
      <w:r>
        <w:rPr>
          <w:rFonts w:ascii="宋体" w:hAnsi="宋体" w:cs="宋体"/>
          <w:color w:val="auto"/>
          <w:sz w:val="21"/>
          <w:szCs w:val="21"/>
          <w:highlight w:val="none"/>
        </w:rPr>
        <w:t xml:space="preserve"> </w:t>
      </w:r>
      <w:r>
        <w:rPr>
          <w:rFonts w:ascii="宋体" w:hAnsi="宋体" w:cs="宋体"/>
          <w:color w:val="auto"/>
          <w:sz w:val="21"/>
          <w:szCs w:val="21"/>
          <w:highlight w:val="none"/>
          <w:u w:val="single"/>
        </w:rPr>
        <w:t xml:space="preserve">                   </w:t>
      </w:r>
    </w:p>
    <w:p>
      <w:pPr>
        <w:spacing w:line="560" w:lineRule="exact"/>
        <w:rPr>
          <w:rFonts w:ascii="宋体" w:cs="宋体"/>
          <w:color w:val="auto"/>
          <w:sz w:val="21"/>
          <w:szCs w:val="21"/>
          <w:highlight w:val="non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法定代表人或授权委托人</w:t>
      </w:r>
      <w:r>
        <w:rPr>
          <w:rFonts w:hint="eastAsia" w:ascii="宋体" w:hAnsi="宋体" w:eastAsia="宋体" w:cs="宋体"/>
          <w:color w:val="auto"/>
          <w:kern w:val="2"/>
          <w:sz w:val="21"/>
          <w:szCs w:val="21"/>
          <w:highlight w:val="none"/>
          <w:lang w:val="en-US" w:eastAsia="zh-CN" w:bidi="ar-SA"/>
        </w:rPr>
        <w:t>（签字或盖章）</w:t>
      </w:r>
      <w:r>
        <w:rPr>
          <w:rFonts w:ascii="宋体" w:hAnsi="宋体" w:cs="宋体"/>
          <w:color w:val="auto"/>
          <w:sz w:val="21"/>
          <w:szCs w:val="21"/>
          <w:highlight w:val="none"/>
        </w:rPr>
        <w:t>:</w:t>
      </w:r>
      <w:r>
        <w:rPr>
          <w:rFonts w:ascii="宋体" w:hAnsi="宋体" w:cs="宋体"/>
          <w:b/>
          <w:color w:val="auto"/>
          <w:sz w:val="21"/>
          <w:szCs w:val="21"/>
          <w:highlight w:val="none"/>
          <w:u w:val="single"/>
        </w:rPr>
        <w:t xml:space="preserve">             </w:t>
      </w:r>
    </w:p>
    <w:p>
      <w:pPr>
        <w:spacing w:line="520" w:lineRule="exact"/>
        <w:ind w:firstLine="4095" w:firstLineChars="1950"/>
        <w:rPr>
          <w:rFonts w:ascii="宋体" w:cs="宋体"/>
          <w:color w:val="auto"/>
          <w:sz w:val="21"/>
          <w:szCs w:val="21"/>
          <w:highlight w:val="none"/>
        </w:rPr>
      </w:pPr>
      <w:r>
        <w:rPr>
          <w:rFonts w:hint="eastAsia" w:ascii="宋体" w:hAnsi="宋体" w:cs="宋体"/>
          <w:color w:val="auto"/>
          <w:sz w:val="21"/>
          <w:szCs w:val="21"/>
          <w:highlight w:val="none"/>
        </w:rPr>
        <w:t>日</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期：</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年</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月</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日</w:t>
      </w:r>
    </w:p>
    <w:p>
      <w:pPr>
        <w:spacing w:line="520" w:lineRule="exact"/>
        <w:rPr>
          <w:rFonts w:ascii="宋体" w:cs="宋体"/>
          <w:color w:val="auto"/>
          <w:sz w:val="21"/>
          <w:szCs w:val="21"/>
          <w:highlight w:val="none"/>
        </w:rPr>
      </w:pPr>
    </w:p>
    <w:p>
      <w:pPr>
        <w:pStyle w:val="40"/>
        <w:rPr>
          <w:rFonts w:ascii="宋体" w:cs="宋体"/>
          <w:color w:val="auto"/>
          <w:sz w:val="21"/>
          <w:szCs w:val="21"/>
          <w:highlight w:val="none"/>
        </w:rPr>
      </w:pPr>
    </w:p>
    <w:p>
      <w:pPr>
        <w:pStyle w:val="14"/>
        <w:rPr>
          <w:color w:val="auto"/>
          <w:sz w:val="21"/>
          <w:szCs w:val="21"/>
          <w:highlight w:val="none"/>
        </w:rPr>
      </w:pPr>
    </w:p>
    <w:bookmarkEnd w:id="113"/>
    <w:p>
      <w:pPr>
        <w:pStyle w:val="25"/>
        <w:numPr>
          <w:ilvl w:val="0"/>
          <w:numId w:val="0"/>
        </w:numPr>
        <w:jc w:val="center"/>
        <w:rPr>
          <w:rFonts w:hint="eastAsia" w:ascii="宋体" w:hAnsi="宋体" w:cs="宋体"/>
          <w:color w:val="auto"/>
          <w:highlight w:val="none"/>
        </w:rPr>
      </w:pPr>
      <w:bookmarkStart w:id="114" w:name="_Toc24045"/>
      <w:r>
        <w:rPr>
          <w:rFonts w:hint="eastAsia" w:ascii="宋体" w:hAnsi="宋体" w:cs="宋体"/>
          <w:color w:val="auto"/>
          <w:highlight w:val="none"/>
          <w:lang w:eastAsia="zh-CN"/>
        </w:rPr>
        <w:t>（二）</w:t>
      </w:r>
      <w:r>
        <w:rPr>
          <w:rFonts w:hint="eastAsia" w:ascii="宋体" w:hAnsi="宋体" w:cs="宋体"/>
          <w:color w:val="auto"/>
          <w:highlight w:val="none"/>
        </w:rPr>
        <w:t>磋商函附录</w:t>
      </w:r>
      <w:bookmarkEnd w:id="114"/>
    </w:p>
    <w:p>
      <w:pPr>
        <w:widowControl w:val="0"/>
        <w:numPr>
          <w:ilvl w:val="0"/>
          <w:numId w:val="0"/>
        </w:numPr>
        <w:jc w:val="both"/>
        <w:rPr>
          <w:color w:val="auto"/>
          <w:highlight w:val="none"/>
        </w:rPr>
      </w:pPr>
    </w:p>
    <w:tbl>
      <w:tblPr>
        <w:tblStyle w:val="30"/>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284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磋商报价</w:t>
            </w:r>
            <w:r>
              <w:rPr>
                <w:rFonts w:ascii="宋体" w:hAnsi="宋体" w:cs="宋体"/>
                <w:color w:val="auto"/>
                <w:szCs w:val="21"/>
                <w:highlight w:val="none"/>
              </w:rPr>
              <w:t xml:space="preserve"> </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highlight w:val="none"/>
                <w:u w:val="single"/>
              </w:rPr>
            </w:pPr>
            <w:r>
              <w:rPr>
                <w:rFonts w:hint="eastAsia" w:ascii="宋体" w:hAnsi="宋体" w:cs="宋体"/>
                <w:color w:val="auto"/>
                <w:kern w:val="2"/>
                <w:sz w:val="21"/>
                <w:szCs w:val="21"/>
                <w:lang w:val="en-US" w:eastAsia="zh-CN" w:bidi="ar-SA"/>
              </w:rPr>
              <w:t>按豫建设【2019】57号文件河南省施工图设计文件审查结算标准的</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ascii="宋体" w:hAnsi="宋体" w:cs="宋体"/>
                <w:color w:val="auto"/>
                <w:szCs w:val="21"/>
                <w:highlight w:val="none"/>
                <w:u w:val="single"/>
              </w:rPr>
              <w:t xml:space="preserve"> </w:t>
            </w: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单个项目完成期限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eastAsia="宋体" w:cs="宋体"/>
                <w:color w:val="auto"/>
                <w:szCs w:val="21"/>
                <w:highlight w:val="none"/>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bl>
    <w:p>
      <w:pPr>
        <w:pStyle w:val="3"/>
        <w:spacing w:line="520" w:lineRule="exact"/>
        <w:ind w:left="0" w:leftChars="0"/>
        <w:rPr>
          <w:rFonts w:hint="eastAsia" w:ascii="宋体" w:hAnsi="宋体" w:cs="宋体"/>
          <w:color w:val="auto"/>
          <w:szCs w:val="21"/>
          <w:highlight w:val="none"/>
        </w:rPr>
      </w:pPr>
      <w:r>
        <w:rPr>
          <w:rFonts w:hint="eastAsia" w:ascii="宋体" w:hAnsi="宋体" w:cs="宋体"/>
          <w:color w:val="auto"/>
          <w:szCs w:val="21"/>
          <w:highlight w:val="none"/>
        </w:rPr>
        <w:t>注：1、报价应包括磋商文件所确定的采购范围内的全部费用。</w:t>
      </w:r>
    </w:p>
    <w:p>
      <w:pPr>
        <w:pStyle w:val="3"/>
        <w:spacing w:line="360" w:lineRule="exact"/>
        <w:ind w:left="0" w:leftChars="0" w:firstLine="240" w:firstLineChars="100"/>
        <w:rPr>
          <w:rFonts w:hint="eastAsia" w:ascii="仿宋" w:hAnsi="仿宋" w:eastAsia="仿宋" w:cs="仿宋"/>
          <w:color w:val="auto"/>
          <w:sz w:val="24"/>
          <w:highlight w:val="none"/>
        </w:rPr>
      </w:pPr>
    </w:p>
    <w:p>
      <w:pPr>
        <w:pStyle w:val="3"/>
        <w:spacing w:line="520" w:lineRule="exact"/>
        <w:ind w:left="0" w:leftChars="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供应商名称（公章）：</w:t>
      </w:r>
    </w:p>
    <w:p>
      <w:pPr>
        <w:pStyle w:val="3"/>
        <w:spacing w:line="520" w:lineRule="exact"/>
        <w:ind w:left="0" w:leftChars="0" w:firstLine="210" w:firstLineChars="10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法定代表人或授权委托人（签字或盖章）</w:t>
      </w:r>
      <w:r>
        <w:rPr>
          <w:rFonts w:ascii="宋体" w:hAnsi="宋体" w:cs="宋体"/>
          <w:color w:val="auto"/>
          <w:szCs w:val="21"/>
          <w:highlight w:val="none"/>
        </w:rPr>
        <w:t>:</w:t>
      </w:r>
    </w:p>
    <w:p>
      <w:pPr>
        <w:pStyle w:val="3"/>
        <w:spacing w:line="360" w:lineRule="exact"/>
        <w:rPr>
          <w:rFonts w:ascii="宋体" w:cs="宋体"/>
          <w:color w:val="auto"/>
          <w:szCs w:val="21"/>
          <w:highlight w:val="none"/>
        </w:rPr>
      </w:pPr>
    </w:p>
    <w:p>
      <w:pPr>
        <w:spacing w:line="360" w:lineRule="exact"/>
        <w:rPr>
          <w:rFonts w:hint="eastAsia"/>
          <w:lang w:val="en-US" w:eastAsia="zh-CN"/>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rPr>
          <w:rFonts w:hint="eastAsia" w:ascii="宋体" w:hAnsi="宋体" w:eastAsia="宋体" w:cs="宋体"/>
          <w:b/>
          <w:bCs/>
          <w:color w:val="auto"/>
          <w:kern w:val="28"/>
          <w:sz w:val="32"/>
          <w:szCs w:val="32"/>
          <w:highlight w:val="none"/>
          <w:lang w:val="en-US" w:eastAsia="zh-CN" w:bidi="ar-SA"/>
        </w:rPr>
      </w:pPr>
      <w:r>
        <w:rPr>
          <w:rFonts w:hint="eastAsia" w:ascii="宋体" w:hAnsi="宋体" w:cs="宋体"/>
          <w:b/>
          <w:bCs/>
          <w:color w:val="auto"/>
          <w:kern w:val="28"/>
          <w:sz w:val="32"/>
          <w:szCs w:val="32"/>
          <w:highlight w:val="none"/>
          <w:lang w:val="en-US" w:eastAsia="zh-CN" w:bidi="ar-SA"/>
        </w:rPr>
        <w:t>二、（1）</w:t>
      </w:r>
      <w:r>
        <w:rPr>
          <w:rFonts w:hint="eastAsia" w:ascii="宋体" w:hAnsi="宋体" w:eastAsia="宋体" w:cs="宋体"/>
          <w:b/>
          <w:bCs/>
          <w:color w:val="auto"/>
          <w:kern w:val="28"/>
          <w:sz w:val="32"/>
          <w:szCs w:val="32"/>
          <w:highlight w:val="none"/>
          <w:lang w:val="en-US" w:eastAsia="zh-CN" w:bidi="ar-SA"/>
        </w:rPr>
        <w:t>具备履行合同所必需的设备和专业技术能力的声明函</w:t>
      </w:r>
    </w:p>
    <w:p>
      <w:pPr>
        <w:pStyle w:val="38"/>
        <w:ind w:left="425"/>
        <w:jc w:val="center"/>
        <w:rPr>
          <w:rFonts w:hint="eastAsia" w:hAnsi="宋体" w:cs="黑体"/>
          <w:b/>
          <w:color w:val="000000"/>
          <w:sz w:val="28"/>
          <w:szCs w:val="28"/>
          <w:highlight w:val="none"/>
        </w:rPr>
      </w:pPr>
    </w:p>
    <w:p>
      <w:pPr>
        <w:spacing w:line="440" w:lineRule="exact"/>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我单位具备履行合同所必需的设备和专业技术能力，特此声明。</w:t>
      </w: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line="440" w:lineRule="exact"/>
        <w:ind w:firstLine="5250" w:firstLineChars="25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供应商：(盖章)</w:t>
      </w:r>
    </w:p>
    <w:p>
      <w:pPr>
        <w:spacing w:line="440" w:lineRule="exact"/>
        <w:ind w:firstLine="5250" w:firstLineChars="25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法定代表人或授权委托人：(签字或盖章)</w:t>
      </w:r>
    </w:p>
    <w:p>
      <w:pPr>
        <w:spacing w:line="300" w:lineRule="exact"/>
        <w:jc w:val="center"/>
        <w:rPr>
          <w:rFonts w:hint="eastAsia" w:ascii="宋体" w:hAnsi="宋体" w:eastAsia="宋体" w:cs="宋体"/>
          <w:color w:val="000000"/>
          <w:sz w:val="21"/>
          <w:szCs w:val="21"/>
          <w:highlight w:val="none"/>
        </w:rPr>
      </w:pPr>
    </w:p>
    <w:p>
      <w:pPr>
        <w:autoSpaceDE w:val="0"/>
        <w:autoSpaceDN w:val="0"/>
        <w:spacing w:line="360" w:lineRule="auto"/>
        <w:ind w:firstLine="560"/>
        <w:jc w:val="center"/>
        <w:rPr>
          <w:rFonts w:hint="eastAsia" w:ascii="宋体" w:hAnsi="宋体" w:eastAsia="宋体" w:cs="宋体"/>
          <w:b/>
          <w:bCs/>
          <w:color w:val="000000"/>
          <w:spacing w:val="20"/>
          <w:sz w:val="21"/>
          <w:szCs w:val="21"/>
          <w:highlight w:val="none"/>
        </w:rPr>
      </w:pP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年    月     日</w:t>
      </w:r>
    </w:p>
    <w:p>
      <w:pPr>
        <w:pStyle w:val="25"/>
        <w:ind w:firstLine="3213" w:firstLineChars="1000"/>
        <w:jc w:val="both"/>
      </w:pPr>
    </w:p>
    <w:p>
      <w:pPr>
        <w:spacing w:line="500" w:lineRule="exact"/>
        <w:rPr>
          <w:rFonts w:ascii="宋体" w:hAnsi="宋体"/>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spacing w:line="440" w:lineRule="exact"/>
        <w:jc w:val="center"/>
        <w:outlineLvl w:val="1"/>
        <w:rPr>
          <w:rFonts w:hint="eastAsia" w:ascii="宋体" w:hAnsi="宋体" w:cs="宋体"/>
          <w:b/>
          <w:bCs/>
          <w:color w:val="000000"/>
          <w:sz w:val="32"/>
          <w:szCs w:val="32"/>
          <w:highlight w:val="none"/>
          <w:lang w:val="en-US" w:eastAsia="zh-CN"/>
        </w:rPr>
      </w:pPr>
    </w:p>
    <w:p>
      <w:pPr>
        <w:spacing w:line="440" w:lineRule="exact"/>
        <w:jc w:val="center"/>
        <w:outlineLvl w:val="1"/>
        <w:rPr>
          <w:rFonts w:hint="eastAsia" w:ascii="宋体" w:hAnsi="宋体" w:cs="宋体"/>
          <w:b/>
          <w:bCs/>
          <w:color w:val="000000"/>
          <w:sz w:val="32"/>
          <w:szCs w:val="32"/>
          <w:highlight w:val="none"/>
          <w:lang w:val="en-US" w:eastAsia="zh-CN"/>
        </w:rPr>
      </w:pPr>
    </w:p>
    <w:p>
      <w:pPr>
        <w:spacing w:line="440" w:lineRule="exact"/>
        <w:jc w:val="center"/>
        <w:outlineLvl w:val="1"/>
        <w:rPr>
          <w:rFonts w:hint="eastAsia" w:ascii="宋体" w:hAnsi="宋体" w:cs="宋体"/>
          <w:b/>
          <w:bCs/>
          <w:color w:val="000000"/>
          <w:sz w:val="32"/>
          <w:szCs w:val="32"/>
          <w:highlight w:val="none"/>
          <w:lang w:val="en-US" w:eastAsia="zh-CN"/>
        </w:rPr>
      </w:pPr>
      <w:bookmarkStart w:id="115" w:name="_Toc11671"/>
    </w:p>
    <w:p>
      <w:pPr>
        <w:spacing w:line="440" w:lineRule="exact"/>
        <w:jc w:val="center"/>
        <w:outlineLvl w:val="1"/>
        <w:rPr>
          <w:rFonts w:hint="eastAsia" w:ascii="宋体" w:hAnsi="宋体" w:eastAsia="宋体" w:cs="宋体"/>
          <w:b/>
          <w:bCs/>
          <w:color w:val="000000"/>
          <w:sz w:val="32"/>
          <w:szCs w:val="32"/>
          <w:highlight w:val="none"/>
          <w:lang w:val="en-US" w:eastAsia="zh-CN"/>
        </w:rPr>
      </w:pPr>
      <w:r>
        <w:rPr>
          <w:rFonts w:hint="eastAsia" w:ascii="宋体" w:hAnsi="宋体" w:cs="宋体"/>
          <w:b/>
          <w:bCs/>
          <w:color w:val="000000"/>
          <w:sz w:val="32"/>
          <w:szCs w:val="32"/>
          <w:highlight w:val="none"/>
          <w:lang w:val="en-US" w:eastAsia="zh-CN"/>
        </w:rPr>
        <w:t>（2）</w:t>
      </w:r>
      <w:r>
        <w:rPr>
          <w:rFonts w:hint="eastAsia" w:ascii="宋体" w:hAnsi="宋体" w:eastAsia="宋体" w:cs="宋体"/>
          <w:b/>
          <w:bCs/>
          <w:color w:val="000000"/>
          <w:sz w:val="32"/>
          <w:szCs w:val="32"/>
          <w:highlight w:val="none"/>
          <w:lang w:val="en-US" w:eastAsia="zh-CN"/>
        </w:rPr>
        <w:t>声明函</w:t>
      </w:r>
      <w:bookmarkEnd w:id="115"/>
    </w:p>
    <w:p>
      <w:pPr>
        <w:pStyle w:val="37"/>
        <w:rPr>
          <w:rFonts w:hint="eastAsia"/>
          <w:lang w:val="en-US" w:eastAsia="zh-CN"/>
        </w:rPr>
      </w:pPr>
    </w:p>
    <w:p>
      <w:pPr>
        <w:spacing w:line="440" w:lineRule="exact"/>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符合《房屋建筑和市政基础设施工程施工图设计文件审查管理办法》（住房和城乡建设部令第13号）的资格管理规定，具有施工图审查服务能力和履行合同能力的企业、且符合豫建设【2019】57 号文的要求</w:t>
      </w:r>
      <w:r>
        <w:rPr>
          <w:rFonts w:hint="eastAsia" w:ascii="宋体" w:hAnsi="宋体" w:cs="宋体"/>
          <w:color w:val="000000"/>
          <w:sz w:val="21"/>
          <w:szCs w:val="21"/>
          <w:highlight w:val="none"/>
        </w:rPr>
        <w:t>。</w:t>
      </w:r>
    </w:p>
    <w:p>
      <w:pPr>
        <w:spacing w:line="440" w:lineRule="exact"/>
        <w:ind w:firstLine="3640" w:firstLineChars="1300"/>
        <w:rPr>
          <w:rFonts w:hint="eastAsia" w:ascii="宋体" w:hAnsi="宋体" w:cs="宋体"/>
          <w:color w:val="000000"/>
          <w:sz w:val="28"/>
          <w:szCs w:val="28"/>
          <w:highlight w:val="none"/>
        </w:rPr>
      </w:pPr>
    </w:p>
    <w:p>
      <w:pPr>
        <w:spacing w:before="156" w:beforeLines="50" w:after="156" w:afterLines="50" w:line="440" w:lineRule="exact"/>
        <w:ind w:left="687" w:leftChars="227" w:hanging="210" w:hangingChars="100"/>
        <w:rPr>
          <w:rFonts w:hint="eastAsia"/>
          <w:color w:val="000000"/>
          <w:highlight w:val="none"/>
          <w:lang w:val="en-US" w:eastAsia="zh-CN"/>
        </w:rPr>
      </w:pPr>
      <w:r>
        <w:rPr>
          <w:rFonts w:hint="eastAsia"/>
          <w:color w:val="000000"/>
          <w:highlight w:val="none"/>
          <w:lang w:val="en-US" w:eastAsia="zh-CN"/>
        </w:rPr>
        <w:t xml:space="preserve"> </w:t>
      </w:r>
    </w:p>
    <w:p>
      <w:pPr>
        <w:pStyle w:val="14"/>
        <w:rPr>
          <w:rFonts w:hint="eastAsia"/>
          <w:color w:val="000000"/>
          <w:highlight w:val="none"/>
          <w:lang w:val="en-US" w:eastAsia="zh-CN"/>
        </w:rPr>
      </w:pPr>
    </w:p>
    <w:p>
      <w:pPr>
        <w:pStyle w:val="15"/>
        <w:rPr>
          <w:rFonts w:hint="eastAsia"/>
          <w:color w:val="000000"/>
          <w:highlight w:val="none"/>
          <w:lang w:val="en-US" w:eastAsia="zh-CN"/>
        </w:rPr>
      </w:pPr>
    </w:p>
    <w:p>
      <w:pPr>
        <w:pStyle w:val="14"/>
        <w:rPr>
          <w:rFonts w:hint="eastAsia"/>
          <w:color w:val="000000"/>
          <w:highlight w:val="none"/>
          <w:lang w:val="en-US" w:eastAsia="zh-CN"/>
        </w:rPr>
      </w:pPr>
    </w:p>
    <w:p>
      <w:pPr>
        <w:pStyle w:val="15"/>
        <w:rPr>
          <w:rFonts w:hint="eastAsia"/>
          <w:color w:val="000000"/>
          <w:highlight w:val="none"/>
          <w:lang w:val="en-US" w:eastAsia="zh-CN"/>
        </w:rPr>
      </w:pPr>
    </w:p>
    <w:p>
      <w:pPr>
        <w:pStyle w:val="14"/>
        <w:rPr>
          <w:rFonts w:hint="eastAsia"/>
          <w:color w:val="000000"/>
          <w:highlight w:val="none"/>
          <w:lang w:val="en-US" w:eastAsia="zh-CN"/>
        </w:rPr>
      </w:pPr>
    </w:p>
    <w:p>
      <w:pPr>
        <w:spacing w:line="440" w:lineRule="exact"/>
        <w:ind w:firstLine="5040" w:firstLineChars="2400"/>
        <w:rPr>
          <w:rFonts w:hint="eastAsia" w:ascii="宋体" w:hAnsi="宋体" w:cs="宋体"/>
          <w:color w:val="000000"/>
          <w:sz w:val="21"/>
          <w:szCs w:val="21"/>
          <w:highlight w:val="none"/>
        </w:rPr>
      </w:pPr>
      <w:r>
        <w:rPr>
          <w:rFonts w:hint="eastAsia" w:ascii="宋体" w:hAnsi="宋体" w:cs="宋体"/>
          <w:color w:val="000000"/>
          <w:sz w:val="21"/>
          <w:szCs w:val="21"/>
          <w:highlight w:val="none"/>
        </w:rPr>
        <w:t>供应商：(盖章)</w:t>
      </w:r>
    </w:p>
    <w:p>
      <w:pPr>
        <w:spacing w:line="440" w:lineRule="exact"/>
        <w:ind w:firstLine="5040" w:firstLineChars="2400"/>
        <w:rPr>
          <w:rFonts w:hint="eastAsia" w:ascii="宋体" w:hAnsi="宋体" w:cs="宋体"/>
          <w:color w:val="000000"/>
          <w:sz w:val="21"/>
          <w:szCs w:val="21"/>
          <w:highlight w:val="none"/>
        </w:rPr>
      </w:pPr>
      <w:r>
        <w:rPr>
          <w:rFonts w:hint="eastAsia" w:ascii="宋体" w:hAnsi="宋体" w:cs="宋体"/>
          <w:color w:val="000000"/>
          <w:sz w:val="21"/>
          <w:szCs w:val="21"/>
          <w:highlight w:val="none"/>
        </w:rPr>
        <w:t>法定代表人或授权委托人：(签字或盖章)</w:t>
      </w:r>
    </w:p>
    <w:p>
      <w:pPr>
        <w:spacing w:line="300" w:lineRule="exact"/>
        <w:jc w:val="center"/>
        <w:rPr>
          <w:rFonts w:hint="eastAsia" w:ascii="宋体" w:hAnsi="宋体" w:cs="宋体"/>
          <w:color w:val="000000"/>
          <w:sz w:val="21"/>
          <w:szCs w:val="21"/>
          <w:highlight w:val="none"/>
        </w:rPr>
      </w:pPr>
    </w:p>
    <w:p>
      <w:pPr>
        <w:autoSpaceDE w:val="0"/>
        <w:autoSpaceDN w:val="0"/>
        <w:spacing w:line="360" w:lineRule="auto"/>
        <w:ind w:firstLine="560"/>
        <w:jc w:val="center"/>
        <w:rPr>
          <w:rFonts w:hint="eastAsia" w:ascii="宋体" w:hAnsi="宋体" w:cs="宋体"/>
          <w:b/>
          <w:bCs/>
          <w:color w:val="000000"/>
          <w:spacing w:val="20"/>
          <w:sz w:val="21"/>
          <w:szCs w:val="21"/>
          <w:highlight w:val="none"/>
        </w:rPr>
      </w:pPr>
      <w:r>
        <w:rPr>
          <w:rFonts w:hint="eastAsia" w:ascii="宋体" w:hAnsi="宋体" w:cs="宋体"/>
          <w:color w:val="000000"/>
          <w:sz w:val="21"/>
          <w:szCs w:val="21"/>
          <w:highlight w:val="none"/>
        </w:rPr>
        <w:t xml:space="preserve">                  </w:t>
      </w:r>
      <w:r>
        <w:rPr>
          <w:rFonts w:hint="eastAsia" w:ascii="宋体" w:hAnsi="宋体" w:cs="宋体"/>
          <w:color w:val="000000"/>
          <w:sz w:val="21"/>
          <w:szCs w:val="21"/>
          <w:highlight w:val="none"/>
          <w:lang w:val="en-US" w:eastAsia="zh-CN"/>
        </w:rPr>
        <w:t xml:space="preserve">                                      </w:t>
      </w:r>
      <w:r>
        <w:rPr>
          <w:rFonts w:hint="eastAsia" w:ascii="宋体" w:hAnsi="宋体" w:cs="宋体"/>
          <w:color w:val="000000"/>
          <w:sz w:val="21"/>
          <w:szCs w:val="21"/>
          <w:highlight w:val="none"/>
        </w:rPr>
        <w:t>年    月     日</w:t>
      </w:r>
    </w:p>
    <w:p>
      <w:pPr>
        <w:pStyle w:val="15"/>
        <w:rPr>
          <w:rFonts w:hint="eastAsia"/>
          <w:color w:val="000000"/>
          <w:sz w:val="21"/>
          <w:szCs w:val="21"/>
          <w:highlight w:val="none"/>
          <w:lang w:val="en-US"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bookmarkStart w:id="116" w:name="_Toc20309"/>
    </w:p>
    <w:p>
      <w:pPr>
        <w:pStyle w:val="25"/>
        <w:jc w:val="center"/>
        <w:rPr>
          <w:rFonts w:hint="eastAsia" w:ascii="宋体" w:hAnsi="宋体" w:cs="宋体"/>
          <w:color w:val="auto"/>
          <w:highlight w:val="none"/>
          <w:lang w:eastAsia="zh-CN"/>
        </w:rPr>
      </w:pPr>
      <w:r>
        <w:rPr>
          <w:rFonts w:hint="eastAsia" w:ascii="宋体" w:hAnsi="宋体" w:cs="宋体"/>
          <w:color w:val="auto"/>
          <w:highlight w:val="none"/>
          <w:lang w:eastAsia="zh-CN"/>
        </w:rPr>
        <w:t>三、技术及综合部分</w:t>
      </w:r>
      <w:bookmarkEnd w:id="116"/>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pStyle w:val="25"/>
        <w:jc w:val="center"/>
        <w:rPr>
          <w:rFonts w:hint="eastAsia" w:ascii="宋体" w:hAnsi="宋体" w:cs="宋体"/>
          <w:color w:val="auto"/>
          <w:highlight w:val="none"/>
          <w:lang w:eastAsia="zh-CN"/>
        </w:rPr>
      </w:pPr>
      <w:bookmarkStart w:id="117" w:name="_Toc9559"/>
      <w:r>
        <w:rPr>
          <w:rFonts w:hint="eastAsia" w:ascii="宋体" w:hAnsi="宋体" w:cs="宋体"/>
          <w:color w:val="auto"/>
          <w:highlight w:val="none"/>
          <w:lang w:eastAsia="zh-CN"/>
        </w:rPr>
        <w:t>四、履约承诺函</w:t>
      </w:r>
      <w:bookmarkEnd w:id="117"/>
    </w:p>
    <w:p>
      <w:pPr>
        <w:jc w:val="center"/>
        <w:rPr>
          <w:rFonts w:ascii="宋体" w:hAnsi="宋体"/>
          <w:b/>
          <w:color w:val="000000"/>
          <w:sz w:val="44"/>
          <w:szCs w:val="44"/>
          <w:highlight w:val="none"/>
        </w:rPr>
      </w:pP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我单位对</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rPr>
        <w:t>项目</w:t>
      </w:r>
      <w:r>
        <w:rPr>
          <w:rFonts w:hint="eastAsia" w:ascii="宋体" w:hAnsi="宋体"/>
          <w:color w:val="000000"/>
          <w:sz w:val="21"/>
          <w:szCs w:val="21"/>
          <w:highlight w:val="none"/>
          <w:u w:val="single"/>
        </w:rPr>
        <w:t>（采购编号：       ）</w:t>
      </w:r>
      <w:r>
        <w:rPr>
          <w:rFonts w:hint="eastAsia" w:ascii="宋体" w:hAnsi="宋体"/>
          <w:color w:val="000000"/>
          <w:sz w:val="21"/>
          <w:szCs w:val="21"/>
          <w:highlight w:val="none"/>
        </w:rPr>
        <w:t>投标行为做出承诺，保证所提交材料的真实性。</w:t>
      </w: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我单位承诺如存在一下行为之一的愿接受处罚：</w:t>
      </w: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1、在投标文件递交截止时间后至确定成交人的</w:t>
      </w:r>
      <w:r>
        <w:rPr>
          <w:rFonts w:ascii="宋体" w:hAnsi="宋体"/>
          <w:color w:val="000000"/>
          <w:sz w:val="21"/>
          <w:szCs w:val="21"/>
          <w:highlight w:val="none"/>
        </w:rPr>
        <w:fldChar w:fldCharType="begin"/>
      </w:r>
      <w:r>
        <w:rPr>
          <w:rFonts w:ascii="宋体" w:hAnsi="宋体"/>
          <w:color w:val="000000"/>
          <w:sz w:val="21"/>
          <w:szCs w:val="21"/>
          <w:highlight w:val="none"/>
        </w:rPr>
        <w:instrText xml:space="preserve"> HYPERLINK "https://baike.so.com/doc/5394983-5632135.html" \t "https://baike.so.com/doc/_blank"</w:instrText>
      </w:r>
      <w:r>
        <w:rPr>
          <w:rFonts w:ascii="宋体" w:hAnsi="宋体"/>
          <w:color w:val="000000"/>
          <w:sz w:val="21"/>
          <w:szCs w:val="21"/>
          <w:highlight w:val="none"/>
        </w:rPr>
        <w:fldChar w:fldCharType="separate"/>
      </w:r>
      <w:r>
        <w:rPr>
          <w:rFonts w:ascii="宋体" w:hAnsi="宋体"/>
          <w:color w:val="000000"/>
          <w:sz w:val="21"/>
          <w:szCs w:val="21"/>
          <w:highlight w:val="none"/>
        </w:rPr>
        <w:t>投标有效期</w:t>
      </w:r>
      <w:r>
        <w:rPr>
          <w:rFonts w:ascii="宋体" w:hAnsi="宋体"/>
          <w:color w:val="000000"/>
          <w:sz w:val="21"/>
          <w:szCs w:val="21"/>
          <w:highlight w:val="none"/>
        </w:rPr>
        <w:fldChar w:fldCharType="end"/>
      </w:r>
      <w:r>
        <w:rPr>
          <w:rFonts w:ascii="宋体" w:hAnsi="宋体"/>
          <w:color w:val="000000"/>
          <w:sz w:val="21"/>
          <w:szCs w:val="21"/>
          <w:highlight w:val="none"/>
        </w:rPr>
        <w:t>内</w:t>
      </w:r>
      <w:r>
        <w:rPr>
          <w:rFonts w:hint="eastAsia" w:ascii="宋体" w:hAnsi="宋体"/>
          <w:color w:val="000000"/>
          <w:sz w:val="21"/>
          <w:szCs w:val="21"/>
          <w:highlight w:val="none"/>
        </w:rPr>
        <w:t>，退出竞标或者修改投标文件的</w:t>
      </w:r>
      <w:r>
        <w:rPr>
          <w:rFonts w:ascii="宋体" w:hAnsi="宋体"/>
          <w:color w:val="000000"/>
          <w:sz w:val="21"/>
          <w:szCs w:val="21"/>
          <w:highlight w:val="none"/>
        </w:rPr>
        <w:t>。</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2、若我单位中标，在接到成交通知书后，除不可抗力因素外，未按采购文件</w:t>
      </w:r>
      <w:r>
        <w:rPr>
          <w:rFonts w:ascii="宋体" w:hAnsi="宋体"/>
          <w:color w:val="000000"/>
          <w:sz w:val="21"/>
          <w:szCs w:val="21"/>
          <w:highlight w:val="none"/>
        </w:rPr>
        <w:t>规定</w:t>
      </w:r>
      <w:r>
        <w:rPr>
          <w:rFonts w:hint="eastAsia" w:ascii="宋体" w:hAnsi="宋体"/>
          <w:color w:val="000000"/>
          <w:sz w:val="21"/>
          <w:szCs w:val="21"/>
          <w:highlight w:val="none"/>
        </w:rPr>
        <w:t>与采购人</w:t>
      </w:r>
      <w:r>
        <w:rPr>
          <w:rFonts w:ascii="宋体" w:hAnsi="宋体"/>
          <w:color w:val="000000"/>
          <w:sz w:val="21"/>
          <w:szCs w:val="21"/>
          <w:highlight w:val="none"/>
        </w:rPr>
        <w:t>签订合同</w:t>
      </w:r>
      <w:r>
        <w:rPr>
          <w:rFonts w:hint="eastAsia" w:ascii="宋体" w:hAnsi="宋体"/>
          <w:color w:val="000000"/>
          <w:sz w:val="21"/>
          <w:szCs w:val="21"/>
          <w:highlight w:val="none"/>
        </w:rPr>
        <w:t>的。</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3、在投标文件中提供虚假材料谋取中标。</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4、与采购人、其他供应商或者采购代理机构恶意串通的。</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5、存在法律法规规定的其他违法违规行为的。</w:t>
      </w: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6、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600" w:lineRule="exact"/>
        <w:ind w:firstLine="420" w:firstLineChars="200"/>
        <w:rPr>
          <w:rFonts w:hint="eastAsia" w:ascii="宋体" w:hAnsi="宋体"/>
          <w:color w:val="000000"/>
          <w:sz w:val="21"/>
          <w:szCs w:val="21"/>
          <w:highlight w:val="none"/>
        </w:rPr>
      </w:pPr>
    </w:p>
    <w:p>
      <w:pPr>
        <w:spacing w:line="600" w:lineRule="exact"/>
        <w:ind w:firstLine="420" w:firstLineChars="200"/>
        <w:rPr>
          <w:rFonts w:ascii="宋体" w:hAnsi="宋体"/>
          <w:color w:val="000000"/>
          <w:sz w:val="21"/>
          <w:szCs w:val="21"/>
          <w:highlight w:val="none"/>
          <w:u w:val="single"/>
        </w:rPr>
      </w:pPr>
      <w:r>
        <w:rPr>
          <w:rFonts w:hint="eastAsia" w:ascii="宋体" w:hAnsi="宋体"/>
          <w:color w:val="000000"/>
          <w:sz w:val="21"/>
          <w:szCs w:val="21"/>
          <w:highlight w:val="none"/>
        </w:rPr>
        <w:t xml:space="preserve">    投标单位名称（盖章）：</w:t>
      </w:r>
    </w:p>
    <w:p>
      <w:pPr>
        <w:spacing w:line="600" w:lineRule="exact"/>
        <w:ind w:firstLine="435"/>
        <w:rPr>
          <w:rFonts w:ascii="宋体" w:hAnsi="宋体"/>
          <w:color w:val="000000"/>
          <w:sz w:val="21"/>
          <w:szCs w:val="21"/>
          <w:highlight w:val="none"/>
        </w:rPr>
      </w:pPr>
      <w:r>
        <w:rPr>
          <w:rFonts w:hint="eastAsia" w:ascii="宋体" w:hAnsi="宋体"/>
          <w:color w:val="000000"/>
          <w:sz w:val="21"/>
          <w:szCs w:val="21"/>
          <w:highlight w:val="none"/>
        </w:rPr>
        <w:t>法人代表或授权委托人（签字或盖章）：</w:t>
      </w:r>
    </w:p>
    <w:p>
      <w:pPr>
        <w:rPr>
          <w:rFonts w:hint="eastAsia" w:ascii="宋体" w:hAnsi="宋体"/>
          <w:color w:val="000000"/>
          <w:sz w:val="21"/>
          <w:szCs w:val="21"/>
          <w:highlight w:val="none"/>
        </w:rPr>
      </w:pPr>
      <w:r>
        <w:rPr>
          <w:rFonts w:hint="eastAsia" w:ascii="宋体" w:hAnsi="宋体"/>
          <w:color w:val="000000"/>
          <w:sz w:val="21"/>
          <w:szCs w:val="21"/>
          <w:highlight w:val="none"/>
        </w:rPr>
        <w:t xml:space="preserve">                                         年    月    日</w:t>
      </w:r>
    </w:p>
    <w:p>
      <w:pPr>
        <w:pStyle w:val="25"/>
        <w:jc w:val="center"/>
        <w:rPr>
          <w:rFonts w:hint="eastAsia" w:ascii="宋体" w:hAnsi="宋体" w:cs="宋体"/>
          <w:color w:val="auto"/>
          <w:highlight w:val="none"/>
          <w:lang w:eastAsia="zh-CN"/>
        </w:rPr>
      </w:pPr>
      <w:r>
        <w:rPr>
          <w:rFonts w:hint="eastAsia" w:ascii="宋体" w:hAnsi="宋体"/>
          <w:color w:val="000000"/>
          <w:sz w:val="24"/>
          <w:highlight w:val="none"/>
        </w:rPr>
        <w:br w:type="page"/>
      </w:r>
    </w:p>
    <w:p>
      <w:pPr>
        <w:pStyle w:val="25"/>
        <w:jc w:val="center"/>
        <w:rPr>
          <w:rFonts w:ascii="宋体" w:cs="宋体"/>
          <w:color w:val="auto"/>
          <w:highlight w:val="none"/>
        </w:rPr>
      </w:pPr>
      <w:bookmarkStart w:id="118" w:name="_Toc26962"/>
      <w:r>
        <w:rPr>
          <w:rFonts w:hint="eastAsia" w:ascii="宋体" w:hAnsi="宋体" w:cs="宋体"/>
          <w:color w:val="auto"/>
          <w:highlight w:val="none"/>
          <w:lang w:eastAsia="zh-CN"/>
        </w:rPr>
        <w:t>五</w:t>
      </w:r>
      <w:r>
        <w:rPr>
          <w:rFonts w:hint="eastAsia" w:ascii="宋体" w:hAnsi="宋体" w:cs="宋体"/>
          <w:color w:val="auto"/>
          <w:highlight w:val="none"/>
        </w:rPr>
        <w:t>、</w:t>
      </w:r>
      <w:r>
        <w:rPr>
          <w:rFonts w:hint="eastAsia" w:ascii="宋体" w:hAnsi="宋体" w:cs="宋体"/>
          <w:color w:val="auto"/>
          <w:highlight w:val="none"/>
          <w:lang w:eastAsia="zh-CN"/>
        </w:rPr>
        <w:t>（</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w:t>
      </w:r>
      <w:r>
        <w:rPr>
          <w:rFonts w:hint="eastAsia" w:ascii="宋体" w:hAnsi="宋体" w:cs="宋体"/>
          <w:color w:val="auto"/>
          <w:highlight w:val="none"/>
        </w:rPr>
        <w:t>法定代表人（负责人）身份证明</w:t>
      </w:r>
      <w:bookmarkEnd w:id="118"/>
    </w:p>
    <w:p>
      <w:pPr>
        <w:pStyle w:val="38"/>
        <w:jc w:val="center"/>
        <w:rPr>
          <w:rFonts w:hAnsi="宋体"/>
          <w:b/>
          <w:bCs/>
          <w:color w:val="auto"/>
          <w:kern w:val="28"/>
          <w:sz w:val="28"/>
          <w:szCs w:val="28"/>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单位性质：</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地址：</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成立时间：</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经营期限：</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姓名：</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性别：</w:t>
      </w:r>
      <w:r>
        <w:rPr>
          <w:rFonts w:ascii="宋体" w:hAnsi="宋体" w:cs="宋体"/>
          <w:color w:val="auto"/>
          <w:szCs w:val="21"/>
          <w:highlight w:val="none"/>
          <w:u w:val="single"/>
        </w:rPr>
        <w:t xml:space="preserve">         </w:t>
      </w:r>
      <w:r>
        <w:rPr>
          <w:rFonts w:hint="eastAsia" w:ascii="宋体" w:hAnsi="宋体" w:cs="宋体"/>
          <w:color w:val="auto"/>
          <w:szCs w:val="21"/>
          <w:highlight w:val="none"/>
        </w:rPr>
        <w:t>年龄：</w:t>
      </w:r>
      <w:r>
        <w:rPr>
          <w:rFonts w:ascii="宋体" w:hAnsi="宋体" w:cs="宋体"/>
          <w:color w:val="auto"/>
          <w:szCs w:val="21"/>
          <w:highlight w:val="none"/>
          <w:u w:val="single"/>
        </w:rPr>
        <w:t xml:space="preserve">        </w:t>
      </w:r>
      <w:r>
        <w:rPr>
          <w:rFonts w:hint="eastAsia" w:ascii="宋体" w:hAnsi="宋体" w:cs="宋体"/>
          <w:color w:val="auto"/>
          <w:szCs w:val="21"/>
          <w:highlight w:val="none"/>
        </w:rPr>
        <w:t>职务：</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系</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（供应商名称）的法定代表人。</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特此证明。</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法定代表人身份证明</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w:t>
      </w:r>
      <w:r>
        <w:rPr>
          <w:rFonts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r>
        <w:rPr>
          <w:rFonts w:ascii="宋体" w:hAnsi="宋体" w:cs="宋体"/>
          <w:color w:val="auto"/>
          <w:szCs w:val="21"/>
          <w:highlight w:val="none"/>
        </w:rPr>
        <w:t xml:space="preserve">           </w:t>
      </w:r>
    </w:p>
    <w:p>
      <w:pPr>
        <w:pStyle w:val="25"/>
        <w:rPr>
          <w:rFonts w:ascii="宋体" w:cs="宋体"/>
          <w:color w:val="auto"/>
          <w:highlight w:val="none"/>
        </w:rPr>
      </w:pPr>
      <w:r>
        <w:rPr>
          <w:rFonts w:ascii="宋体" w:cs="宋体"/>
          <w:color w:val="auto"/>
          <w:highlight w:val="none"/>
        </w:rPr>
        <w:br w:type="page"/>
      </w:r>
      <w:bookmarkStart w:id="119" w:name="_Toc14665"/>
      <w:bookmarkStart w:id="120" w:name="_Toc9293"/>
      <w:r>
        <w:rPr>
          <w:rFonts w:hint="eastAsia" w:ascii="宋体" w:cs="宋体"/>
          <w:color w:val="auto"/>
          <w:highlight w:val="none"/>
          <w:lang w:eastAsia="zh-CN"/>
        </w:rPr>
        <w:t>（</w:t>
      </w:r>
      <w:r>
        <w:rPr>
          <w:rFonts w:hint="eastAsia" w:ascii="宋体" w:cs="宋体"/>
          <w:color w:val="auto"/>
          <w:highlight w:val="none"/>
          <w:lang w:val="en-US" w:eastAsia="zh-CN"/>
        </w:rPr>
        <w:t>2）</w:t>
      </w:r>
      <w:r>
        <w:rPr>
          <w:rFonts w:hint="eastAsia" w:ascii="宋体" w:hAnsi="宋体" w:cs="宋体"/>
          <w:color w:val="auto"/>
          <w:highlight w:val="none"/>
        </w:rPr>
        <w:t>授权委托书</w:t>
      </w:r>
      <w:bookmarkEnd w:id="119"/>
      <w:bookmarkEnd w:id="120"/>
    </w:p>
    <w:p>
      <w:pPr>
        <w:spacing w:line="440" w:lineRule="exact"/>
        <w:rPr>
          <w:rFonts w:ascii="宋体" w:cs="宋体"/>
          <w:color w:val="auto"/>
          <w:szCs w:val="21"/>
          <w:highlight w:val="none"/>
        </w:rPr>
      </w:pPr>
    </w:p>
    <w:p>
      <w:pPr>
        <w:topLinePunct/>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本人</w:t>
      </w:r>
      <w:r>
        <w:rPr>
          <w:rFonts w:ascii="宋体" w:hAnsi="宋体" w:cs="宋体"/>
          <w:color w:val="auto"/>
          <w:szCs w:val="21"/>
          <w:highlight w:val="none"/>
          <w:u w:val="single"/>
        </w:rPr>
        <w:t xml:space="preserve">                </w:t>
      </w:r>
      <w:r>
        <w:rPr>
          <w:rFonts w:hint="eastAsia" w:ascii="宋体" w:hAnsi="宋体" w:cs="宋体"/>
          <w:color w:val="auto"/>
          <w:szCs w:val="21"/>
          <w:highlight w:val="none"/>
        </w:rPr>
        <w:t>（姓名）系</w:t>
      </w:r>
      <w:r>
        <w:rPr>
          <w:rFonts w:ascii="宋体" w:hAnsi="宋体" w:cs="宋体"/>
          <w:color w:val="auto"/>
          <w:szCs w:val="21"/>
          <w:highlight w:val="none"/>
          <w:u w:val="single"/>
        </w:rPr>
        <w:t xml:space="preserve">                        </w:t>
      </w:r>
      <w:r>
        <w:rPr>
          <w:rFonts w:hint="eastAsia" w:ascii="宋体" w:hAnsi="宋体" w:cs="宋体"/>
          <w:color w:val="auto"/>
          <w:szCs w:val="21"/>
          <w:highlight w:val="none"/>
        </w:rPr>
        <w:t>（供应商名称）的法定代表人（负责人），现委托</w:t>
      </w:r>
      <w:r>
        <w:rPr>
          <w:rFonts w:ascii="宋体" w:hAnsi="宋体" w:cs="宋体"/>
          <w:color w:val="auto"/>
          <w:szCs w:val="21"/>
          <w:highlight w:val="none"/>
          <w:u w:val="single"/>
        </w:rPr>
        <w:t xml:space="preserve">            </w:t>
      </w:r>
      <w:r>
        <w:rPr>
          <w:rFonts w:hint="eastAsia" w:ascii="宋体" w:hAnsi="宋体" w:cs="宋体"/>
          <w:color w:val="auto"/>
          <w:szCs w:val="21"/>
          <w:highlight w:val="none"/>
        </w:rPr>
        <w:t>（姓名）为我方代理人。代理人根据授权，以我方名义签署、澄清、说明、补正、递交、撤回、修改</w:t>
      </w:r>
      <w:r>
        <w:rPr>
          <w:rFonts w:ascii="宋体" w:hAnsi="宋体" w:cs="宋体"/>
          <w:color w:val="auto"/>
          <w:szCs w:val="21"/>
          <w:highlight w:val="none"/>
          <w:u w:val="single"/>
        </w:rPr>
        <w:t xml:space="preserve">                      </w:t>
      </w:r>
      <w:r>
        <w:rPr>
          <w:rFonts w:hint="eastAsia" w:ascii="宋体" w:hAnsi="宋体" w:cs="宋体"/>
          <w:color w:val="auto"/>
          <w:szCs w:val="21"/>
          <w:highlight w:val="none"/>
        </w:rPr>
        <w:t>（项目名称）响应文件、签订合同和处理有关事宜，其法律后果由我方承担。</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委托期限：</w:t>
      </w:r>
      <w:r>
        <w:rPr>
          <w:rFonts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代理人无转委托权。</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附：委托代理人身份证明</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w:t>
      </w:r>
      <w:r>
        <w:rPr>
          <w:rFonts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w:t>
      </w:r>
      <w:r>
        <w:rPr>
          <w:rFonts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身份证号码：</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委托代理人：</w:t>
      </w:r>
      <w:r>
        <w:rPr>
          <w:rFonts w:ascii="宋体" w:hAnsi="宋体" w:cs="宋体"/>
          <w:color w:val="auto"/>
          <w:szCs w:val="21"/>
          <w:highlight w:val="none"/>
          <w:u w:val="single"/>
        </w:rPr>
        <w:t xml:space="preserve">                                   </w:t>
      </w:r>
      <w:r>
        <w:rPr>
          <w:rFonts w:hint="eastAsia" w:ascii="宋体" w:hAnsi="宋体" w:cs="宋体"/>
          <w:color w:val="auto"/>
          <w:szCs w:val="21"/>
          <w:highlight w:val="none"/>
        </w:rPr>
        <w:t>（签字）</w:t>
      </w:r>
      <w:r>
        <w:rPr>
          <w:rFonts w:ascii="宋体" w:hAnsi="宋体" w:cs="宋体"/>
          <w:color w:val="auto"/>
          <w:szCs w:val="21"/>
          <w:highlight w:val="non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身份证号码：</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p>
    <w:p>
      <w:pPr>
        <w:spacing w:line="560" w:lineRule="exact"/>
        <w:ind w:firstLine="525" w:firstLineChars="250"/>
        <w:jc w:val="right"/>
        <w:rPr>
          <w:rFonts w:ascii="宋体" w:cs="宋体"/>
          <w:color w:val="auto"/>
          <w:szCs w:val="21"/>
          <w:highlight w:val="none"/>
        </w:rPr>
      </w:pP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pPr>
        <w:jc w:val="center"/>
        <w:rPr>
          <w:rFonts w:ascii="宋体" w:cs="宋体"/>
          <w:color w:val="auto"/>
          <w:szCs w:val="21"/>
          <w:highlight w:val="none"/>
        </w:rPr>
      </w:pPr>
      <w:bookmarkStart w:id="121" w:name="_Toc30296"/>
      <w:bookmarkStart w:id="122" w:name="_Toc19605"/>
    </w:p>
    <w:p>
      <w:pPr>
        <w:pStyle w:val="25"/>
        <w:rPr>
          <w:rFonts w:ascii="宋体" w:cs="宋体"/>
          <w:color w:val="auto"/>
          <w:highlight w:val="none"/>
        </w:rPr>
      </w:pPr>
      <w:bookmarkStart w:id="123" w:name="_Toc5065"/>
      <w:r>
        <w:rPr>
          <w:rFonts w:hint="eastAsia" w:ascii="宋体" w:hAnsi="宋体" w:cs="宋体"/>
          <w:color w:val="auto"/>
          <w:highlight w:val="none"/>
          <w:lang w:eastAsia="zh-CN"/>
        </w:rPr>
        <w:t>六</w:t>
      </w:r>
      <w:r>
        <w:rPr>
          <w:rFonts w:hint="eastAsia" w:ascii="宋体" w:hAnsi="宋体" w:cs="宋体"/>
          <w:color w:val="auto"/>
          <w:highlight w:val="none"/>
        </w:rPr>
        <w:t>、供应商基本情况表</w:t>
      </w:r>
      <w:bookmarkEnd w:id="121"/>
      <w:bookmarkEnd w:id="122"/>
      <w:bookmarkEnd w:id="123"/>
    </w:p>
    <w:p>
      <w:pPr>
        <w:spacing w:line="360" w:lineRule="exact"/>
        <w:rPr>
          <w:rFonts w:ascii="宋体" w:cs="宋体"/>
          <w:color w:val="auto"/>
          <w:szCs w:val="21"/>
          <w:highlight w:val="none"/>
        </w:rPr>
      </w:pPr>
    </w:p>
    <w:tbl>
      <w:tblPr>
        <w:tblStyle w:val="30"/>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085"/>
        <w:gridCol w:w="221"/>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供应商名称</w:t>
            </w:r>
          </w:p>
        </w:tc>
        <w:tc>
          <w:tcPr>
            <w:tcW w:w="7618" w:type="dxa"/>
            <w:gridSpan w:val="7"/>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注册地址</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邮政编码</w:t>
            </w:r>
          </w:p>
        </w:tc>
        <w:tc>
          <w:tcPr>
            <w:tcW w:w="2614"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联系方式</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联系人</w:t>
            </w:r>
          </w:p>
        </w:tc>
        <w:tc>
          <w:tcPr>
            <w:tcW w:w="2612"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话</w:t>
            </w:r>
          </w:p>
        </w:tc>
        <w:tc>
          <w:tcPr>
            <w:tcW w:w="2614"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传</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真</w:t>
            </w:r>
          </w:p>
        </w:tc>
        <w:tc>
          <w:tcPr>
            <w:tcW w:w="2612"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网</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址</w:t>
            </w:r>
          </w:p>
        </w:tc>
        <w:tc>
          <w:tcPr>
            <w:tcW w:w="2614"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组织结构</w:t>
            </w:r>
          </w:p>
        </w:tc>
        <w:tc>
          <w:tcPr>
            <w:tcW w:w="7618" w:type="dxa"/>
            <w:gridSpan w:val="7"/>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法定代表人</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姓名</w:t>
            </w: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技术职称</w:t>
            </w: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电话</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技术负责人</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姓名</w:t>
            </w: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技术职称</w:t>
            </w: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电话</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成立时间</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3920" w:type="dxa"/>
            <w:gridSpan w:val="4"/>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企业资质等级</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085" w:type="dxa"/>
            <w:vMerge w:val="restart"/>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其中</w:t>
            </w:r>
          </w:p>
        </w:tc>
        <w:tc>
          <w:tcPr>
            <w:tcW w:w="1528"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高级职称人员</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营业执照号</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085"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528"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中级职称人员</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注册资金</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085"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528"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初级职称人员</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经营范围</w:t>
            </w:r>
          </w:p>
        </w:tc>
        <w:tc>
          <w:tcPr>
            <w:tcW w:w="7618" w:type="dxa"/>
            <w:gridSpan w:val="7"/>
            <w:vAlign w:val="center"/>
          </w:tcPr>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备注</w:t>
            </w:r>
          </w:p>
        </w:tc>
        <w:tc>
          <w:tcPr>
            <w:tcW w:w="7618" w:type="dxa"/>
            <w:gridSpan w:val="7"/>
            <w:vAlign w:val="center"/>
          </w:tcPr>
          <w:p>
            <w:pPr>
              <w:autoSpaceDE w:val="0"/>
              <w:autoSpaceDN w:val="0"/>
              <w:adjustRightInd w:val="0"/>
              <w:spacing w:line="360" w:lineRule="exact"/>
              <w:rPr>
                <w:rFonts w:ascii="宋体" w:cs="宋体"/>
                <w:color w:val="auto"/>
                <w:kern w:val="0"/>
                <w:szCs w:val="21"/>
                <w:highlight w:val="none"/>
              </w:rPr>
            </w:pPr>
            <w:r>
              <w:rPr>
                <w:rFonts w:hint="eastAsia" w:ascii="宋体" w:hAnsi="宋体" w:cs="宋体"/>
                <w:color w:val="auto"/>
                <w:kern w:val="0"/>
                <w:szCs w:val="21"/>
                <w:highlight w:val="none"/>
              </w:rPr>
              <w:t>供应商可跟据企业实际情况增加或删减填写此表</w:t>
            </w:r>
          </w:p>
        </w:tc>
      </w:tr>
    </w:tbl>
    <w:p>
      <w:pPr>
        <w:spacing w:line="360" w:lineRule="exact"/>
        <w:jc w:val="left"/>
        <w:outlineLvl w:val="1"/>
        <w:rPr>
          <w:rFonts w:ascii="宋体" w:cs="宋体"/>
          <w:color w:val="auto"/>
          <w:sz w:val="28"/>
          <w:szCs w:val="28"/>
          <w:highlight w:val="none"/>
        </w:rPr>
      </w:pPr>
      <w:bookmarkStart w:id="124" w:name="_Toc24712"/>
    </w:p>
    <w:p>
      <w:pPr>
        <w:pStyle w:val="25"/>
        <w:jc w:val="both"/>
        <w:rPr>
          <w:rFonts w:hint="eastAsia" w:ascii="宋体" w:hAnsi="宋体" w:cs="宋体"/>
          <w:color w:val="auto"/>
          <w:highlight w:val="none"/>
          <w:lang w:eastAsia="zh-CN"/>
        </w:rPr>
      </w:pPr>
      <w:bookmarkStart w:id="125" w:name="_Toc341340664"/>
      <w:bookmarkStart w:id="126" w:name="_Toc355787721"/>
      <w:bookmarkStart w:id="127" w:name="_Hlk450185766"/>
      <w:bookmarkStart w:id="128" w:name="_Toc304388439"/>
    </w:p>
    <w:p>
      <w:pPr>
        <w:pStyle w:val="25"/>
        <w:jc w:val="center"/>
        <w:outlineLvl w:val="1"/>
        <w:rPr>
          <w:rFonts w:hint="eastAsia" w:ascii="宋体" w:hAnsi="宋体" w:cs="宋体"/>
          <w:color w:val="auto"/>
          <w:highlight w:val="none"/>
          <w:lang w:eastAsia="zh-CN"/>
        </w:rPr>
      </w:pPr>
      <w:bookmarkStart w:id="129" w:name="_Toc1149"/>
      <w:r>
        <w:rPr>
          <w:rFonts w:hint="eastAsia" w:ascii="宋体" w:hAnsi="宋体" w:cs="宋体"/>
          <w:color w:val="auto"/>
          <w:highlight w:val="none"/>
          <w:lang w:eastAsia="zh-CN"/>
        </w:rPr>
        <w:t>七、</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项目负责人基本情况表</w:t>
      </w:r>
      <w:bookmarkEnd w:id="129"/>
    </w:p>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widowControl/>
        <w:spacing w:line="520" w:lineRule="exact"/>
        <w:rPr>
          <w:rFonts w:hint="eastAsia" w:cs="宋体"/>
          <w:color w:val="000000"/>
          <w:kern w:val="0"/>
          <w:highlight w:val="none"/>
        </w:rPr>
      </w:pPr>
      <w:r>
        <w:rPr>
          <w:rFonts w:hint="eastAsia" w:cs="宋体"/>
          <w:color w:val="000000"/>
          <w:kern w:val="0"/>
          <w:highlight w:val="none"/>
        </w:rPr>
        <w:t>说明：1、本表后附项目负责人身份证及资格证书的复印件</w:t>
      </w:r>
    </w:p>
    <w:p>
      <w:pPr>
        <w:widowControl/>
        <w:spacing w:line="520" w:lineRule="exact"/>
        <w:ind w:firstLine="720"/>
        <w:rPr>
          <w:rFonts w:hint="eastAsia" w:cs="宋体"/>
          <w:color w:val="000000"/>
          <w:kern w:val="0"/>
          <w:highlight w:val="none"/>
        </w:rPr>
      </w:pPr>
      <w:r>
        <w:rPr>
          <w:rFonts w:hint="eastAsia" w:cs="宋体"/>
          <w:color w:val="000000"/>
          <w:kern w:val="0"/>
          <w:highlight w:val="none"/>
        </w:rPr>
        <w:t>2、不够填写可另附表格</w:t>
      </w:r>
    </w:p>
    <w:p>
      <w:pPr>
        <w:widowControl/>
        <w:spacing w:line="520" w:lineRule="exact"/>
        <w:ind w:firstLine="360"/>
        <w:jc w:val="center"/>
        <w:rPr>
          <w:rFonts w:hint="eastAsia" w:cs="宋体"/>
          <w:color w:val="000000"/>
          <w:kern w:val="0"/>
          <w:highlight w:val="none"/>
        </w:rPr>
      </w:pPr>
      <w:r>
        <w:rPr>
          <w:rFonts w:hint="eastAsia" w:cs="宋体"/>
          <w:color w:val="000000"/>
          <w:kern w:val="0"/>
          <w:highlight w:val="none"/>
          <w:lang w:val="en-US" w:eastAsia="zh-CN"/>
        </w:rPr>
        <w:t xml:space="preserve">                  </w:t>
      </w:r>
      <w:r>
        <w:rPr>
          <w:rFonts w:hint="eastAsia" w:cs="宋体"/>
          <w:color w:val="000000"/>
          <w:kern w:val="0"/>
          <w:highlight w:val="none"/>
          <w:lang w:eastAsia="zh-CN"/>
        </w:rPr>
        <w:t>供应商</w:t>
      </w:r>
      <w:r>
        <w:rPr>
          <w:rFonts w:hint="eastAsia" w:cs="宋体"/>
          <w:color w:val="000000"/>
          <w:kern w:val="0"/>
          <w:highlight w:val="none"/>
        </w:rPr>
        <w:t xml:space="preserve">：（盖章）     </w:t>
      </w:r>
    </w:p>
    <w:p>
      <w:pPr>
        <w:pStyle w:val="37"/>
        <w:rPr>
          <w:rFonts w:ascii="Times New Roman" w:hAnsi="Times New Roman"/>
          <w:b/>
          <w:color w:val="auto"/>
          <w:sz w:val="28"/>
          <w:highlight w:val="none"/>
        </w:rPr>
      </w:pPr>
      <w:r>
        <w:rPr>
          <w:rFonts w:hint="eastAsia" w:cs="宋体"/>
          <w:color w:val="000000"/>
          <w:kern w:val="0"/>
          <w:highlight w:val="none"/>
        </w:rPr>
        <w:t xml:space="preserve">   </w:t>
      </w:r>
      <w:r>
        <w:rPr>
          <w:rFonts w:hint="eastAsia" w:cs="宋体"/>
          <w:color w:val="000000"/>
          <w:kern w:val="0"/>
          <w:highlight w:val="none"/>
          <w:lang w:val="en-US" w:eastAsia="zh-CN"/>
        </w:rPr>
        <w:t xml:space="preserve">                                    </w:t>
      </w:r>
      <w:r>
        <w:rPr>
          <w:rFonts w:hint="eastAsia" w:cs="宋体"/>
          <w:color w:val="000000"/>
          <w:kern w:val="0"/>
          <w:sz w:val="21"/>
          <w:szCs w:val="21"/>
          <w:highlight w:val="none"/>
          <w:lang w:val="en-US" w:eastAsia="zh-CN"/>
        </w:rPr>
        <w:t xml:space="preserve"> </w:t>
      </w:r>
      <w:r>
        <w:rPr>
          <w:rFonts w:hint="eastAsia" w:cs="宋体"/>
          <w:color w:val="000000"/>
          <w:kern w:val="0"/>
          <w:sz w:val="21"/>
          <w:szCs w:val="21"/>
          <w:highlight w:val="none"/>
        </w:rPr>
        <w:t>法定代表人或授权代表：（签字或盖章</w:t>
      </w:r>
      <w:r>
        <w:rPr>
          <w:rFonts w:hint="eastAsia" w:cs="宋体"/>
          <w:color w:val="000000"/>
          <w:kern w:val="0"/>
          <w:highlight w:val="none"/>
        </w:rPr>
        <w:t>）</w:t>
      </w:r>
    </w:p>
    <w:tbl>
      <w:tblPr>
        <w:tblStyle w:val="30"/>
        <w:tblpPr w:leftFromText="180" w:rightFromText="180" w:vertAnchor="page" w:horzAnchor="page" w:tblpX="1935" w:tblpY="2913"/>
        <w:tblOverlap w:val="never"/>
        <w:tblW w:w="0" w:type="auto"/>
        <w:tblInd w:w="0" w:type="dxa"/>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1167"/>
        <w:gridCol w:w="386"/>
        <w:gridCol w:w="964"/>
        <w:gridCol w:w="1065"/>
        <w:gridCol w:w="1049"/>
        <w:gridCol w:w="261"/>
        <w:gridCol w:w="1191"/>
        <w:gridCol w:w="810"/>
        <w:gridCol w:w="1747"/>
      </w:tblGrid>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167" w:type="dxa"/>
            <w:tcBorders>
              <w:top w:val="single" w:color="auto" w:sz="4" w:space="0"/>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姓名</w:t>
            </w:r>
          </w:p>
        </w:tc>
        <w:tc>
          <w:tcPr>
            <w:tcW w:w="1350" w:type="dxa"/>
            <w:gridSpan w:val="2"/>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065" w:type="dxa"/>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年龄</w:t>
            </w:r>
          </w:p>
        </w:tc>
        <w:tc>
          <w:tcPr>
            <w:tcW w:w="1310" w:type="dxa"/>
            <w:gridSpan w:val="2"/>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001" w:type="dxa"/>
            <w:gridSpan w:val="2"/>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学历</w:t>
            </w:r>
          </w:p>
        </w:tc>
        <w:tc>
          <w:tcPr>
            <w:tcW w:w="1747" w:type="dxa"/>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167" w:type="dxa"/>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职称</w:t>
            </w:r>
          </w:p>
        </w:tc>
        <w:tc>
          <w:tcPr>
            <w:tcW w:w="1350"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065" w:type="dxa"/>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职务</w:t>
            </w:r>
          </w:p>
        </w:tc>
        <w:tc>
          <w:tcPr>
            <w:tcW w:w="1310"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001"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拟在本合同任职</w:t>
            </w:r>
          </w:p>
        </w:tc>
        <w:tc>
          <w:tcPr>
            <w:tcW w:w="1747" w:type="dxa"/>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167" w:type="dxa"/>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毕业学校</w:t>
            </w:r>
          </w:p>
        </w:tc>
        <w:tc>
          <w:tcPr>
            <w:tcW w:w="7473" w:type="dxa"/>
            <w:gridSpan w:val="8"/>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年毕业于                     学校                 专业</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8640" w:type="dxa"/>
            <w:gridSpan w:val="9"/>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主要工作经历</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时间</w:t>
            </w: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参加过的类似项目</w:t>
            </w: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担任职务</w:t>
            </w: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发包人及联系电话</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bl>
    <w:p>
      <w:pPr>
        <w:pStyle w:val="25"/>
        <w:jc w:val="center"/>
        <w:outlineLvl w:val="1"/>
        <w:rPr>
          <w:rFonts w:hint="eastAsia" w:ascii="宋体" w:hAnsi="宋体" w:cs="宋体"/>
          <w:color w:val="auto"/>
          <w:highlight w:val="none"/>
          <w:lang w:eastAsia="zh-CN"/>
        </w:rPr>
      </w:pPr>
      <w:bookmarkStart w:id="130" w:name="_Toc21401"/>
      <w:r>
        <w:rPr>
          <w:rFonts w:hint="eastAsia" w:ascii="宋体" w:hAnsi="宋体" w:cs="宋体"/>
          <w:color w:val="auto"/>
          <w:highlight w:val="none"/>
          <w:lang w:val="en-US" w:eastAsia="zh-CN"/>
        </w:rPr>
        <w:t>(2)拟投入本项目其他人员表</w:t>
      </w:r>
      <w:bookmarkEnd w:id="130"/>
    </w:p>
    <w:p>
      <w:pPr>
        <w:pStyle w:val="37"/>
        <w:rPr>
          <w:rFonts w:ascii="Times New Roman" w:hAnsi="Times New Roman"/>
          <w:b/>
          <w:color w:val="auto"/>
          <w:sz w:val="28"/>
          <w:highlight w:val="none"/>
        </w:rPr>
      </w:pPr>
    </w:p>
    <w:tbl>
      <w:tblPr>
        <w:tblStyle w:val="3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1375"/>
        <w:gridCol w:w="783"/>
        <w:gridCol w:w="821"/>
        <w:gridCol w:w="1278"/>
        <w:gridCol w:w="1545"/>
        <w:gridCol w:w="10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31" w:hRule="atLeast"/>
          <w:jc w:val="center"/>
        </w:trPr>
        <w:tc>
          <w:tcPr>
            <w:tcW w:w="1317"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拟设职务</w:t>
            </w:r>
          </w:p>
        </w:tc>
        <w:tc>
          <w:tcPr>
            <w:tcW w:w="1375"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姓名</w:t>
            </w:r>
          </w:p>
        </w:tc>
        <w:tc>
          <w:tcPr>
            <w:tcW w:w="783"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性别</w:t>
            </w:r>
          </w:p>
        </w:tc>
        <w:tc>
          <w:tcPr>
            <w:tcW w:w="821"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年龄</w:t>
            </w:r>
          </w:p>
        </w:tc>
        <w:tc>
          <w:tcPr>
            <w:tcW w:w="1278" w:type="dxa"/>
            <w:noWrap w:val="0"/>
            <w:vAlign w:val="center"/>
          </w:tcPr>
          <w:p>
            <w:pPr>
              <w:spacing w:line="360" w:lineRule="auto"/>
              <w:rPr>
                <w:rFonts w:hint="eastAsia" w:ascii="宋体" w:hAnsi="宋体" w:cs="仿宋_GB2312"/>
                <w:sz w:val="24"/>
                <w:szCs w:val="24"/>
                <w:highlight w:val="none"/>
              </w:rPr>
            </w:pPr>
            <w:r>
              <w:rPr>
                <w:rFonts w:hint="eastAsia" w:ascii="宋体" w:hAnsi="宋体" w:cs="仿宋_GB2312"/>
                <w:sz w:val="24"/>
                <w:szCs w:val="24"/>
                <w:highlight w:val="none"/>
              </w:rPr>
              <w:t>服务年限</w:t>
            </w:r>
          </w:p>
        </w:tc>
        <w:tc>
          <w:tcPr>
            <w:tcW w:w="1545"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学历及专业</w:t>
            </w:r>
          </w:p>
        </w:tc>
        <w:tc>
          <w:tcPr>
            <w:tcW w:w="1028"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职称</w:t>
            </w:r>
            <w:r>
              <w:rPr>
                <w:rFonts w:hint="eastAsia" w:ascii="宋体" w:hAnsi="宋体" w:cs="仿宋_GB2312"/>
                <w:sz w:val="24"/>
                <w:szCs w:val="24"/>
                <w:lang w:val="en-US" w:eastAsia="zh-CN"/>
              </w:rPr>
              <w:t>/注册证书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17" w:type="dxa"/>
            <w:noWrap w:val="0"/>
            <w:vAlign w:val="center"/>
          </w:tcPr>
          <w:p>
            <w:pPr>
              <w:spacing w:line="360" w:lineRule="auto"/>
              <w:jc w:val="center"/>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17" w:type="dxa"/>
            <w:noWrap w:val="0"/>
            <w:vAlign w:val="top"/>
          </w:tcPr>
          <w:p>
            <w:pPr>
              <w:spacing w:line="360" w:lineRule="auto"/>
              <w:rPr>
                <w:rFonts w:hint="eastAsia" w:ascii="宋体" w:hAnsi="宋体" w:cs="仿宋_GB2312"/>
                <w:sz w:val="24"/>
                <w:szCs w:val="24"/>
                <w:highlight w:val="none"/>
              </w:rPr>
            </w:pPr>
          </w:p>
        </w:tc>
        <w:tc>
          <w:tcPr>
            <w:tcW w:w="1375" w:type="dxa"/>
            <w:noWrap w:val="0"/>
            <w:vAlign w:val="top"/>
          </w:tcPr>
          <w:p>
            <w:pPr>
              <w:spacing w:line="360" w:lineRule="auto"/>
              <w:rPr>
                <w:rFonts w:hint="eastAsia" w:ascii="宋体" w:hAnsi="宋体" w:cs="仿宋_GB2312"/>
                <w:sz w:val="24"/>
                <w:szCs w:val="24"/>
                <w:highlight w:val="none"/>
              </w:rPr>
            </w:pPr>
          </w:p>
        </w:tc>
        <w:tc>
          <w:tcPr>
            <w:tcW w:w="783" w:type="dxa"/>
            <w:noWrap w:val="0"/>
            <w:vAlign w:val="top"/>
          </w:tcPr>
          <w:p>
            <w:pPr>
              <w:spacing w:line="360" w:lineRule="auto"/>
              <w:rPr>
                <w:rFonts w:hint="eastAsia" w:ascii="宋体" w:hAnsi="宋体" w:cs="仿宋_GB2312"/>
                <w:sz w:val="24"/>
                <w:szCs w:val="24"/>
                <w:highlight w:val="none"/>
              </w:rPr>
            </w:pPr>
          </w:p>
        </w:tc>
        <w:tc>
          <w:tcPr>
            <w:tcW w:w="821" w:type="dxa"/>
            <w:noWrap w:val="0"/>
            <w:vAlign w:val="top"/>
          </w:tcPr>
          <w:p>
            <w:pPr>
              <w:spacing w:line="360" w:lineRule="auto"/>
              <w:rPr>
                <w:rFonts w:hint="eastAsia" w:ascii="宋体" w:hAnsi="宋体" w:cs="仿宋_GB2312"/>
                <w:sz w:val="24"/>
                <w:szCs w:val="24"/>
                <w:highlight w:val="none"/>
              </w:rPr>
            </w:pPr>
          </w:p>
        </w:tc>
        <w:tc>
          <w:tcPr>
            <w:tcW w:w="1278" w:type="dxa"/>
            <w:noWrap w:val="0"/>
            <w:vAlign w:val="top"/>
          </w:tcPr>
          <w:p>
            <w:pPr>
              <w:spacing w:line="360" w:lineRule="auto"/>
              <w:rPr>
                <w:rFonts w:hint="eastAsia" w:ascii="宋体" w:hAnsi="宋体" w:cs="仿宋_GB2312"/>
                <w:sz w:val="24"/>
                <w:szCs w:val="24"/>
                <w:highlight w:val="none"/>
              </w:rPr>
            </w:pPr>
          </w:p>
        </w:tc>
        <w:tc>
          <w:tcPr>
            <w:tcW w:w="1545" w:type="dxa"/>
            <w:noWrap w:val="0"/>
            <w:vAlign w:val="top"/>
          </w:tcPr>
          <w:p>
            <w:pPr>
              <w:spacing w:line="360" w:lineRule="auto"/>
              <w:rPr>
                <w:rFonts w:hint="eastAsia" w:ascii="宋体" w:hAnsi="宋体" w:cs="仿宋_GB2312"/>
                <w:sz w:val="24"/>
                <w:szCs w:val="24"/>
                <w:highlight w:val="none"/>
              </w:rPr>
            </w:pPr>
          </w:p>
        </w:tc>
        <w:tc>
          <w:tcPr>
            <w:tcW w:w="1028" w:type="dxa"/>
            <w:noWrap w:val="0"/>
            <w:vAlign w:val="top"/>
          </w:tcPr>
          <w:p>
            <w:pPr>
              <w:spacing w:line="360" w:lineRule="auto"/>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1317" w:type="dxa"/>
            <w:noWrap w:val="0"/>
            <w:vAlign w:val="top"/>
          </w:tcPr>
          <w:p>
            <w:pPr>
              <w:spacing w:line="360" w:lineRule="auto"/>
              <w:rPr>
                <w:rFonts w:hint="eastAsia" w:ascii="宋体" w:hAnsi="宋体" w:cs="仿宋_GB2312"/>
                <w:sz w:val="24"/>
                <w:szCs w:val="24"/>
                <w:highlight w:val="none"/>
              </w:rPr>
            </w:pPr>
          </w:p>
        </w:tc>
        <w:tc>
          <w:tcPr>
            <w:tcW w:w="1375" w:type="dxa"/>
            <w:noWrap w:val="0"/>
            <w:vAlign w:val="top"/>
          </w:tcPr>
          <w:p>
            <w:pPr>
              <w:spacing w:line="360" w:lineRule="auto"/>
              <w:rPr>
                <w:rFonts w:hint="eastAsia" w:ascii="宋体" w:hAnsi="宋体" w:cs="仿宋_GB2312"/>
                <w:sz w:val="24"/>
                <w:szCs w:val="24"/>
                <w:highlight w:val="none"/>
              </w:rPr>
            </w:pPr>
          </w:p>
        </w:tc>
        <w:tc>
          <w:tcPr>
            <w:tcW w:w="783" w:type="dxa"/>
            <w:noWrap w:val="0"/>
            <w:vAlign w:val="top"/>
          </w:tcPr>
          <w:p>
            <w:pPr>
              <w:spacing w:line="360" w:lineRule="auto"/>
              <w:rPr>
                <w:rFonts w:hint="eastAsia" w:ascii="宋体" w:hAnsi="宋体" w:cs="仿宋_GB2312"/>
                <w:sz w:val="24"/>
                <w:szCs w:val="24"/>
                <w:highlight w:val="none"/>
              </w:rPr>
            </w:pPr>
          </w:p>
        </w:tc>
        <w:tc>
          <w:tcPr>
            <w:tcW w:w="821" w:type="dxa"/>
            <w:noWrap w:val="0"/>
            <w:vAlign w:val="top"/>
          </w:tcPr>
          <w:p>
            <w:pPr>
              <w:spacing w:line="360" w:lineRule="auto"/>
              <w:rPr>
                <w:rFonts w:hint="eastAsia" w:ascii="宋体" w:hAnsi="宋体" w:cs="仿宋_GB2312"/>
                <w:sz w:val="24"/>
                <w:szCs w:val="24"/>
                <w:highlight w:val="none"/>
              </w:rPr>
            </w:pPr>
          </w:p>
        </w:tc>
        <w:tc>
          <w:tcPr>
            <w:tcW w:w="1278" w:type="dxa"/>
            <w:noWrap w:val="0"/>
            <w:vAlign w:val="top"/>
          </w:tcPr>
          <w:p>
            <w:pPr>
              <w:spacing w:line="360" w:lineRule="auto"/>
              <w:rPr>
                <w:rFonts w:hint="eastAsia" w:ascii="宋体" w:hAnsi="宋体" w:cs="仿宋_GB2312"/>
                <w:sz w:val="24"/>
                <w:szCs w:val="24"/>
                <w:highlight w:val="none"/>
              </w:rPr>
            </w:pPr>
          </w:p>
        </w:tc>
        <w:tc>
          <w:tcPr>
            <w:tcW w:w="1545" w:type="dxa"/>
            <w:noWrap w:val="0"/>
            <w:vAlign w:val="top"/>
          </w:tcPr>
          <w:p>
            <w:pPr>
              <w:spacing w:line="360" w:lineRule="auto"/>
              <w:rPr>
                <w:rFonts w:hint="eastAsia" w:ascii="宋体" w:hAnsi="宋体" w:cs="仿宋_GB2312"/>
                <w:sz w:val="24"/>
                <w:szCs w:val="24"/>
                <w:highlight w:val="none"/>
              </w:rPr>
            </w:pPr>
          </w:p>
        </w:tc>
        <w:tc>
          <w:tcPr>
            <w:tcW w:w="1028" w:type="dxa"/>
            <w:noWrap w:val="0"/>
            <w:vAlign w:val="top"/>
          </w:tcPr>
          <w:p>
            <w:pPr>
              <w:spacing w:line="360" w:lineRule="auto"/>
              <w:rPr>
                <w:rFonts w:hint="eastAsia" w:ascii="宋体" w:hAnsi="宋体" w:cs="仿宋_GB2312"/>
                <w:sz w:val="24"/>
                <w:szCs w:val="24"/>
                <w:highlight w:val="none"/>
              </w:rPr>
            </w:pPr>
          </w:p>
        </w:tc>
      </w:tr>
    </w:tbl>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pStyle w:val="37"/>
        <w:rPr>
          <w:rFonts w:ascii="Times New Roman" w:hAnsi="Times New Roman"/>
          <w:b/>
          <w:color w:val="auto"/>
          <w:sz w:val="28"/>
          <w:highlight w:val="none"/>
        </w:rPr>
      </w:pPr>
    </w:p>
    <w:p>
      <w:pPr>
        <w:pStyle w:val="18"/>
        <w:spacing w:line="360" w:lineRule="auto"/>
        <w:ind w:left="0" w:leftChars="0"/>
        <w:jc w:val="left"/>
        <w:outlineLvl w:val="0"/>
        <w:rPr>
          <w:rFonts w:hint="eastAsia" w:ascii="宋体" w:hAnsi="宋体" w:cs="仿宋_GB2312"/>
          <w:sz w:val="21"/>
          <w:szCs w:val="21"/>
          <w:highlight w:val="none"/>
        </w:rPr>
      </w:pPr>
      <w:bookmarkStart w:id="131" w:name="_Toc9868"/>
      <w:bookmarkStart w:id="132" w:name="_Toc27641"/>
      <w:r>
        <w:rPr>
          <w:rFonts w:hint="eastAsia" w:ascii="宋体" w:hAnsi="宋体" w:cs="仿宋_GB2312"/>
          <w:sz w:val="21"/>
          <w:szCs w:val="21"/>
          <w:highlight w:val="none"/>
        </w:rPr>
        <w:t>注：提供拟投入本项目人员职称证书</w:t>
      </w:r>
      <w:r>
        <w:rPr>
          <w:rFonts w:hint="eastAsia" w:ascii="宋体" w:hAnsi="宋体" w:eastAsia="宋体" w:cs="仿宋_GB2312"/>
          <w:sz w:val="21"/>
          <w:szCs w:val="21"/>
          <w:highlight w:val="none"/>
          <w:lang w:val="en-US" w:eastAsia="zh-CN"/>
        </w:rPr>
        <w:t>或注册证书</w:t>
      </w:r>
      <w:bookmarkEnd w:id="131"/>
      <w:bookmarkEnd w:id="132"/>
      <w:bookmarkStart w:id="133" w:name="_Toc8935"/>
      <w:bookmarkStart w:id="134" w:name="_Toc10429"/>
      <w:bookmarkStart w:id="135" w:name="_Toc83459205"/>
      <w:bookmarkStart w:id="136" w:name="_Toc29445"/>
      <w:bookmarkStart w:id="137" w:name="_Toc29793"/>
      <w:bookmarkStart w:id="138" w:name="_Toc12210"/>
      <w:bookmarkStart w:id="139" w:name="_Toc7162"/>
      <w:bookmarkStart w:id="140" w:name="_Toc4801"/>
      <w:r>
        <w:rPr>
          <w:rFonts w:hint="eastAsia" w:ascii="宋体" w:hAnsi="宋体" w:cs="仿宋_GB2312"/>
          <w:sz w:val="21"/>
          <w:szCs w:val="21"/>
          <w:highlight w:val="none"/>
        </w:rPr>
        <w:t xml:space="preserve">        </w:t>
      </w:r>
    </w:p>
    <w:p>
      <w:pPr>
        <w:spacing w:line="360" w:lineRule="auto"/>
        <w:jc w:val="left"/>
        <w:rPr>
          <w:rFonts w:hint="eastAsia" w:ascii="宋体" w:hAnsi="宋体" w:cs="仿宋_GB2312"/>
          <w:sz w:val="21"/>
          <w:szCs w:val="21"/>
          <w:highlight w:val="none"/>
        </w:rPr>
      </w:pPr>
      <w:r>
        <w:rPr>
          <w:rFonts w:hint="eastAsia" w:ascii="宋体" w:hAnsi="宋体" w:cs="仿宋_GB2312"/>
          <w:sz w:val="21"/>
          <w:szCs w:val="21"/>
          <w:highlight w:val="none"/>
        </w:rPr>
        <w:t>供应商（公章）:</w:t>
      </w:r>
      <w:bookmarkEnd w:id="133"/>
      <w:bookmarkEnd w:id="134"/>
      <w:bookmarkEnd w:id="135"/>
      <w:bookmarkEnd w:id="136"/>
      <w:bookmarkEnd w:id="137"/>
      <w:bookmarkEnd w:id="138"/>
      <w:bookmarkEnd w:id="139"/>
      <w:bookmarkEnd w:id="140"/>
      <w:r>
        <w:rPr>
          <w:rFonts w:hint="eastAsia" w:ascii="宋体" w:hAnsi="宋体" w:cs="仿宋_GB2312"/>
          <w:sz w:val="21"/>
          <w:szCs w:val="21"/>
          <w:highlight w:val="none"/>
        </w:rPr>
        <w:t xml:space="preserve">          </w:t>
      </w:r>
    </w:p>
    <w:p>
      <w:pPr>
        <w:spacing w:line="360" w:lineRule="auto"/>
        <w:jc w:val="left"/>
        <w:rPr>
          <w:rFonts w:hint="eastAsia" w:ascii="宋体" w:hAnsi="宋体" w:cs="仿宋_GB2312"/>
          <w:sz w:val="21"/>
          <w:szCs w:val="21"/>
          <w:highlight w:val="none"/>
        </w:rPr>
      </w:pPr>
      <w:bookmarkStart w:id="141" w:name="_Toc7851"/>
      <w:bookmarkStart w:id="142" w:name="_Toc4804"/>
      <w:bookmarkStart w:id="143" w:name="_Toc25758"/>
      <w:bookmarkStart w:id="144" w:name="_Toc2588"/>
      <w:bookmarkStart w:id="145" w:name="_Toc28620"/>
      <w:bookmarkStart w:id="146" w:name="_Toc22536"/>
      <w:bookmarkStart w:id="147" w:name="_Toc9674"/>
      <w:bookmarkStart w:id="148" w:name="_Toc83459206"/>
      <w:r>
        <w:rPr>
          <w:rFonts w:hint="eastAsia" w:ascii="宋体" w:hAnsi="宋体" w:cs="仿宋_GB2312"/>
          <w:sz w:val="21"/>
          <w:szCs w:val="21"/>
          <w:highlight w:val="none"/>
        </w:rPr>
        <w:t>日期：</w:t>
      </w:r>
      <w:bookmarkEnd w:id="141"/>
      <w:bookmarkEnd w:id="142"/>
      <w:bookmarkEnd w:id="143"/>
      <w:bookmarkEnd w:id="144"/>
      <w:bookmarkEnd w:id="145"/>
      <w:bookmarkEnd w:id="146"/>
      <w:bookmarkEnd w:id="147"/>
      <w:bookmarkEnd w:id="148"/>
    </w:p>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pStyle w:val="37"/>
        <w:rPr>
          <w:rFonts w:ascii="Times New Roman" w:hAnsi="Times New Roman"/>
          <w:b/>
          <w:color w:val="auto"/>
          <w:sz w:val="28"/>
          <w:highlight w:val="none"/>
        </w:rPr>
      </w:pPr>
    </w:p>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pStyle w:val="37"/>
        <w:rPr>
          <w:rFonts w:ascii="Times New Roman" w:hAnsi="Times New Roman"/>
          <w:b/>
          <w:color w:val="auto"/>
          <w:sz w:val="28"/>
          <w:highlight w:val="none"/>
        </w:rPr>
      </w:pPr>
    </w:p>
    <w:bookmarkEnd w:id="125"/>
    <w:bookmarkEnd w:id="126"/>
    <w:bookmarkEnd w:id="127"/>
    <w:bookmarkEnd w:id="128"/>
    <w:p>
      <w:pPr>
        <w:pStyle w:val="25"/>
        <w:spacing w:line="460" w:lineRule="exact"/>
        <w:jc w:val="center"/>
        <w:rPr>
          <w:rFonts w:hint="eastAsia" w:ascii="Times New Roman" w:hAnsi="Times New Roman"/>
          <w:color w:val="auto"/>
          <w:sz w:val="32"/>
          <w:szCs w:val="32"/>
          <w:highlight w:val="none"/>
          <w:lang w:eastAsia="zh-CN"/>
        </w:rPr>
      </w:pPr>
      <w:bookmarkStart w:id="149" w:name="_Toc355787727"/>
      <w:bookmarkStart w:id="150" w:name="_Toc341340670"/>
      <w:bookmarkStart w:id="151" w:name="_Toc220232402"/>
      <w:bookmarkStart w:id="152" w:name="_Toc516969105"/>
      <w:bookmarkStart w:id="153" w:name="_Toc320969915"/>
      <w:bookmarkStart w:id="154" w:name="_Toc300210390"/>
      <w:bookmarkStart w:id="155" w:name="_Toc32658"/>
      <w:bookmarkStart w:id="156" w:name="_Toc477765595"/>
    </w:p>
    <w:p>
      <w:pPr>
        <w:pStyle w:val="25"/>
        <w:spacing w:line="460" w:lineRule="exact"/>
        <w:jc w:val="center"/>
        <w:rPr>
          <w:rFonts w:hint="eastAsia" w:ascii="宋体" w:hAnsi="宋体" w:cs="宋体"/>
          <w:color w:val="auto"/>
          <w:sz w:val="24"/>
          <w:szCs w:val="24"/>
          <w:highlight w:val="none"/>
        </w:rPr>
      </w:pPr>
      <w:bookmarkStart w:id="157" w:name="_Toc16652"/>
      <w:r>
        <w:rPr>
          <w:rFonts w:hint="eastAsia" w:ascii="Times New Roman" w:hAnsi="Times New Roman"/>
          <w:color w:val="auto"/>
          <w:sz w:val="32"/>
          <w:szCs w:val="32"/>
          <w:highlight w:val="none"/>
          <w:lang w:eastAsia="zh-CN"/>
        </w:rPr>
        <w:t>八</w:t>
      </w:r>
      <w:r>
        <w:rPr>
          <w:rFonts w:ascii="Times New Roman" w:hAnsi="Times New Roman" w:eastAsia="宋体"/>
          <w:color w:val="auto"/>
          <w:sz w:val="32"/>
          <w:szCs w:val="32"/>
          <w:highlight w:val="none"/>
        </w:rPr>
        <w:t>．</w:t>
      </w:r>
      <w:bookmarkEnd w:id="149"/>
      <w:bookmarkEnd w:id="150"/>
      <w:bookmarkEnd w:id="151"/>
      <w:bookmarkEnd w:id="152"/>
      <w:bookmarkEnd w:id="153"/>
      <w:bookmarkEnd w:id="154"/>
      <w:bookmarkEnd w:id="155"/>
      <w:bookmarkEnd w:id="156"/>
      <w:r>
        <w:rPr>
          <w:rFonts w:hint="eastAsia" w:ascii="宋体" w:hAnsi="宋体" w:cs="宋体"/>
          <w:color w:val="auto"/>
          <w:sz w:val="32"/>
          <w:szCs w:val="32"/>
          <w:highlight w:val="none"/>
        </w:rPr>
        <w:t>企业业绩</w:t>
      </w:r>
      <w:r>
        <w:rPr>
          <w:rFonts w:hint="eastAsia" w:ascii="宋体" w:hAnsi="宋体" w:cs="宋体"/>
          <w:color w:val="auto"/>
          <w:sz w:val="24"/>
          <w:szCs w:val="24"/>
          <w:highlight w:val="none"/>
        </w:rPr>
        <w:t>（如有）</w:t>
      </w:r>
      <w:bookmarkEnd w:id="157"/>
    </w:p>
    <w:p>
      <w:pPr>
        <w:ind w:left="721" w:hanging="718" w:hangingChars="342"/>
        <w:rPr>
          <w:rFonts w:ascii="宋体" w:hAnsi="宋体" w:cs="宋体"/>
          <w:color w:val="auto"/>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jc w:val="both"/>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lang w:eastAsia="zh-CN"/>
        </w:rPr>
      </w:pPr>
    </w:p>
    <w:bookmarkEnd w:id="124"/>
    <w:p>
      <w:pPr>
        <w:pStyle w:val="25"/>
        <w:jc w:val="center"/>
        <w:rPr>
          <w:rFonts w:hint="eastAsia" w:ascii="Times New Roman" w:hAnsi="Times New Roman"/>
          <w:color w:val="auto"/>
          <w:sz w:val="32"/>
          <w:szCs w:val="32"/>
          <w:highlight w:val="none"/>
          <w:lang w:eastAsia="zh-CN"/>
        </w:rPr>
      </w:pPr>
      <w:bookmarkStart w:id="158" w:name="_Toc5592"/>
    </w:p>
    <w:p>
      <w:pPr>
        <w:pStyle w:val="25"/>
        <w:jc w:val="center"/>
        <w:rPr>
          <w:rFonts w:hint="eastAsia" w:ascii="Times New Roman" w:hAnsi="Times New Roman"/>
          <w:color w:val="auto"/>
          <w:sz w:val="32"/>
          <w:szCs w:val="32"/>
          <w:highlight w:val="none"/>
          <w:lang w:eastAsia="zh-CN"/>
        </w:rPr>
      </w:pPr>
    </w:p>
    <w:p>
      <w:pPr>
        <w:pStyle w:val="25"/>
        <w:jc w:val="center"/>
        <w:rPr>
          <w:rFonts w:hint="eastAsia" w:ascii="Times New Roman" w:hAnsi="Times New Roman"/>
          <w:color w:val="auto"/>
          <w:sz w:val="32"/>
          <w:szCs w:val="32"/>
          <w:highlight w:val="none"/>
          <w:lang w:eastAsia="zh-CN"/>
        </w:rPr>
      </w:pPr>
    </w:p>
    <w:p>
      <w:pPr>
        <w:pStyle w:val="25"/>
        <w:jc w:val="center"/>
        <w:rPr>
          <w:rFonts w:hint="eastAsia" w:ascii="Times New Roman" w:hAnsi="Times New Roman"/>
          <w:color w:val="auto"/>
          <w:sz w:val="32"/>
          <w:szCs w:val="32"/>
          <w:highlight w:val="none"/>
          <w:lang w:eastAsia="zh-CN"/>
        </w:rPr>
      </w:pPr>
    </w:p>
    <w:p>
      <w:pPr>
        <w:pStyle w:val="25"/>
        <w:jc w:val="center"/>
        <w:rPr>
          <w:rFonts w:hint="eastAsia" w:ascii="Times New Roman" w:hAnsi="Times New Roman"/>
          <w:color w:val="auto"/>
          <w:sz w:val="32"/>
          <w:szCs w:val="32"/>
          <w:highlight w:val="none"/>
          <w:lang w:eastAsia="zh-CN"/>
        </w:rPr>
      </w:pPr>
    </w:p>
    <w:p>
      <w:pPr>
        <w:pStyle w:val="25"/>
        <w:jc w:val="center"/>
        <w:rPr>
          <w:rFonts w:ascii="宋体" w:hAnsi="宋体" w:cs="宋体"/>
          <w:sz w:val="32"/>
          <w:szCs w:val="32"/>
        </w:rPr>
      </w:pPr>
      <w:bookmarkStart w:id="159" w:name="_Toc31471"/>
      <w:r>
        <w:rPr>
          <w:rFonts w:hint="eastAsia" w:ascii="Times New Roman" w:hAnsi="Times New Roman"/>
          <w:color w:val="auto"/>
          <w:sz w:val="32"/>
          <w:szCs w:val="32"/>
          <w:highlight w:val="none"/>
          <w:lang w:eastAsia="zh-CN"/>
        </w:rPr>
        <w:t>九、</w:t>
      </w:r>
      <w:r>
        <w:rPr>
          <w:rFonts w:hint="eastAsia" w:ascii="宋体" w:hAnsi="宋体" w:cs="宋体"/>
          <w:sz w:val="32"/>
          <w:szCs w:val="32"/>
        </w:rPr>
        <w:t>服务承诺及优惠条件</w:t>
      </w:r>
      <w:bookmarkEnd w:id="158"/>
      <w:bookmarkEnd w:id="159"/>
    </w:p>
    <w:p>
      <w:pPr>
        <w:spacing w:line="360" w:lineRule="exact"/>
        <w:outlineLvl w:val="1"/>
        <w:rPr>
          <w:rFonts w:ascii="宋体" w:cs="宋体"/>
          <w:szCs w:val="21"/>
        </w:rPr>
      </w:pPr>
    </w:p>
    <w:p>
      <w:pPr>
        <w:tabs>
          <w:tab w:val="right" w:leader="dot" w:pos="8505"/>
        </w:tabs>
        <w:spacing w:line="360" w:lineRule="auto"/>
        <w:ind w:firstLine="480" w:firstLineChars="200"/>
        <w:rPr>
          <w:rFonts w:ascii="宋体" w:cs="宋体"/>
          <w:sz w:val="24"/>
        </w:rPr>
      </w:pPr>
    </w:p>
    <w:p>
      <w:pPr>
        <w:pStyle w:val="38"/>
        <w:rPr>
          <w:rFonts w:ascii="宋体" w:cs="宋体"/>
          <w:sz w:val="24"/>
        </w:rPr>
      </w:pPr>
    </w:p>
    <w:p>
      <w:pPr>
        <w:tabs>
          <w:tab w:val="right" w:leader="dot" w:pos="8505"/>
        </w:tabs>
        <w:spacing w:line="360" w:lineRule="auto"/>
        <w:ind w:firstLine="480" w:firstLineChars="200"/>
        <w:rPr>
          <w:rFonts w:ascii="宋体" w:cs="宋体"/>
          <w:color w:val="FF0000"/>
          <w:sz w:val="24"/>
          <w:highlight w:val="none"/>
        </w:rPr>
      </w:pPr>
    </w:p>
    <w:p>
      <w:pPr>
        <w:pStyle w:val="38"/>
        <w:rPr>
          <w:rFonts w:ascii="宋体" w:cs="宋体"/>
          <w:color w:val="FF0000"/>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color w:val="auto"/>
          <w:highlight w:val="none"/>
        </w:rPr>
      </w:pPr>
    </w:p>
    <w:p>
      <w:pPr>
        <w:spacing w:line="360" w:lineRule="exact"/>
        <w:outlineLvl w:val="1"/>
        <w:rPr>
          <w:rFonts w:ascii="宋体" w:cs="宋体"/>
          <w:color w:val="auto"/>
          <w:szCs w:val="21"/>
          <w:highlight w:val="none"/>
        </w:rPr>
      </w:pPr>
    </w:p>
    <w:p>
      <w:pPr>
        <w:spacing w:line="360" w:lineRule="exact"/>
        <w:outlineLvl w:val="1"/>
        <w:rPr>
          <w:rFonts w:ascii="宋体" w:cs="宋体"/>
          <w:color w:val="auto"/>
          <w:szCs w:val="21"/>
          <w:highlight w:val="none"/>
        </w:rPr>
      </w:pPr>
    </w:p>
    <w:p>
      <w:pPr>
        <w:pStyle w:val="25"/>
        <w:jc w:val="center"/>
        <w:rPr>
          <w:rFonts w:hint="eastAsia" w:ascii="宋体" w:hAnsi="宋体" w:cs="宋体"/>
          <w:color w:val="auto"/>
          <w:highlight w:val="none"/>
          <w:lang w:eastAsia="zh-CN"/>
        </w:rPr>
      </w:pPr>
      <w:bookmarkStart w:id="160" w:name="_Toc26740"/>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ascii="宋体" w:cs="宋体"/>
          <w:color w:val="auto"/>
          <w:highlight w:val="none"/>
        </w:rPr>
      </w:pPr>
      <w:bookmarkStart w:id="161" w:name="_Toc9938"/>
      <w:r>
        <w:rPr>
          <w:rFonts w:hint="eastAsia" w:ascii="宋体" w:hAnsi="宋体" w:cs="宋体"/>
          <w:color w:val="auto"/>
          <w:highlight w:val="none"/>
          <w:lang w:eastAsia="zh-CN"/>
        </w:rPr>
        <w:t>十</w:t>
      </w:r>
      <w:r>
        <w:rPr>
          <w:rFonts w:hint="eastAsia" w:ascii="宋体" w:hAnsi="宋体" w:cs="宋体"/>
          <w:color w:val="auto"/>
          <w:highlight w:val="none"/>
        </w:rPr>
        <w:t>、反商业贿赂承诺书</w:t>
      </w:r>
      <w:bookmarkEnd w:id="160"/>
      <w:bookmarkEnd w:id="161"/>
    </w:p>
    <w:p>
      <w:pPr>
        <w:spacing w:line="360" w:lineRule="exact"/>
        <w:rPr>
          <w:rFonts w:ascii="宋体" w:cs="宋体"/>
          <w:color w:val="auto"/>
          <w:szCs w:val="21"/>
          <w:highlight w:val="none"/>
        </w:rPr>
      </w:pPr>
    </w:p>
    <w:p>
      <w:pPr>
        <w:spacing w:line="600" w:lineRule="exact"/>
        <w:rPr>
          <w:rFonts w:ascii="宋体" w:cs="宋体"/>
          <w:color w:val="auto"/>
          <w:szCs w:val="21"/>
          <w:highlight w:val="none"/>
        </w:rPr>
      </w:pPr>
      <w:r>
        <w:rPr>
          <w:rFonts w:hint="eastAsia" w:ascii="宋体" w:hAnsi="宋体" w:cs="宋体"/>
          <w:color w:val="auto"/>
          <w:szCs w:val="21"/>
          <w:highlight w:val="none"/>
        </w:rPr>
        <w:t>我公司承诺：</w:t>
      </w:r>
      <w:r>
        <w:rPr>
          <w:rFonts w:ascii="宋体" w:cs="宋体"/>
          <w:color w:val="auto"/>
          <w:szCs w:val="21"/>
          <w:highlight w:val="none"/>
        </w:rPr>
        <w:tab/>
      </w: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在</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（项目名称）</w:t>
      </w:r>
      <w:r>
        <w:rPr>
          <w:rFonts w:hint="eastAsia" w:ascii="宋体" w:hAnsi="宋体" w:cs="宋体"/>
          <w:color w:val="auto"/>
          <w:szCs w:val="21"/>
          <w:highlight w:val="none"/>
        </w:rPr>
        <w:t>投标活动中，我公司保证做到：</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一、公平参加本次投标活动。</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三、若出现上述行为，我公司及参与投标的工作人员愿意接受按照国家法律法规等有关规定的处罚。</w:t>
      </w:r>
    </w:p>
    <w:p>
      <w:pPr>
        <w:spacing w:line="600" w:lineRule="exact"/>
        <w:ind w:firstLine="420" w:firstLineChars="200"/>
        <w:rPr>
          <w:rFonts w:ascii="宋体" w:cs="宋体"/>
          <w:color w:val="auto"/>
          <w:szCs w:val="21"/>
          <w:highlight w:val="none"/>
        </w:rPr>
      </w:pPr>
    </w:p>
    <w:p>
      <w:pPr>
        <w:spacing w:line="600" w:lineRule="exact"/>
        <w:ind w:firstLine="420" w:firstLineChars="200"/>
        <w:rPr>
          <w:rFonts w:ascii="宋体" w:cs="宋体"/>
          <w:color w:val="auto"/>
          <w:szCs w:val="21"/>
          <w:highlight w:val="none"/>
        </w:rPr>
      </w:pPr>
    </w:p>
    <w:p>
      <w:pPr>
        <w:spacing w:line="600" w:lineRule="exact"/>
        <w:ind w:firstLine="420" w:firstLineChars="200"/>
        <w:rPr>
          <w:rFonts w:ascii="宋体" w:cs="宋体"/>
          <w:color w:val="auto"/>
          <w:szCs w:val="21"/>
          <w:highlight w:val="none"/>
        </w:rPr>
      </w:pPr>
    </w:p>
    <w:p>
      <w:pPr>
        <w:spacing w:line="600" w:lineRule="exact"/>
        <w:ind w:firstLine="3780" w:firstLineChars="1800"/>
        <w:rPr>
          <w:rFonts w:ascii="宋体" w:cs="宋体"/>
          <w:color w:val="auto"/>
          <w:szCs w:val="21"/>
          <w:highlight w:val="none"/>
        </w:rPr>
      </w:pPr>
      <w:r>
        <w:rPr>
          <w:rFonts w:hint="eastAsia" w:ascii="宋体" w:hAnsi="宋体" w:cs="宋体"/>
          <w:color w:val="auto"/>
          <w:szCs w:val="21"/>
          <w:highlight w:val="none"/>
        </w:rPr>
        <w:t>供应商（公章）</w:t>
      </w:r>
      <w:r>
        <w:rPr>
          <w:rFonts w:hint="eastAsia" w:ascii="宋体" w:hAnsi="宋体" w:cs="宋体"/>
          <w:color w:val="auto"/>
          <w:szCs w:val="21"/>
          <w:highlight w:val="none"/>
          <w:lang w:eastAsia="zh-CN"/>
        </w:rPr>
        <w:t>：</w:t>
      </w:r>
      <w:r>
        <w:rPr>
          <w:rFonts w:ascii="宋体" w:hAnsi="宋体" w:cs="宋体"/>
          <w:color w:val="auto"/>
          <w:szCs w:val="21"/>
          <w:highlight w:val="none"/>
        </w:rPr>
        <w:t xml:space="preserve">                                      </w:t>
      </w:r>
    </w:p>
    <w:p>
      <w:pPr>
        <w:spacing w:line="600" w:lineRule="exact"/>
        <w:ind w:left="4305" w:hanging="4305" w:hangingChars="2050"/>
        <w:rPr>
          <w:rFonts w:ascii="宋体" w:cs="宋体"/>
          <w:color w:val="auto"/>
          <w:szCs w:val="21"/>
          <w:highlight w:val="none"/>
        </w:rPr>
      </w:pP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spacing w:line="360" w:lineRule="exact"/>
        <w:rPr>
          <w:rFonts w:ascii="宋体" w:cs="宋体"/>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
      <w:pPr>
        <w:pStyle w:val="25"/>
        <w:rPr>
          <w:rFonts w:ascii="宋体" w:hAnsi="宋体" w:cs="宋体"/>
          <w:color w:val="auto"/>
          <w:highlight w:val="none"/>
        </w:rPr>
      </w:pPr>
      <w:bookmarkStart w:id="162" w:name="_Toc30071"/>
      <w:r>
        <w:rPr>
          <w:rFonts w:hint="eastAsia" w:ascii="宋体" w:hAnsi="宋体" w:cs="宋体"/>
          <w:color w:val="auto"/>
          <w:highlight w:val="none"/>
          <w:lang w:eastAsia="zh-CN"/>
        </w:rPr>
        <w:t>十一</w:t>
      </w:r>
      <w:r>
        <w:rPr>
          <w:rFonts w:hint="eastAsia" w:ascii="宋体" w:hAnsi="宋体" w:cs="宋体"/>
          <w:color w:val="auto"/>
          <w:highlight w:val="none"/>
        </w:rPr>
        <w:t>、无行贿犯罪记录承诺书</w:t>
      </w:r>
      <w:bookmarkEnd w:id="162"/>
    </w:p>
    <w:p>
      <w:pPr>
        <w:spacing w:beforeLines="100" w:afterLines="100"/>
        <w:jc w:val="center"/>
        <w:rPr>
          <w:rFonts w:ascii="宋体" w:hAnsi="宋体"/>
          <w:color w:val="auto"/>
          <w:sz w:val="30"/>
          <w:szCs w:val="30"/>
          <w:highlight w:val="none"/>
        </w:rPr>
      </w:pPr>
      <w:r>
        <w:rPr>
          <w:rFonts w:hint="eastAsia" w:ascii="宋体" w:hAnsi="宋体"/>
          <w:color w:val="auto"/>
          <w:sz w:val="30"/>
          <w:szCs w:val="30"/>
          <w:highlight w:val="none"/>
        </w:rPr>
        <w:t>承诺书</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（采购人名称）：</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我方在此声明，我方在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（项目名称）招投标过程中所涉及的包括企业法人、法定代表人、授权委托人近三年内均无行贿犯罪记录。</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我方保证上述信息的真实和准确，并愿意承担因我方就此弄虚作假所引起的一切法律后果。</w:t>
      </w:r>
    </w:p>
    <w:p>
      <w:pPr>
        <w:spacing w:line="600" w:lineRule="exact"/>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特此承诺</w:t>
      </w:r>
    </w:p>
    <w:p>
      <w:pPr>
        <w:spacing w:line="600" w:lineRule="exact"/>
        <w:ind w:firstLine="315" w:firstLineChars="150"/>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（盖单位章）</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法定代表人或授权委托人：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（签字</w:t>
      </w:r>
      <w:r>
        <w:rPr>
          <w:rFonts w:hint="eastAsia" w:ascii="宋体" w:hAnsi="宋体" w:cs="宋体"/>
          <w:color w:val="auto"/>
          <w:szCs w:val="21"/>
          <w:highlight w:val="none"/>
          <w:lang w:eastAsia="zh-CN"/>
        </w:rPr>
        <w:t>或盖章</w:t>
      </w:r>
      <w:r>
        <w:rPr>
          <w:rFonts w:hint="eastAsia" w:ascii="宋体" w:hAnsi="宋体" w:cs="宋体"/>
          <w:color w:val="auto"/>
          <w:szCs w:val="21"/>
          <w:highlight w:val="none"/>
        </w:rPr>
        <w:t>）</w:t>
      </w:r>
    </w:p>
    <w:p>
      <w:pPr>
        <w:spacing w:line="600" w:lineRule="exact"/>
        <w:ind w:firstLine="315" w:firstLineChars="150"/>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年    月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pPr>
        <w:spacing w:line="600" w:lineRule="exact"/>
        <w:ind w:firstLine="315" w:firstLineChars="150"/>
        <w:rPr>
          <w:rFonts w:ascii="宋体" w:hAnsi="宋体" w:cs="宋体"/>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440" w:lineRule="exact"/>
        <w:ind w:firstLine="482" w:firstLineChars="200"/>
        <w:rPr>
          <w:rFonts w:asciiTheme="majorEastAsia" w:hAnsiTheme="majorEastAsia" w:eastAsiaTheme="majorEastAsia"/>
          <w:b/>
          <w:sz w:val="24"/>
          <w:szCs w:val="24"/>
        </w:rPr>
      </w:pPr>
      <w:r>
        <w:rPr>
          <w:rFonts w:asciiTheme="majorEastAsia" w:hAnsiTheme="majorEastAsia" w:eastAsiaTheme="majorEastAsia"/>
          <w:b/>
          <w:sz w:val="24"/>
          <w:szCs w:val="24"/>
        </w:rPr>
        <w:t>(</w:t>
      </w:r>
      <w:r>
        <w:rPr>
          <w:rFonts w:hint="eastAsia" w:asciiTheme="majorEastAsia" w:hAnsiTheme="majorEastAsia" w:eastAsiaTheme="majorEastAsia"/>
          <w:b/>
          <w:sz w:val="24"/>
          <w:szCs w:val="24"/>
        </w:rPr>
        <w:t>出具由“中国裁判文书网”网站查询近三年来法人、法定代表人、</w:t>
      </w:r>
      <w:r>
        <w:rPr>
          <w:rFonts w:hint="eastAsia" w:asciiTheme="majorEastAsia" w:hAnsiTheme="majorEastAsia" w:eastAsiaTheme="majorEastAsia"/>
          <w:b/>
          <w:sz w:val="24"/>
          <w:szCs w:val="24"/>
          <w:lang w:eastAsia="zh-CN"/>
        </w:rPr>
        <w:t>授权</w:t>
      </w:r>
      <w:r>
        <w:rPr>
          <w:rFonts w:hint="eastAsia" w:asciiTheme="majorEastAsia" w:hAnsiTheme="majorEastAsia" w:eastAsiaTheme="majorEastAsia"/>
          <w:b/>
          <w:sz w:val="24"/>
          <w:szCs w:val="24"/>
        </w:rPr>
        <w:t>委托人无行贿犯罪记录网页截图加盖企业公章证明</w:t>
      </w:r>
      <w:r>
        <w:rPr>
          <w:rFonts w:asciiTheme="majorEastAsia" w:hAnsiTheme="majorEastAsia" w:eastAsiaTheme="majorEastAsia"/>
          <w:b/>
          <w:sz w:val="24"/>
          <w:szCs w:val="24"/>
        </w:rPr>
        <w:t xml:space="preserve"> )</w:t>
      </w:r>
      <w:r>
        <w:rPr>
          <w:rFonts w:hint="eastAsia" w:asciiTheme="majorEastAsia" w:hAnsiTheme="majorEastAsia" w:eastAsiaTheme="majorEastAsia"/>
          <w:b/>
          <w:sz w:val="24"/>
          <w:szCs w:val="24"/>
        </w:rPr>
        <w:t>；若有行贿犯罪记录则取消其投标资格；</w:t>
      </w:r>
    </w:p>
    <w:p>
      <w:pPr>
        <w:spacing w:line="360" w:lineRule="exact"/>
        <w:jc w:val="center"/>
        <w:rPr>
          <w:rFonts w:ascii="宋体" w:cs="宋体"/>
          <w:b/>
          <w:color w:val="auto"/>
          <w:szCs w:val="21"/>
          <w:highlight w:val="none"/>
        </w:rPr>
      </w:pPr>
    </w:p>
    <w:p>
      <w:pPr>
        <w:pStyle w:val="40"/>
        <w:rPr>
          <w:rFonts w:ascii="宋体" w:cs="宋体"/>
          <w:b/>
          <w:color w:val="auto"/>
          <w:szCs w:val="21"/>
          <w:highlight w:val="none"/>
        </w:rPr>
      </w:pPr>
    </w:p>
    <w:p>
      <w:pPr>
        <w:pStyle w:val="14"/>
        <w:rPr>
          <w:rFonts w:ascii="宋体" w:cs="宋体"/>
          <w:b/>
          <w:color w:val="auto"/>
          <w:szCs w:val="21"/>
          <w:highlight w:val="none"/>
        </w:rPr>
      </w:pPr>
    </w:p>
    <w:p>
      <w:pPr>
        <w:rPr>
          <w:color w:val="auto"/>
          <w:highlight w:val="none"/>
        </w:rPr>
      </w:pPr>
    </w:p>
    <w:p>
      <w:pPr>
        <w:spacing w:line="360" w:lineRule="exact"/>
        <w:jc w:val="center"/>
        <w:rPr>
          <w:rFonts w:ascii="宋体" w:cs="宋体"/>
          <w:b/>
          <w:color w:val="auto"/>
          <w:szCs w:val="21"/>
          <w:highlight w:val="none"/>
        </w:rPr>
      </w:pPr>
    </w:p>
    <w:p>
      <w:pPr>
        <w:pStyle w:val="38"/>
        <w:rPr>
          <w:color w:val="auto"/>
          <w:highlight w:val="none"/>
        </w:rPr>
      </w:pPr>
    </w:p>
    <w:p>
      <w:pPr>
        <w:pStyle w:val="25"/>
        <w:jc w:val="center"/>
        <w:rPr>
          <w:rFonts w:hint="eastAsia" w:ascii="宋体" w:hAnsi="宋体" w:cs="宋体"/>
          <w:color w:val="auto"/>
          <w:highlight w:val="none"/>
          <w:lang w:eastAsia="zh-CN"/>
        </w:rPr>
      </w:pPr>
      <w:bookmarkStart w:id="163" w:name="_Toc6331"/>
    </w:p>
    <w:p>
      <w:pPr>
        <w:pStyle w:val="25"/>
        <w:jc w:val="center"/>
        <w:rPr>
          <w:rFonts w:ascii="宋体" w:cs="宋体"/>
          <w:color w:val="auto"/>
          <w:highlight w:val="none"/>
        </w:rPr>
      </w:pPr>
      <w:bookmarkStart w:id="164" w:name="_Toc13771"/>
      <w:r>
        <w:rPr>
          <w:rFonts w:hint="eastAsia" w:ascii="宋体" w:hAnsi="宋体" w:cs="宋体"/>
          <w:color w:val="auto"/>
          <w:highlight w:val="none"/>
          <w:lang w:eastAsia="zh-CN"/>
        </w:rPr>
        <w:t>十二</w:t>
      </w:r>
      <w:r>
        <w:rPr>
          <w:rFonts w:hint="eastAsia" w:ascii="宋体" w:hAnsi="宋体" w:cs="宋体"/>
          <w:color w:val="auto"/>
          <w:highlight w:val="none"/>
        </w:rPr>
        <w:t>、</w:t>
      </w:r>
      <w:r>
        <w:rPr>
          <w:rFonts w:ascii="宋体" w:hAnsi="宋体" w:cs="宋体"/>
          <w:color w:val="auto"/>
          <w:highlight w:val="none"/>
        </w:rPr>
        <w:t xml:space="preserve"> </w:t>
      </w:r>
      <w:r>
        <w:rPr>
          <w:rFonts w:hint="eastAsia" w:ascii="宋体" w:hAnsi="宋体" w:cs="宋体"/>
          <w:color w:val="auto"/>
          <w:highlight w:val="none"/>
        </w:rPr>
        <w:t>资</w:t>
      </w:r>
      <w:r>
        <w:rPr>
          <w:rFonts w:ascii="宋体" w:hAnsi="宋体" w:cs="宋体"/>
          <w:color w:val="auto"/>
          <w:highlight w:val="none"/>
        </w:rPr>
        <w:t xml:space="preserve"> </w:t>
      </w:r>
      <w:r>
        <w:rPr>
          <w:rFonts w:hint="eastAsia" w:ascii="宋体" w:hAnsi="宋体" w:cs="宋体"/>
          <w:color w:val="auto"/>
          <w:highlight w:val="none"/>
        </w:rPr>
        <w:t>格</w:t>
      </w:r>
      <w:r>
        <w:rPr>
          <w:rFonts w:ascii="宋体" w:hAnsi="宋体" w:cs="宋体"/>
          <w:color w:val="auto"/>
          <w:highlight w:val="none"/>
        </w:rPr>
        <w:t xml:space="preserve"> </w:t>
      </w:r>
      <w:r>
        <w:rPr>
          <w:rFonts w:hint="eastAsia" w:ascii="宋体" w:hAnsi="宋体" w:cs="宋体"/>
          <w:color w:val="auto"/>
          <w:highlight w:val="none"/>
        </w:rPr>
        <w:t>证</w:t>
      </w:r>
      <w:r>
        <w:rPr>
          <w:rFonts w:ascii="宋体" w:hAnsi="宋体" w:cs="宋体"/>
          <w:color w:val="auto"/>
          <w:highlight w:val="none"/>
        </w:rPr>
        <w:t xml:space="preserve"> </w:t>
      </w:r>
      <w:r>
        <w:rPr>
          <w:rFonts w:hint="eastAsia" w:ascii="宋体" w:hAnsi="宋体" w:cs="宋体"/>
          <w:color w:val="auto"/>
          <w:highlight w:val="none"/>
        </w:rPr>
        <w:t>明</w:t>
      </w:r>
      <w:r>
        <w:rPr>
          <w:rFonts w:ascii="宋体" w:hAnsi="宋体" w:cs="宋体"/>
          <w:color w:val="auto"/>
          <w:highlight w:val="none"/>
        </w:rPr>
        <w:t xml:space="preserve"> </w:t>
      </w:r>
      <w:r>
        <w:rPr>
          <w:rFonts w:hint="eastAsia" w:ascii="宋体" w:hAnsi="宋体" w:cs="宋体"/>
          <w:color w:val="auto"/>
          <w:highlight w:val="none"/>
        </w:rPr>
        <w:t>文</w:t>
      </w:r>
      <w:r>
        <w:rPr>
          <w:rFonts w:ascii="宋体" w:hAnsi="宋体" w:cs="宋体"/>
          <w:color w:val="auto"/>
          <w:highlight w:val="none"/>
        </w:rPr>
        <w:t xml:space="preserve"> </w:t>
      </w:r>
      <w:r>
        <w:rPr>
          <w:rFonts w:hint="eastAsia" w:ascii="宋体" w:hAnsi="宋体" w:cs="宋体"/>
          <w:color w:val="auto"/>
          <w:highlight w:val="none"/>
        </w:rPr>
        <w:t>件</w:t>
      </w:r>
      <w:bookmarkEnd w:id="163"/>
      <w:bookmarkEnd w:id="164"/>
    </w:p>
    <w:p>
      <w:pPr>
        <w:rPr>
          <w:rFonts w:ascii="宋体" w:cs="宋体"/>
          <w:color w:val="auto"/>
          <w:highlight w:val="none"/>
        </w:rPr>
      </w:pPr>
    </w:p>
    <w:p>
      <w:pPr>
        <w:numPr>
          <w:ilvl w:val="0"/>
          <w:numId w:val="9"/>
        </w:numPr>
        <w:spacing w:line="500" w:lineRule="exact"/>
        <w:ind w:firstLine="420" w:firstLineChars="200"/>
        <w:jc w:val="left"/>
        <w:rPr>
          <w:rFonts w:hint="default"/>
          <w:lang w:val="en-US" w:eastAsia="zh-CN"/>
        </w:rPr>
      </w:pPr>
      <w:r>
        <w:rPr>
          <w:rFonts w:hint="eastAsia" w:ascii="宋体" w:hAnsi="宋体" w:cs="宋体"/>
          <w:color w:val="auto"/>
          <w:kern w:val="0"/>
          <w:szCs w:val="21"/>
          <w:highlight w:val="none"/>
          <w:lang w:eastAsia="zh-CN"/>
        </w:rPr>
        <w:t>温县政府采购供应商资格信用承诺函（格式附后）</w:t>
      </w:r>
    </w:p>
    <w:p>
      <w:pPr>
        <w:numPr>
          <w:ilvl w:val="0"/>
          <w:numId w:val="9"/>
        </w:numPr>
        <w:spacing w:line="440" w:lineRule="exact"/>
        <w:ind w:left="0" w:leftChars="0" w:firstLine="420" w:firstLineChars="200"/>
        <w:rPr>
          <w:rFonts w:hint="eastAsia"/>
          <w:color w:val="auto"/>
          <w:szCs w:val="21"/>
          <w:highlight w:val="none"/>
        </w:rPr>
      </w:pPr>
      <w:r>
        <w:rPr>
          <w:rFonts w:hint="eastAsia"/>
          <w:color w:val="auto"/>
          <w:szCs w:val="21"/>
          <w:highlight w:val="none"/>
        </w:rPr>
        <w:t>法定代表人身份证明或授权委托书及被授权人本人身份证</w:t>
      </w:r>
    </w:p>
    <w:p>
      <w:pPr>
        <w:numPr>
          <w:ilvl w:val="0"/>
          <w:numId w:val="9"/>
        </w:numPr>
        <w:spacing w:line="440" w:lineRule="exact"/>
        <w:ind w:left="0" w:leftChars="0" w:firstLine="420" w:firstLineChars="200"/>
        <w:rPr>
          <w:rFonts w:ascii="宋体" w:hAnsi="宋体" w:cs="宋体"/>
          <w:color w:val="auto"/>
          <w:szCs w:val="21"/>
          <w:highlight w:val="none"/>
        </w:rPr>
      </w:pPr>
      <w:r>
        <w:rPr>
          <w:rFonts w:hint="eastAsia"/>
          <w:color w:val="auto"/>
          <w:szCs w:val="21"/>
          <w:highlight w:val="none"/>
          <w:lang w:eastAsia="zh-CN"/>
        </w:rPr>
        <w:t>资质符合第二章供应商须知前附表</w:t>
      </w:r>
      <w:r>
        <w:rPr>
          <w:rFonts w:hint="eastAsia" w:ascii="宋体" w:hAnsi="宋体" w:cs="宋体"/>
          <w:color w:val="auto"/>
          <w:szCs w:val="21"/>
          <w:highlight w:val="none"/>
          <w:lang w:val="en-US" w:eastAsia="zh-CN"/>
        </w:rPr>
        <w:t>1.3.4</w:t>
      </w:r>
      <w:r>
        <w:rPr>
          <w:rFonts w:hint="eastAsia"/>
          <w:color w:val="auto"/>
          <w:szCs w:val="21"/>
          <w:highlight w:val="none"/>
          <w:lang w:val="en-US" w:eastAsia="zh-CN"/>
        </w:rPr>
        <w:t>规定</w:t>
      </w:r>
    </w:p>
    <w:p>
      <w:pPr>
        <w:numPr>
          <w:ilvl w:val="0"/>
          <w:numId w:val="9"/>
        </w:numPr>
        <w:spacing w:line="440" w:lineRule="exact"/>
        <w:ind w:left="0" w:leftChars="0" w:firstLine="420" w:firstLineChars="200"/>
        <w:rPr>
          <w:rFonts w:ascii="宋体" w:hAnsi="宋体" w:cs="宋体"/>
          <w:color w:val="auto"/>
          <w:szCs w:val="21"/>
          <w:highlight w:val="none"/>
        </w:rPr>
      </w:pPr>
      <w:r>
        <w:rPr>
          <w:rFonts w:hint="eastAsia"/>
          <w:color w:val="auto"/>
          <w:szCs w:val="21"/>
          <w:highlight w:val="none"/>
        </w:rPr>
        <w:t>无行贿犯罪记录符合第二章供应商须知前附表</w:t>
      </w:r>
      <w:r>
        <w:rPr>
          <w:rFonts w:hint="eastAsia" w:ascii="宋体" w:hAnsi="宋体" w:cs="宋体"/>
          <w:color w:val="auto"/>
          <w:szCs w:val="21"/>
          <w:highlight w:val="none"/>
        </w:rPr>
        <w:t>1.3.4</w:t>
      </w:r>
      <w:r>
        <w:rPr>
          <w:rFonts w:hint="eastAsia"/>
          <w:color w:val="auto"/>
          <w:szCs w:val="21"/>
          <w:highlight w:val="none"/>
        </w:rPr>
        <w:t>规定</w:t>
      </w:r>
    </w:p>
    <w:p>
      <w:pPr>
        <w:numPr>
          <w:ilvl w:val="0"/>
          <w:numId w:val="9"/>
        </w:numPr>
        <w:spacing w:line="440" w:lineRule="exact"/>
        <w:ind w:left="0" w:leftChars="0" w:firstLine="420" w:firstLineChars="200"/>
      </w:pPr>
      <w:r>
        <w:rPr>
          <w:rFonts w:hint="eastAsia"/>
          <w:color w:val="auto"/>
          <w:szCs w:val="21"/>
          <w:highlight w:val="none"/>
        </w:rPr>
        <w:t>信誉要求符合第二章供应商须知前附表</w:t>
      </w:r>
      <w:r>
        <w:rPr>
          <w:rFonts w:hint="eastAsia" w:ascii="宋体" w:hAnsi="宋体" w:cs="宋体"/>
          <w:color w:val="auto"/>
          <w:szCs w:val="21"/>
          <w:highlight w:val="none"/>
        </w:rPr>
        <w:t>1.3.4</w:t>
      </w:r>
      <w:r>
        <w:rPr>
          <w:rFonts w:hint="eastAsia"/>
          <w:color w:val="auto"/>
          <w:szCs w:val="21"/>
          <w:highlight w:val="none"/>
        </w:rPr>
        <w:t>规定</w:t>
      </w:r>
    </w:p>
    <w:p>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必须提供投标承诺函。</w:t>
      </w:r>
    </w:p>
    <w:p>
      <w:pPr>
        <w:spacing w:line="360" w:lineRule="auto"/>
        <w:ind w:firstLine="420" w:firstLineChars="200"/>
        <w:rPr>
          <w:rFonts w:hint="eastAsia" w:ascii="宋体" w:cs="宋体"/>
          <w:color w:val="auto"/>
          <w:szCs w:val="22"/>
          <w:highlight w:val="none"/>
        </w:rPr>
      </w:pPr>
      <w:r>
        <w:rPr>
          <w:rFonts w:hint="eastAsia" w:ascii="宋体" w:cs="宋体"/>
          <w:color w:val="auto"/>
          <w:szCs w:val="22"/>
          <w:highlight w:val="none"/>
          <w:lang w:val="en-US" w:eastAsia="zh-CN"/>
        </w:rPr>
        <w:t>7、</w:t>
      </w:r>
      <w:r>
        <w:rPr>
          <w:rFonts w:hint="eastAsia" w:ascii="宋体" w:cs="宋体"/>
          <w:color w:val="auto"/>
          <w:szCs w:val="22"/>
          <w:highlight w:val="none"/>
          <w:lang w:eastAsia="zh-CN"/>
        </w:rPr>
        <w:t>磋商</w:t>
      </w:r>
      <w:r>
        <w:rPr>
          <w:rFonts w:hint="eastAsia" w:ascii="宋体" w:cs="宋体"/>
          <w:color w:val="auto"/>
          <w:szCs w:val="22"/>
          <w:highlight w:val="none"/>
        </w:rPr>
        <w:t>文件中规定的其他资料以及投标单位认为有必要提供的其他材料。</w:t>
      </w:r>
    </w:p>
    <w:p>
      <w:pPr>
        <w:spacing w:line="360" w:lineRule="auto"/>
        <w:rPr>
          <w:rFonts w:hint="eastAsia" w:ascii="宋体" w:hAnsi="Times New Roman" w:cs="宋体"/>
          <w:b/>
          <w:bCs/>
          <w:color w:val="auto"/>
          <w:szCs w:val="22"/>
          <w:highlight w:val="none"/>
        </w:rPr>
      </w:pPr>
    </w:p>
    <w:p>
      <w:pPr>
        <w:spacing w:line="360" w:lineRule="auto"/>
        <w:rPr>
          <w:rFonts w:hint="eastAsia" w:ascii="宋体" w:hAnsi="Times New Roman" w:eastAsia="宋体" w:cs="宋体"/>
          <w:b/>
          <w:bCs/>
          <w:color w:val="auto"/>
          <w:szCs w:val="22"/>
          <w:highlight w:val="none"/>
          <w:lang w:eastAsia="zh-CN"/>
        </w:rPr>
      </w:pPr>
      <w:r>
        <w:rPr>
          <w:rFonts w:hint="eastAsia" w:ascii="宋体" w:hAnsi="Times New Roman" w:cs="宋体"/>
          <w:b/>
          <w:bCs/>
          <w:color w:val="auto"/>
          <w:szCs w:val="22"/>
          <w:highlight w:val="none"/>
        </w:rPr>
        <w:t>以上</w:t>
      </w:r>
      <w:r>
        <w:rPr>
          <w:rFonts w:hint="eastAsia" w:ascii="宋体" w:hAnsi="Times New Roman" w:cs="宋体"/>
          <w:b/>
          <w:bCs/>
          <w:color w:val="auto"/>
          <w:szCs w:val="22"/>
          <w:highlight w:val="none"/>
          <w:lang w:eastAsia="zh-CN"/>
        </w:rPr>
        <w:t>证</w:t>
      </w:r>
      <w:r>
        <w:rPr>
          <w:rFonts w:hint="eastAsia" w:ascii="宋体" w:hAnsi="Times New Roman" w:cs="宋体"/>
          <w:b/>
          <w:bCs/>
          <w:color w:val="auto"/>
          <w:szCs w:val="22"/>
          <w:highlight w:val="none"/>
        </w:rPr>
        <w:t>件必须加盖单位公章</w:t>
      </w:r>
    </w:p>
    <w:p>
      <w:pPr>
        <w:spacing w:line="360" w:lineRule="exact"/>
        <w:rPr>
          <w:rFonts w:ascii="宋体" w:cs="宋体"/>
          <w:b/>
          <w:color w:val="auto"/>
          <w:szCs w:val="21"/>
          <w:highlight w:val="none"/>
        </w:rPr>
      </w:pPr>
      <w:r>
        <w:rPr>
          <w:rFonts w:ascii="宋体" w:hAnsi="宋体" w:cs="宋体"/>
          <w:b/>
          <w:color w:val="auto"/>
          <w:szCs w:val="21"/>
          <w:highlight w:val="none"/>
        </w:rPr>
        <w:t xml:space="preserve"> </w:t>
      </w:r>
    </w:p>
    <w:p>
      <w:pPr>
        <w:tabs>
          <w:tab w:val="left" w:pos="3037"/>
        </w:tabs>
        <w:spacing w:line="360" w:lineRule="exact"/>
        <w:jc w:val="left"/>
        <w:rPr>
          <w:rFonts w:ascii="宋体" w:cs="宋体"/>
          <w:b/>
          <w:color w:val="auto"/>
          <w:szCs w:val="21"/>
          <w:highlight w:val="none"/>
        </w:rPr>
      </w:pPr>
      <w:r>
        <w:rPr>
          <w:rFonts w:hint="eastAsia" w:ascii="宋体" w:cs="宋体"/>
          <w:b/>
          <w:color w:val="auto"/>
          <w:szCs w:val="21"/>
          <w:highlight w:val="none"/>
        </w:rPr>
        <w:tab/>
      </w: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rPr>
          <w:rFonts w:ascii="宋体" w:cs="宋体"/>
          <w:b/>
          <w:color w:val="auto"/>
          <w:szCs w:val="21"/>
          <w:highlight w:val="none"/>
        </w:rPr>
      </w:pPr>
    </w:p>
    <w:p>
      <w:pPr>
        <w:pStyle w:val="38"/>
        <w:rPr>
          <w:b/>
          <w:color w:val="auto"/>
          <w:szCs w:val="21"/>
          <w:highlight w:val="none"/>
        </w:rPr>
      </w:pPr>
    </w:p>
    <w:p>
      <w:pPr>
        <w:pStyle w:val="40"/>
        <w:rPr>
          <w:rFonts w:ascii="宋体" w:cs="宋体"/>
          <w:b/>
          <w:color w:val="auto"/>
          <w:szCs w:val="21"/>
          <w:highlight w:val="none"/>
        </w:rPr>
      </w:pPr>
    </w:p>
    <w:p>
      <w:pPr>
        <w:pStyle w:val="14"/>
        <w:rPr>
          <w:rFonts w:ascii="宋体" w:cs="宋体"/>
          <w:b/>
          <w:color w:val="auto"/>
          <w:szCs w:val="21"/>
          <w:highlight w:val="none"/>
        </w:rPr>
      </w:pPr>
    </w:p>
    <w:p>
      <w:pPr>
        <w:rPr>
          <w:color w:val="auto"/>
          <w:highlight w:val="none"/>
        </w:rPr>
      </w:pPr>
    </w:p>
    <w:p>
      <w:pPr>
        <w:pStyle w:val="40"/>
        <w:rPr>
          <w:color w:val="auto"/>
          <w:highlight w:val="none"/>
        </w:rPr>
      </w:pPr>
    </w:p>
    <w:p>
      <w:pPr>
        <w:pStyle w:val="14"/>
        <w:rPr>
          <w:color w:val="auto"/>
          <w:highlight w:val="none"/>
        </w:rPr>
      </w:pPr>
    </w:p>
    <w:p>
      <w:pPr>
        <w:keepNext w:val="0"/>
        <w:keepLines w:val="0"/>
        <w:widowControl/>
        <w:suppressLineNumbers w:val="0"/>
        <w:ind w:firstLine="3112" w:firstLineChars="1000"/>
        <w:jc w:val="left"/>
        <w:rPr>
          <w:rFonts w:hint="eastAsia" w:ascii="宋体" w:hAnsi="宋体" w:eastAsia="宋体" w:cs="宋体"/>
          <w:b/>
          <w:bCs/>
          <w:color w:val="auto"/>
          <w:kern w:val="0"/>
          <w:sz w:val="31"/>
          <w:szCs w:val="31"/>
          <w:highlight w:val="none"/>
          <w:lang w:val="en-US" w:eastAsia="zh-CN" w:bidi="ar"/>
        </w:rPr>
      </w:pPr>
      <w:bookmarkStart w:id="165" w:name="_Toc20577"/>
    </w:p>
    <w:p>
      <w:pPr>
        <w:pStyle w:val="40"/>
        <w:rPr>
          <w:rFonts w:hint="eastAsia" w:ascii="宋体" w:hAnsi="宋体" w:eastAsia="宋体" w:cs="宋体"/>
          <w:b/>
          <w:bCs/>
          <w:color w:val="auto"/>
          <w:kern w:val="0"/>
          <w:sz w:val="31"/>
          <w:szCs w:val="31"/>
          <w:highlight w:val="none"/>
          <w:lang w:val="en-US" w:eastAsia="zh-CN" w:bidi="ar"/>
        </w:rPr>
      </w:pPr>
    </w:p>
    <w:p>
      <w:pPr>
        <w:pStyle w:val="14"/>
        <w:rPr>
          <w:rFonts w:hint="eastAsia"/>
          <w:color w:val="auto"/>
          <w:highlight w:val="none"/>
          <w:lang w:val="en-US" w:eastAsia="zh-CN"/>
        </w:rPr>
      </w:pPr>
    </w:p>
    <w:p>
      <w:pPr>
        <w:pStyle w:val="38"/>
        <w:rPr>
          <w:rFonts w:hint="eastAsia"/>
          <w:color w:val="auto"/>
          <w:highlight w:val="none"/>
          <w:lang w:val="en-US" w:eastAsia="zh-CN"/>
        </w:rPr>
      </w:pPr>
    </w:p>
    <w:p>
      <w:pPr>
        <w:rPr>
          <w:rFonts w:hint="eastAsia"/>
          <w:color w:val="auto"/>
          <w:highlight w:val="none"/>
          <w:lang w:val="en-US" w:eastAsia="zh-CN"/>
        </w:rPr>
      </w:pPr>
    </w:p>
    <w:p>
      <w:pPr>
        <w:keepNext w:val="0"/>
        <w:keepLines w:val="0"/>
        <w:widowControl/>
        <w:suppressLineNumbers w:val="0"/>
        <w:jc w:val="left"/>
        <w:rPr>
          <w:rFonts w:hint="eastAsia" w:ascii="宋体" w:hAnsi="宋体" w:cs="宋体"/>
          <w:b/>
          <w:bCs/>
          <w:color w:val="auto"/>
          <w:kern w:val="0"/>
          <w:sz w:val="31"/>
          <w:szCs w:val="31"/>
          <w:highlight w:val="none"/>
          <w:lang w:val="en-US" w:eastAsia="zh-CN" w:bidi="ar"/>
        </w:rPr>
      </w:pPr>
    </w:p>
    <w:p>
      <w:pPr>
        <w:keepNext w:val="0"/>
        <w:keepLines w:val="0"/>
        <w:widowControl/>
        <w:suppressLineNumbers w:val="0"/>
        <w:jc w:val="center"/>
        <w:rPr>
          <w:rFonts w:hint="eastAsia" w:ascii="宋体" w:hAnsi="宋体" w:cs="宋体"/>
          <w:b/>
          <w:bCs/>
          <w:color w:val="auto"/>
          <w:kern w:val="0"/>
          <w:sz w:val="32"/>
          <w:szCs w:val="32"/>
          <w:highlight w:val="none"/>
          <w:lang w:val="en-US" w:eastAsia="zh-CN" w:bidi="ar"/>
        </w:rPr>
      </w:pPr>
    </w:p>
    <w:p>
      <w:pPr>
        <w:keepNext w:val="0"/>
        <w:keepLines w:val="0"/>
        <w:widowControl/>
        <w:suppressLineNumbers w:val="0"/>
        <w:jc w:val="center"/>
        <w:rPr>
          <w:rFonts w:hint="eastAsia" w:ascii="宋体" w:hAnsi="宋体" w:cs="宋体"/>
          <w:b/>
          <w:bCs/>
          <w:color w:val="auto"/>
          <w:kern w:val="0"/>
          <w:sz w:val="32"/>
          <w:szCs w:val="32"/>
          <w:highlight w:val="none"/>
          <w:lang w:val="en-US" w:eastAsia="zh-CN" w:bidi="ar"/>
        </w:rPr>
      </w:pPr>
    </w:p>
    <w:p>
      <w:pPr>
        <w:keepNext w:val="0"/>
        <w:keepLines w:val="0"/>
        <w:widowControl/>
        <w:suppressLineNumbers w:val="0"/>
        <w:jc w:val="center"/>
        <w:rPr>
          <w:rFonts w:hint="eastAsia" w:ascii="宋体" w:hAnsi="宋体" w:eastAsia="宋体" w:cs="宋体"/>
          <w:b/>
          <w:bCs/>
          <w:color w:val="auto"/>
          <w:kern w:val="0"/>
          <w:sz w:val="32"/>
          <w:szCs w:val="32"/>
          <w:highlight w:val="none"/>
          <w:lang w:val="en-US" w:eastAsia="zh-CN" w:bidi="ar"/>
        </w:rPr>
      </w:pPr>
      <w:r>
        <w:rPr>
          <w:rFonts w:hint="eastAsia" w:ascii="宋体" w:hAnsi="宋体" w:cs="宋体"/>
          <w:b/>
          <w:bCs/>
          <w:color w:val="auto"/>
          <w:kern w:val="0"/>
          <w:sz w:val="32"/>
          <w:szCs w:val="32"/>
          <w:highlight w:val="none"/>
          <w:lang w:val="en-US" w:eastAsia="zh-CN" w:bidi="ar"/>
        </w:rPr>
        <w:t>十三</w:t>
      </w:r>
      <w:r>
        <w:rPr>
          <w:rFonts w:hint="eastAsia" w:ascii="宋体" w:hAnsi="宋体" w:eastAsia="宋体" w:cs="宋体"/>
          <w:b/>
          <w:bCs/>
          <w:color w:val="auto"/>
          <w:kern w:val="0"/>
          <w:sz w:val="32"/>
          <w:szCs w:val="32"/>
          <w:highlight w:val="none"/>
          <w:lang w:val="en-US" w:eastAsia="zh-CN" w:bidi="ar"/>
        </w:rPr>
        <w:t>、中小企业声明函（服务）</w:t>
      </w:r>
    </w:p>
    <w:p>
      <w:pPr>
        <w:keepNext w:val="0"/>
        <w:keepLines w:val="0"/>
        <w:widowControl/>
        <w:suppressLineNumbers w:val="0"/>
        <w:shd w:val="clear" w:fill="FFFFFF"/>
        <w:spacing w:before="0" w:beforeAutospacing="1" w:after="0" w:afterAutospacing="1" w:line="435" w:lineRule="atLeast"/>
        <w:ind w:left="0" w:right="0" w:firstLine="4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本公司（联合体）郑重声明，根据《政府采购促进中小企业发展管理办法》（财库﹝2020﹞46 号）的规定，本公司（联合体）参加</w:t>
      </w:r>
      <w:r>
        <w:rPr>
          <w:rFonts w:hint="eastAsia" w:ascii="宋体" w:hAnsi="宋体" w:eastAsia="宋体" w:cs="宋体"/>
          <w:i w:val="0"/>
          <w:iCs w:val="0"/>
          <w:caps w:val="0"/>
          <w:color w:val="333333"/>
          <w:spacing w:val="0"/>
          <w:kern w:val="0"/>
          <w:sz w:val="21"/>
          <w:szCs w:val="21"/>
          <w:u w:val="single"/>
          <w:shd w:val="clear" w:fill="FFFFFF"/>
          <w:lang w:val="en-US" w:eastAsia="zh-CN" w:bidi="ar"/>
        </w:rPr>
        <w:t>    （单位名称）</w:t>
      </w:r>
      <w:r>
        <w:rPr>
          <w:rFonts w:hint="eastAsia" w:ascii="宋体" w:hAnsi="宋体" w:eastAsia="宋体" w:cs="宋体"/>
          <w:i w:val="0"/>
          <w:iCs w:val="0"/>
          <w:caps w:val="0"/>
          <w:color w:val="333333"/>
          <w:spacing w:val="0"/>
          <w:kern w:val="0"/>
          <w:sz w:val="21"/>
          <w:szCs w:val="21"/>
          <w:shd w:val="clear" w:fill="FFFFFF"/>
          <w:lang w:val="en-US" w:eastAsia="zh-CN" w:bidi="ar"/>
        </w:rPr>
        <w:t>的</w:t>
      </w:r>
      <w:r>
        <w:rPr>
          <w:rFonts w:hint="eastAsia" w:ascii="宋体" w:hAnsi="宋体" w:eastAsia="宋体" w:cs="宋体"/>
          <w:i w:val="0"/>
          <w:iCs w:val="0"/>
          <w:caps w:val="0"/>
          <w:color w:val="333333"/>
          <w:spacing w:val="0"/>
          <w:kern w:val="0"/>
          <w:sz w:val="21"/>
          <w:szCs w:val="21"/>
          <w:u w:val="single"/>
          <w:shd w:val="clear" w:fill="FFFFFF"/>
          <w:lang w:val="en-US" w:eastAsia="zh-CN" w:bidi="ar"/>
        </w:rPr>
        <w:t xml:space="preserve">       （项目名称）</w:t>
      </w:r>
      <w:r>
        <w:rPr>
          <w:rFonts w:hint="eastAsia" w:ascii="宋体" w:hAnsi="宋体" w:eastAsia="宋体" w:cs="宋体"/>
          <w:i w:val="0"/>
          <w:iCs w:val="0"/>
          <w:caps w:val="0"/>
          <w:color w:val="333333"/>
          <w:spacing w:val="0"/>
          <w:kern w:val="0"/>
          <w:sz w:val="21"/>
          <w:szCs w:val="21"/>
          <w:shd w:val="clear" w:fill="FFFFFF"/>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pageBreakBefore w:val="0"/>
        <w:numPr>
          <w:ilvl w:val="0"/>
          <w:numId w:val="10"/>
        </w:numPr>
        <w:kinsoku/>
        <w:wordWrap/>
        <w:overflowPunct/>
        <w:topLinePunct w:val="0"/>
        <w:autoSpaceDE/>
        <w:autoSpaceDN/>
        <w:bidi w:val="0"/>
        <w:adjustRightInd/>
        <w:snapToGrid/>
        <w:spacing w:line="380" w:lineRule="exact"/>
        <w:ind w:firstLine="420" w:firstLineChars="200"/>
        <w:textAlignment w:val="auto"/>
        <w:rPr>
          <w:rFonts w:hint="default" w:ascii="Arial" w:hAnsi="Arial" w:cs="Arial"/>
          <w:i w:val="0"/>
          <w:iCs w:val="0"/>
          <w:caps w:val="0"/>
          <w:color w:val="333333"/>
          <w:spacing w:val="0"/>
          <w:sz w:val="21"/>
          <w:szCs w:val="21"/>
        </w:rPr>
      </w:pPr>
      <w:r>
        <w:rPr>
          <w:rFonts w:hint="eastAsia" w:ascii="宋体" w:hAnsi="宋体" w:cs="宋体"/>
          <w:i w:val="0"/>
          <w:iCs w:val="0"/>
          <w:caps w:val="0"/>
          <w:color w:val="333333"/>
          <w:spacing w:val="0"/>
          <w:kern w:val="0"/>
          <w:sz w:val="21"/>
          <w:szCs w:val="21"/>
          <w:u w:val="single"/>
          <w:shd w:val="clear" w:fill="FFFFFF"/>
          <w:lang w:val="en-US" w:eastAsia="zh-CN" w:bidi="ar"/>
        </w:rPr>
        <w:t xml:space="preserve"> 温县施工图审查政府购买服务项目（三包）二次</w:t>
      </w:r>
      <w:r>
        <w:rPr>
          <w:rFonts w:hint="eastAsia" w:ascii="宋体" w:hAnsi="宋体" w:eastAsia="宋体" w:cs="宋体"/>
          <w:i w:val="0"/>
          <w:iCs w:val="0"/>
          <w:caps w:val="0"/>
          <w:color w:val="333333"/>
          <w:spacing w:val="0"/>
          <w:kern w:val="0"/>
          <w:sz w:val="21"/>
          <w:szCs w:val="21"/>
          <w:u w:val="single"/>
          <w:shd w:val="clear" w:fill="FFFFFF"/>
          <w:lang w:val="en-US" w:eastAsia="zh-CN" w:bidi="ar"/>
        </w:rPr>
        <w:t>（标的名称）</w:t>
      </w:r>
      <w:r>
        <w:rPr>
          <w:rFonts w:hint="eastAsia" w:ascii="宋体" w:hAnsi="宋体" w:eastAsia="宋体" w:cs="宋体"/>
          <w:i w:val="0"/>
          <w:iCs w:val="0"/>
          <w:caps w:val="0"/>
          <w:color w:val="333333"/>
          <w:spacing w:val="0"/>
          <w:kern w:val="0"/>
          <w:sz w:val="21"/>
          <w:szCs w:val="21"/>
          <w:shd w:val="clear" w:fill="FFFFFF"/>
          <w:lang w:val="en-US" w:eastAsia="zh-CN" w:bidi="ar"/>
        </w:rPr>
        <w:t>，属于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cs="宋体"/>
          <w:i w:val="0"/>
          <w:iCs w:val="0"/>
          <w:caps w:val="0"/>
          <w:color w:val="auto"/>
          <w:spacing w:val="0"/>
          <w:kern w:val="0"/>
          <w:sz w:val="21"/>
          <w:szCs w:val="21"/>
          <w:u w:val="single"/>
          <w:shd w:val="clear" w:fill="FFFFFF"/>
          <w:lang w:val="en-US" w:eastAsia="zh-CN" w:bidi="ar"/>
        </w:rPr>
        <w:t>其他未列明行业</w:t>
      </w:r>
      <w:r>
        <w:rPr>
          <w:rFonts w:hint="eastAsia" w:ascii="宋体" w:hAnsi="宋体" w:eastAsia="宋体" w:cs="宋体"/>
          <w:i w:val="0"/>
          <w:iCs w:val="0"/>
          <w:caps w:val="0"/>
          <w:color w:val="333333"/>
          <w:spacing w:val="0"/>
          <w:kern w:val="0"/>
          <w:sz w:val="21"/>
          <w:szCs w:val="21"/>
          <w:u w:val="single"/>
          <w:shd w:val="clear" w:fill="FFFFFF"/>
          <w:lang w:val="en-US" w:eastAsia="zh-CN" w:bidi="ar"/>
        </w:rPr>
        <w:t>（采购文件中明确的所属行业）</w:t>
      </w:r>
      <w:r>
        <w:rPr>
          <w:rFonts w:hint="eastAsia" w:ascii="宋体" w:hAnsi="宋体" w:eastAsia="宋体" w:cs="宋体"/>
          <w:i w:val="0"/>
          <w:iCs w:val="0"/>
          <w:caps w:val="0"/>
          <w:color w:val="333333"/>
          <w:spacing w:val="0"/>
          <w:kern w:val="0"/>
          <w:sz w:val="21"/>
          <w:szCs w:val="21"/>
          <w:shd w:val="clear" w:fill="FFFFFF"/>
          <w:lang w:val="en-US" w:eastAsia="zh-CN" w:bidi="ar"/>
        </w:rPr>
        <w:t>；承建（承接）企业为</w:t>
      </w:r>
      <w:r>
        <w:rPr>
          <w:rFonts w:hint="eastAsia" w:ascii="宋体" w:hAnsi="宋体" w:eastAsia="宋体" w:cs="宋体"/>
          <w:i w:val="0"/>
          <w:iCs w:val="0"/>
          <w:caps w:val="0"/>
          <w:color w:val="333333"/>
          <w:spacing w:val="0"/>
          <w:kern w:val="0"/>
          <w:sz w:val="21"/>
          <w:szCs w:val="21"/>
          <w:u w:val="single"/>
          <w:shd w:val="clear" w:fill="FFFFFF"/>
          <w:lang w:val="en-US" w:eastAsia="zh-CN" w:bidi="ar"/>
        </w:rPr>
        <w:t>    （企业名称）</w:t>
      </w:r>
      <w:r>
        <w:rPr>
          <w:rFonts w:hint="eastAsia" w:ascii="宋体" w:hAnsi="宋体" w:eastAsia="宋体" w:cs="宋体"/>
          <w:i w:val="0"/>
          <w:iCs w:val="0"/>
          <w:caps w:val="0"/>
          <w:color w:val="333333"/>
          <w:spacing w:val="0"/>
          <w:kern w:val="0"/>
          <w:sz w:val="21"/>
          <w:szCs w:val="21"/>
          <w:shd w:val="clear" w:fill="FFFFFF"/>
          <w:lang w:val="en-US" w:eastAsia="zh-CN" w:bidi="ar"/>
        </w:rPr>
        <w:t>，从业人员</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人，营业收入为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万元，资产总额为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（中型企业、小型企业、微型企业）</w:t>
      </w:r>
      <w:r>
        <w:rPr>
          <w:rFonts w:hint="eastAsia" w:ascii="宋体" w:hAnsi="宋体" w:eastAsia="宋体" w:cs="宋体"/>
          <w:i w:val="0"/>
          <w:iCs w:val="0"/>
          <w:caps w:val="0"/>
          <w:color w:val="333333"/>
          <w:spacing w:val="0"/>
          <w:kern w:val="0"/>
          <w:sz w:val="21"/>
          <w:szCs w:val="21"/>
          <w:shd w:val="clear" w:fill="FFFFFF"/>
          <w:lang w:val="en-US" w:eastAsia="zh-CN" w:bidi="ar"/>
        </w:rPr>
        <w:t>；</w:t>
      </w:r>
    </w:p>
    <w:p>
      <w:pPr>
        <w:keepNext w:val="0"/>
        <w:keepLines w:val="0"/>
        <w:widowControl/>
        <w:suppressLineNumbers w:val="0"/>
        <w:shd w:val="clear" w:fill="FFFFFF"/>
        <w:spacing w:before="0" w:beforeAutospacing="1" w:after="0" w:afterAutospacing="1" w:line="435" w:lineRule="atLeast"/>
        <w:ind w:left="0" w:right="0" w:firstLine="4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以上企业，不属于大企业的分支机构，不存在控股股东为大企业的情形，也不存在与大企业的负责人为同一人的情形。</w:t>
      </w:r>
    </w:p>
    <w:p>
      <w:pPr>
        <w:keepNext w:val="0"/>
        <w:keepLines w:val="0"/>
        <w:widowControl/>
        <w:suppressLineNumbers w:val="0"/>
        <w:shd w:val="clear" w:fill="FFFFFF"/>
        <w:spacing w:before="0" w:beforeAutospacing="1" w:after="0" w:afterAutospacing="1" w:line="435" w:lineRule="atLeast"/>
        <w:ind w:left="0" w:right="0" w:firstLine="4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本企业对上述声明内容的真实性负责。如有虚假，将依法承担相应责任。</w:t>
      </w:r>
    </w:p>
    <w:p>
      <w:pPr>
        <w:keepNext w:val="0"/>
        <w:keepLines w:val="0"/>
        <w:widowControl/>
        <w:suppressLineNumbers w:val="0"/>
        <w:shd w:val="clear" w:fill="FFFFFF"/>
        <w:spacing w:before="0" w:beforeAutospacing="1" w:after="0" w:afterAutospacing="1" w:line="435" w:lineRule="atLeast"/>
        <w:ind w:left="0" w:right="0" w:firstLine="52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 企业名称（盖章）：</w:t>
      </w:r>
    </w:p>
    <w:p>
      <w:pPr>
        <w:keepNext w:val="0"/>
        <w:keepLines w:val="0"/>
        <w:widowControl/>
        <w:suppressLineNumbers w:val="0"/>
        <w:shd w:val="clear" w:fill="FFFFFF"/>
        <w:spacing w:before="0" w:beforeAutospacing="1" w:after="0" w:afterAutospacing="1" w:line="435" w:lineRule="atLeast"/>
        <w:ind w:right="0" w:firstLine="5460" w:firstLineChars="260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日 期：</w:t>
      </w:r>
    </w:p>
    <w:p>
      <w:pPr>
        <w:keepNext w:val="0"/>
        <w:keepLines w:val="0"/>
        <w:widowControl/>
        <w:suppressLineNumbers w:val="0"/>
        <w:shd w:val="clear" w:fill="FFFFFF"/>
        <w:spacing w:before="0" w:beforeAutospacing="1" w:after="0" w:afterAutospacing="1" w:line="435" w:lineRule="atLeast"/>
        <w:ind w:left="0" w:right="0" w:firstLine="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keepNext w:val="0"/>
        <w:keepLines w:val="0"/>
        <w:widowControl/>
        <w:suppressLineNumbers w:val="0"/>
        <w:shd w:val="clear" w:fill="FFFFFF"/>
        <w:spacing w:before="0" w:beforeAutospacing="1" w:after="0" w:afterAutospacing="1" w:line="435" w:lineRule="atLeast"/>
        <w:ind w:left="0" w:right="0" w:firstLine="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spacing w:line="360" w:lineRule="auto"/>
        <w:ind w:firstLine="420" w:firstLineChars="200"/>
        <w:rPr>
          <w:rFonts w:hint="eastAsia" w:ascii="宋体" w:hAnsi="宋体" w:eastAsia="宋体" w:cs="宋体"/>
          <w:color w:val="auto"/>
          <w:sz w:val="21"/>
          <w:szCs w:val="21"/>
          <w:highlight w:val="none"/>
          <w:lang w:val="en-US" w:eastAsia="zh-CN"/>
        </w:rPr>
      </w:pPr>
    </w:p>
    <w:p>
      <w:pPr>
        <w:spacing w:line="44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注：1.从业人员、营业收入、资产总额填报上一年度数据，无上一年度数据的新成立企业可不填报。</w:t>
      </w:r>
    </w:p>
    <w:p>
      <w:pPr>
        <w:numPr>
          <w:ilvl w:val="0"/>
          <w:numId w:val="0"/>
        </w:numPr>
        <w:spacing w:line="440" w:lineRule="exact"/>
        <w:ind w:left="480" w:leftChars="0"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中小企业划分标准见工业和信息化部 国家统计局 国家发展改革委 财政部 《关于印发中小企业划型标准规定的通知》工信部联企业 [2011]300号。</w:t>
      </w:r>
    </w:p>
    <w:p>
      <w:pPr>
        <w:snapToGrid w:val="0"/>
        <w:spacing w:line="500" w:lineRule="exact"/>
        <w:ind w:firstLine="630" w:firstLineChars="300"/>
        <w:rPr>
          <w:rFonts w:ascii="宋体" w:hAnsi="宋体" w:cs="宋体"/>
          <w:bCs/>
          <w:color w:val="auto"/>
          <w:szCs w:val="21"/>
        </w:rPr>
      </w:pPr>
      <w:r>
        <w:rPr>
          <w:rFonts w:hint="eastAsia" w:ascii="宋体" w:hAnsi="宋体" w:eastAsia="宋体" w:cs="宋体"/>
          <w:b w:val="0"/>
          <w:color w:val="auto"/>
          <w:kern w:val="2"/>
          <w:sz w:val="21"/>
          <w:szCs w:val="21"/>
          <w:highlight w:val="none"/>
          <w:lang w:val="en-US" w:eastAsia="zh-CN" w:bidi="ar-SA"/>
        </w:rPr>
        <w:t>3.</w:t>
      </w:r>
      <w:r>
        <w:rPr>
          <w:rFonts w:hint="eastAsia" w:ascii="宋体" w:hAnsi="宋体" w:cs="宋体"/>
          <w:bCs/>
          <w:color w:val="auto"/>
          <w:szCs w:val="21"/>
        </w:rPr>
        <w:t>如果供应商不满足小型、微型企业的认定标准，或所投产品的制造商不符合小型、微型企业 认定标准的，则不需要提供《中小企业声明函》。否则，因此导致虚假投标的后果由供应商自行承担。</w:t>
      </w:r>
    </w:p>
    <w:p>
      <w:pPr>
        <w:jc w:val="both"/>
        <w:textAlignment w:val="baseline"/>
        <w:outlineLvl w:val="1"/>
        <w:rPr>
          <w:rFonts w:hint="eastAsia" w:ascii="宋体" w:hAnsi="宋体" w:cs="宋体"/>
          <w:b/>
          <w:bCs/>
          <w:color w:val="auto"/>
          <w:kern w:val="28"/>
          <w:sz w:val="21"/>
          <w:szCs w:val="21"/>
          <w:highlight w:val="none"/>
        </w:rPr>
      </w:pPr>
      <w:r>
        <w:rPr>
          <w:rFonts w:hint="eastAsia" w:ascii="宋体" w:hAnsi="宋体" w:cs="宋体"/>
          <w:b/>
          <w:bCs/>
          <w:color w:val="auto"/>
          <w:kern w:val="28"/>
          <w:sz w:val="21"/>
          <w:szCs w:val="21"/>
          <w:highlight w:val="none"/>
        </w:rPr>
        <w:br w:type="page"/>
      </w:r>
    </w:p>
    <w:p>
      <w:pPr>
        <w:spacing w:line="588" w:lineRule="exact"/>
        <w:jc w:val="center"/>
        <w:rPr>
          <w:rFonts w:hint="eastAsia"/>
        </w:rPr>
      </w:pPr>
      <w:r>
        <w:rPr>
          <w:rFonts w:hint="eastAsia" w:ascii="宋体" w:hAnsi="宋体" w:eastAsia="宋体" w:cs="宋体"/>
          <w:b/>
          <w:bCs/>
          <w:color w:val="auto"/>
          <w:spacing w:val="6"/>
          <w:sz w:val="32"/>
          <w:szCs w:val="32"/>
          <w:highlight w:val="none"/>
        </w:rPr>
        <w:t>残疾人福利性单位声明函</w:t>
      </w:r>
    </w:p>
    <w:p>
      <w:pPr>
        <w:spacing w:line="588" w:lineRule="exact"/>
        <w:ind w:firstLine="444" w:firstLineChars="200"/>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本单位郑重声明，根据《财政部 民政部 中国残疾人联合会关于促进残疾人就业政府采购政策的通知》（财库</w:t>
      </w:r>
      <w:r>
        <w:rPr>
          <w:rFonts w:hint="eastAsia" w:ascii="宋体" w:hAnsi="宋体" w:eastAsia="宋体" w:cs="宋体"/>
          <w:color w:val="auto"/>
          <w:sz w:val="21"/>
          <w:szCs w:val="21"/>
          <w:highlight w:val="none"/>
        </w:rPr>
        <w:t>〔2017〕 141</w:t>
      </w:r>
      <w:r>
        <w:rPr>
          <w:rFonts w:hint="eastAsia" w:ascii="宋体" w:hAnsi="宋体" w:eastAsia="宋体" w:cs="宋体"/>
          <w:color w:val="auto"/>
          <w:spacing w:val="6"/>
          <w:sz w:val="21"/>
          <w:szCs w:val="21"/>
          <w:highlight w:val="none"/>
        </w:rPr>
        <w:t>号）的规定，本单位为符合条件的残疾人福利性单位，且本单位参加______单位的_</w:t>
      </w:r>
      <w:r>
        <w:rPr>
          <w:rFonts w:hint="eastAsia" w:ascii="宋体" w:hAnsi="宋体" w:eastAsia="宋体" w:cs="宋体"/>
          <w:color w:val="auto"/>
          <w:sz w:val="21"/>
          <w:szCs w:val="21"/>
          <w:highlight w:val="none"/>
          <w:u w:val="single"/>
        </w:rPr>
        <w:t xml:space="preserve">（项目名称）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pacing w:val="6"/>
          <w:sz w:val="21"/>
          <w:szCs w:val="21"/>
          <w:highlight w:val="none"/>
        </w:rPr>
        <w:t>_ 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本单位对上述声明的真实性负责。如有虚假，将依法承担相应责任。</w:t>
      </w:r>
    </w:p>
    <w:p>
      <w:pPr>
        <w:spacing w:line="360" w:lineRule="auto"/>
        <w:rPr>
          <w:rFonts w:hint="eastAsia" w:ascii="宋体" w:hAnsi="宋体" w:eastAsia="宋体" w:cs="宋体"/>
          <w:b/>
          <w:color w:val="auto"/>
          <w:sz w:val="21"/>
          <w:szCs w:val="21"/>
          <w:highlight w:val="none"/>
        </w:rPr>
      </w:pPr>
    </w:p>
    <w:p>
      <w:pPr>
        <w:spacing w:line="560" w:lineRule="exact"/>
        <w:ind w:right="1120"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560" w:lineRule="exact"/>
        <w:ind w:right="1120"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电子签章</w:t>
      </w:r>
      <w:r>
        <w:rPr>
          <w:rFonts w:hint="eastAsia" w:ascii="宋体" w:hAnsi="宋体" w:eastAsia="宋体" w:cs="宋体"/>
          <w:color w:val="auto"/>
          <w:sz w:val="21"/>
          <w:szCs w:val="21"/>
          <w:highlight w:val="none"/>
        </w:rPr>
        <w:t>）</w:t>
      </w:r>
    </w:p>
    <w:p>
      <w:pPr>
        <w:spacing w:line="560" w:lineRule="exact"/>
        <w:ind w:firstLine="420" w:firstLineChars="20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日 期</w:t>
      </w:r>
      <w:r>
        <w:rPr>
          <w:rFonts w:hint="eastAsia" w:ascii="宋体" w:hAnsi="宋体" w:eastAsia="宋体" w:cs="宋体"/>
          <w:color w:val="auto"/>
          <w:sz w:val="21"/>
          <w:szCs w:val="21"/>
          <w:highlight w:val="none"/>
          <w:lang w:eastAsia="zh-CN"/>
        </w:rPr>
        <w:t>：</w:t>
      </w:r>
    </w:p>
    <w:p>
      <w:pPr>
        <w:rPr>
          <w:rFonts w:hint="eastAsia" w:ascii="宋体" w:hAnsi="宋体" w:eastAsia="宋体" w:cs="宋体"/>
          <w:color w:val="auto"/>
          <w:sz w:val="21"/>
          <w:szCs w:val="21"/>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pStyle w:val="14"/>
        <w:spacing w:line="500" w:lineRule="exact"/>
        <w:rPr>
          <w:rFonts w:ascii="宋体" w:hAnsi="宋体" w:cs="宋体"/>
          <w:b/>
          <w:bCs/>
        </w:rPr>
      </w:pPr>
      <w:r>
        <w:rPr>
          <w:rFonts w:hint="eastAsia" w:ascii="宋体" w:hAnsi="宋体" w:cs="宋体"/>
          <w:b/>
          <w:bCs/>
        </w:rPr>
        <w:t>（提醒：如果投标人不是残疾人福利性单位，则不需要提供《残疾人福利性单位声明函》。否则，因此导致虚假投标的后果由投标人自行承担。）</w:t>
      </w: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ascii="宋体" w:hAnsi="宋体" w:cs="宋体"/>
          <w:b/>
          <w:bCs/>
          <w:color w:val="auto"/>
          <w:kern w:val="28"/>
          <w:sz w:val="32"/>
          <w:szCs w:val="32"/>
          <w:highlight w:val="none"/>
        </w:rPr>
      </w:pPr>
      <w:bookmarkStart w:id="166" w:name="_Toc18039"/>
      <w:r>
        <w:rPr>
          <w:rFonts w:hint="eastAsia" w:ascii="宋体" w:hAnsi="宋体" w:cs="宋体"/>
          <w:b/>
          <w:bCs/>
          <w:color w:val="auto"/>
          <w:kern w:val="28"/>
          <w:sz w:val="32"/>
          <w:szCs w:val="32"/>
          <w:highlight w:val="none"/>
        </w:rPr>
        <w:t>十</w:t>
      </w:r>
      <w:r>
        <w:rPr>
          <w:rFonts w:hint="eastAsia" w:ascii="宋体" w:hAnsi="宋体" w:cs="宋体"/>
          <w:b/>
          <w:bCs/>
          <w:color w:val="auto"/>
          <w:kern w:val="28"/>
          <w:sz w:val="32"/>
          <w:szCs w:val="32"/>
          <w:highlight w:val="none"/>
          <w:lang w:eastAsia="zh-CN"/>
        </w:rPr>
        <w:t>四</w:t>
      </w:r>
      <w:r>
        <w:rPr>
          <w:rFonts w:hint="eastAsia" w:ascii="宋体" w:hAnsi="宋体" w:cs="宋体"/>
          <w:b/>
          <w:bCs/>
          <w:color w:val="auto"/>
          <w:kern w:val="28"/>
          <w:sz w:val="32"/>
          <w:szCs w:val="32"/>
          <w:highlight w:val="none"/>
        </w:rPr>
        <w:t>、投标承诺函</w:t>
      </w:r>
      <w:bookmarkEnd w:id="166"/>
    </w:p>
    <w:p>
      <w:pPr>
        <w:spacing w:line="440" w:lineRule="exact"/>
        <w:ind w:firstLine="420" w:firstLineChars="200"/>
        <w:textAlignment w:val="baseline"/>
        <w:rPr>
          <w:rFonts w:hint="eastAsia" w:ascii="宋体" w:hAnsi="宋体" w:eastAsia="宋体" w:cs="宋体"/>
          <w:color w:val="auto"/>
          <w:sz w:val="21"/>
          <w:szCs w:val="21"/>
          <w:highlight w:val="none"/>
        </w:rPr>
      </w:pP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我单位对</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（采购编号）投标行为做出承诺，保证所提交材料的真实性。</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文件递交截止时间后至确定成交人的</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"https://baike.so.com/doc/5394983-5632135.html" \t "https://baike.so.com/doc/_blank"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投标有效期</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内，我单位不得要求退出竞标或者修改</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文件且对递交的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文件负责，受其约束。</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2、若我单位中标，在接到成交通知书后，除不可抗力因素外，及时按规定与采购人签订合同并认真履约。</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4、不存在法律法规规定的其他违法违规行为。</w:t>
      </w:r>
    </w:p>
    <w:p>
      <w:pPr>
        <w:pStyle w:val="9"/>
        <w:rPr>
          <w:rFonts w:hint="eastAsia" w:ascii="宋体" w:hAnsi="宋体" w:eastAsia="宋体" w:cs="宋体"/>
          <w:color w:val="auto"/>
          <w:sz w:val="21"/>
          <w:szCs w:val="21"/>
          <w:highlight w:val="none"/>
        </w:rPr>
      </w:pP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供应商名称（盖章）：</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法人代表或授权委托人（签字或盖章）：</w:t>
      </w:r>
    </w:p>
    <w:p>
      <w:pPr>
        <w:spacing w:line="440" w:lineRule="exact"/>
        <w:ind w:firstLine="420" w:firstLineChars="200"/>
        <w:textAlignment w:val="baseline"/>
        <w:rPr>
          <w:rFonts w:hint="eastAsia" w:ascii="宋体" w:hAnsi="宋体" w:eastAsia="宋体" w:cs="宋体"/>
          <w:color w:val="auto"/>
          <w:sz w:val="21"/>
          <w:szCs w:val="21"/>
          <w:highlight w:val="none"/>
        </w:rPr>
      </w:pPr>
      <w:bookmarkStart w:id="167" w:name="_Toc27148152"/>
    </w:p>
    <w:p>
      <w:pPr>
        <w:spacing w:line="440" w:lineRule="exact"/>
        <w:ind w:firstLine="945" w:firstLineChars="450"/>
        <w:textAlignment w:val="baseline"/>
        <w:rPr>
          <w:rFonts w:hint="eastAsia" w:ascii="宋体" w:hAnsi="宋体" w:eastAsia="宋体" w:cs="宋体"/>
          <w:color w:val="auto"/>
          <w:sz w:val="21"/>
          <w:szCs w:val="21"/>
          <w:highlight w:val="none"/>
        </w:rPr>
      </w:pPr>
      <w:bookmarkStart w:id="168" w:name="_Toc14962"/>
      <w:r>
        <w:rPr>
          <w:rFonts w:hint="eastAsia" w:ascii="宋体" w:hAnsi="宋体" w:eastAsia="宋体" w:cs="宋体"/>
          <w:color w:val="auto"/>
          <w:sz w:val="21"/>
          <w:szCs w:val="21"/>
          <w:highlight w:val="none"/>
        </w:rPr>
        <w:t>年   月   日</w:t>
      </w:r>
      <w:bookmarkEnd w:id="167"/>
      <w:bookmarkEnd w:id="168"/>
    </w:p>
    <w:p>
      <w:pPr>
        <w:spacing w:line="440" w:lineRule="exact"/>
        <w:ind w:firstLine="420" w:firstLineChars="200"/>
        <w:textAlignment w:val="baseline"/>
        <w:rPr>
          <w:rFonts w:hint="eastAsia" w:ascii="宋体" w:hAnsi="宋体" w:eastAsia="宋体" w:cs="宋体"/>
          <w:color w:val="auto"/>
          <w:sz w:val="21"/>
          <w:szCs w:val="21"/>
          <w:highlight w:val="none"/>
        </w:rPr>
      </w:pPr>
    </w:p>
    <w:p>
      <w:pPr>
        <w:pStyle w:val="25"/>
        <w:rPr>
          <w:rFonts w:hint="eastAsia" w:ascii="宋体" w:hAnsi="宋体" w:eastAsia="宋体" w:cs="宋体"/>
          <w:color w:val="auto"/>
          <w:sz w:val="21"/>
          <w:szCs w:val="21"/>
          <w:highlight w:val="none"/>
        </w:rPr>
      </w:pPr>
    </w:p>
    <w:p>
      <w:pPr>
        <w:pStyle w:val="25"/>
        <w:rPr>
          <w:rFonts w:hint="eastAsia" w:ascii="宋体" w:hAnsi="宋体" w:eastAsia="宋体" w:cs="宋体"/>
          <w:color w:val="auto"/>
          <w:sz w:val="21"/>
          <w:szCs w:val="21"/>
          <w:highlight w:val="none"/>
        </w:rPr>
      </w:pPr>
    </w:p>
    <w:p>
      <w:pPr>
        <w:pStyle w:val="25"/>
        <w:jc w:val="both"/>
        <w:rPr>
          <w:rFonts w:hint="eastAsia" w:ascii="宋体" w:hAnsi="宋体" w:eastAsia="宋体" w:cs="宋体"/>
          <w:color w:val="auto"/>
          <w:sz w:val="21"/>
          <w:szCs w:val="21"/>
          <w:highlight w:val="none"/>
        </w:rPr>
      </w:pPr>
    </w:p>
    <w:p>
      <w:pPr>
        <w:pStyle w:val="25"/>
        <w:jc w:val="both"/>
        <w:rPr>
          <w:rFonts w:ascii="宋体" w:hAnsi="宋体" w:cs="宋体"/>
          <w:color w:val="auto"/>
          <w:highlight w:val="none"/>
        </w:rPr>
      </w:pPr>
    </w:p>
    <w:p>
      <w:pPr>
        <w:rPr>
          <w:rFonts w:ascii="宋体" w:hAnsi="宋体" w:cs="宋体"/>
          <w:color w:val="auto"/>
          <w:highlight w:val="none"/>
        </w:rPr>
      </w:pPr>
    </w:p>
    <w:p>
      <w:pPr>
        <w:pStyle w:val="40"/>
        <w:rPr>
          <w:rFonts w:ascii="宋体" w:hAnsi="宋体" w:cs="宋体"/>
          <w:color w:val="auto"/>
          <w:highlight w:val="none"/>
        </w:rPr>
      </w:pPr>
    </w:p>
    <w:p>
      <w:pPr>
        <w:pStyle w:val="14"/>
        <w:rPr>
          <w:rFonts w:ascii="宋体" w:hAnsi="宋体" w:cs="宋体"/>
          <w:color w:val="auto"/>
          <w:highlight w:val="none"/>
        </w:rPr>
      </w:pPr>
    </w:p>
    <w:p>
      <w:pPr>
        <w:rPr>
          <w:color w:val="auto"/>
          <w:highlight w:val="none"/>
        </w:rPr>
      </w:pPr>
    </w:p>
    <w:p>
      <w:pPr>
        <w:jc w:val="center"/>
        <w:outlineLvl w:val="1"/>
        <w:rPr>
          <w:rFonts w:hint="eastAsia" w:ascii="宋体" w:hAnsi="宋体" w:cs="宋体"/>
          <w:b/>
          <w:color w:val="auto"/>
          <w:kern w:val="0"/>
          <w:sz w:val="32"/>
          <w:szCs w:val="32"/>
          <w:highlight w:val="none"/>
        </w:rPr>
      </w:pPr>
    </w:p>
    <w:p>
      <w:pPr>
        <w:jc w:val="center"/>
        <w:outlineLvl w:val="1"/>
        <w:rPr>
          <w:rFonts w:hint="eastAsia" w:eastAsia="宋体"/>
          <w:color w:val="auto"/>
          <w:sz w:val="32"/>
          <w:szCs w:val="32"/>
          <w:highlight w:val="none"/>
          <w:u w:val="single"/>
          <w:lang w:eastAsia="zh-CN"/>
        </w:rPr>
      </w:pPr>
      <w:bookmarkStart w:id="169" w:name="_Toc23595"/>
      <w:r>
        <w:rPr>
          <w:rFonts w:hint="eastAsia" w:ascii="宋体" w:hAnsi="宋体" w:cs="宋体"/>
          <w:b/>
          <w:color w:val="auto"/>
          <w:kern w:val="0"/>
          <w:sz w:val="32"/>
          <w:szCs w:val="32"/>
          <w:highlight w:val="none"/>
        </w:rPr>
        <w:t>十</w:t>
      </w:r>
      <w:r>
        <w:rPr>
          <w:rFonts w:hint="eastAsia" w:ascii="宋体" w:hAnsi="宋体" w:cs="宋体"/>
          <w:b/>
          <w:color w:val="auto"/>
          <w:kern w:val="0"/>
          <w:sz w:val="32"/>
          <w:szCs w:val="32"/>
          <w:highlight w:val="none"/>
          <w:lang w:val="en-US" w:eastAsia="zh-CN"/>
        </w:rPr>
        <w:t>五</w:t>
      </w:r>
      <w:r>
        <w:rPr>
          <w:rFonts w:hint="eastAsia" w:ascii="宋体" w:hAnsi="宋体" w:cs="宋体"/>
          <w:b/>
          <w:color w:val="auto"/>
          <w:kern w:val="0"/>
          <w:sz w:val="32"/>
          <w:szCs w:val="32"/>
          <w:highlight w:val="none"/>
        </w:rPr>
        <w:t>、温县政府采购供应商资格信用</w:t>
      </w:r>
      <w:r>
        <w:rPr>
          <w:rFonts w:hint="eastAsia" w:ascii="宋体" w:hAnsi="宋体" w:cs="宋体"/>
          <w:b/>
          <w:color w:val="auto"/>
          <w:kern w:val="0"/>
          <w:sz w:val="32"/>
          <w:szCs w:val="32"/>
          <w:highlight w:val="none"/>
          <w:lang w:eastAsia="zh-CN"/>
        </w:rPr>
        <w:t>承诺函</w:t>
      </w:r>
      <w:bookmarkEnd w:id="169"/>
    </w:p>
    <w:p>
      <w:pPr>
        <w:keepNext w:val="0"/>
        <w:keepLines w:val="0"/>
        <w:pageBreakBefore w:val="0"/>
        <w:widowControl w:val="0"/>
        <w:kinsoku/>
        <w:wordWrap/>
        <w:overflowPunct w:val="0"/>
        <w:topLinePunct w:val="0"/>
        <w:autoSpaceDE/>
        <w:autoSpaceDN/>
        <w:bidi w:val="0"/>
        <w:adjustRightInd w:val="0"/>
        <w:snapToGrid w:val="0"/>
        <w:spacing w:line="480" w:lineRule="exact"/>
        <w:ind w:firstLine="420" w:firstLineChars="200"/>
        <w:textAlignment w:val="auto"/>
        <w:rPr>
          <w:rFonts w:hint="eastAsia" w:ascii="宋体" w:hAnsi="宋体" w:eastAsia="宋体" w:cs="宋体"/>
          <w:color w:val="auto"/>
          <w:szCs w:val="32"/>
          <w:highlight w:val="none"/>
          <w:u w:val="none"/>
        </w:rPr>
      </w:pPr>
      <w:r>
        <w:rPr>
          <w:rFonts w:hint="eastAsia" w:ascii="宋体" w:hAnsi="宋体" w:eastAsia="宋体" w:cs="宋体"/>
          <w:color w:val="auto"/>
          <w:szCs w:val="32"/>
          <w:highlight w:val="none"/>
        </w:rPr>
        <w:t>致：</w:t>
      </w:r>
      <w:r>
        <w:rPr>
          <w:rFonts w:hint="eastAsia" w:ascii="宋体" w:hAnsi="宋体" w:eastAsia="宋体" w:cs="宋体"/>
          <w:color w:val="auto"/>
          <w:szCs w:val="32"/>
          <w:highlight w:val="none"/>
          <w:u w:val="single"/>
          <w:lang w:val="en-US" w:eastAsia="zh-CN"/>
        </w:rPr>
        <w:t xml:space="preserve">             </w:t>
      </w:r>
      <w:r>
        <w:rPr>
          <w:rFonts w:hint="eastAsia" w:ascii="宋体" w:hAnsi="宋体" w:cs="宋体"/>
          <w:color w:val="auto"/>
          <w:szCs w:val="32"/>
          <w:highlight w:val="none"/>
          <w:u w:val="single"/>
          <w:lang w:val="en-US" w:eastAsia="zh-CN"/>
        </w:rPr>
        <w:t xml:space="preserve">              </w:t>
      </w:r>
      <w:r>
        <w:rPr>
          <w:rFonts w:hint="eastAsia" w:ascii="宋体" w:hAnsi="宋体" w:eastAsia="宋体" w:cs="宋体"/>
          <w:color w:val="auto"/>
          <w:szCs w:val="32"/>
          <w:highlight w:val="none"/>
          <w:u w:val="none"/>
        </w:rPr>
        <w:t xml:space="preserve">（采购人或采购代理机构） </w:t>
      </w:r>
    </w:p>
    <w:p>
      <w:pPr>
        <w:keepNext w:val="0"/>
        <w:keepLines w:val="0"/>
        <w:pageBreakBefore w:val="0"/>
        <w:widowControl w:val="0"/>
        <w:kinsoku/>
        <w:wordWrap/>
        <w:overflowPunct w:val="0"/>
        <w:topLinePunct w:val="0"/>
        <w:autoSpaceDE/>
        <w:autoSpaceDN/>
        <w:bidi w:val="0"/>
        <w:adjustRightInd w:val="0"/>
        <w:snapToGrid w:val="0"/>
        <w:spacing w:line="480" w:lineRule="exac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供应商名称：</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val="0"/>
        <w:spacing w:line="480" w:lineRule="exac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统一社会信用代码：</w:t>
      </w:r>
      <w:r>
        <w:rPr>
          <w:rFonts w:hint="eastAsia" w:ascii="宋体" w:hAnsi="宋体" w:eastAsia="宋体" w:cs="宋体"/>
          <w:color w:val="auto"/>
          <w:szCs w:val="32"/>
          <w:highlight w:val="none"/>
          <w:u w:val="single"/>
        </w:rPr>
        <w:t xml:space="preserve">                                 </w:t>
      </w:r>
      <w:r>
        <w:rPr>
          <w:rFonts w:hint="eastAsia" w:ascii="宋体" w:hAnsi="宋体" w:cs="宋体"/>
          <w:color w:val="auto"/>
          <w:szCs w:val="32"/>
          <w:highlight w:val="none"/>
          <w:u w:val="single"/>
          <w:lang w:val="en-US" w:eastAsia="zh-CN"/>
        </w:rPr>
        <w:t xml:space="preserve">  </w:t>
      </w:r>
      <w:r>
        <w:rPr>
          <w:rFonts w:hint="eastAsia" w:ascii="宋体" w:hAnsi="宋体" w:eastAsia="宋体" w:cs="宋体"/>
          <w:color w:val="auto"/>
          <w:szCs w:val="32"/>
          <w:highlight w:val="none"/>
        </w:rPr>
        <w:t xml:space="preserve">                            </w:t>
      </w:r>
    </w:p>
    <w:p>
      <w:pPr>
        <w:spacing w:line="600" w:lineRule="exact"/>
        <w:ind w:firstLine="210" w:firstLineChars="100"/>
        <w:rPr>
          <w:rFonts w:ascii="宋体" w:hAnsi="宋体"/>
          <w:color w:val="auto"/>
          <w:szCs w:val="21"/>
          <w:highlight w:val="none"/>
        </w:rPr>
      </w:pPr>
      <w:r>
        <w:rPr>
          <w:rFonts w:hint="eastAsia" w:ascii="宋体" w:hAnsi="宋体" w:eastAsia="宋体" w:cs="宋体"/>
          <w:color w:val="auto"/>
          <w:szCs w:val="32"/>
          <w:highlight w:val="none"/>
        </w:rPr>
        <w:t xml:space="preserve">  供应商地址：</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我单位具有符合采购文件资格要求独立承担民事责任的能力。</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我单位具有符合采购文件资格要求的财务状况报告。</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我单位具有符合采购文件资格要求的依法缴纳税收和社会保障记录的良好记录。</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w:t>
      </w:r>
      <w:r>
        <w:rPr>
          <w:rFonts w:hint="eastAsia" w:ascii="宋体" w:hAnsi="宋体"/>
          <w:color w:val="auto"/>
          <w:szCs w:val="21"/>
          <w:highlight w:val="none"/>
        </w:rPr>
        <w:t>我单位具有符合采购文件资格要求履行合同所必需的设备和专业技术能力。</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w:t>
      </w:r>
      <w:r>
        <w:rPr>
          <w:rFonts w:hint="eastAsia" w:ascii="宋体" w:hAnsi="宋体"/>
          <w:color w:val="auto"/>
          <w:szCs w:val="21"/>
          <w:highlight w:val="none"/>
        </w:rPr>
        <w:t>参加政府采购活动前三年内，再经营活动中没有重大违法记录。</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若我单位承诺不实，自愿承担提供虚假材料谋取中标、成交的法律责任。</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承诺供应商（全称并加盖公章）：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法定代表人或授权代表（签字）：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日期： </w:t>
      </w:r>
      <w:r>
        <w:rPr>
          <w:rFonts w:ascii="宋体" w:hAnsi="宋体"/>
          <w:color w:val="auto"/>
          <w:szCs w:val="21"/>
          <w:highlight w:val="none"/>
        </w:rPr>
        <w:t xml:space="preserve"> </w:t>
      </w:r>
      <w:r>
        <w:rPr>
          <w:rFonts w:hint="eastAsia" w:ascii="宋体" w:hAnsi="宋体"/>
          <w:color w:val="auto"/>
          <w:szCs w:val="21"/>
          <w:highlight w:val="none"/>
        </w:rPr>
        <w:t xml:space="preserve">年 </w:t>
      </w:r>
      <w:r>
        <w:rPr>
          <w:rFonts w:ascii="宋体" w:hAnsi="宋体"/>
          <w:color w:val="auto"/>
          <w:szCs w:val="21"/>
          <w:highlight w:val="none"/>
        </w:rPr>
        <w:t xml:space="preserve"> </w:t>
      </w:r>
      <w:r>
        <w:rPr>
          <w:rFonts w:hint="eastAsia" w:ascii="宋体" w:hAnsi="宋体"/>
          <w:color w:val="auto"/>
          <w:szCs w:val="21"/>
          <w:highlight w:val="none"/>
        </w:rPr>
        <w:t xml:space="preserve">月 </w:t>
      </w:r>
      <w:r>
        <w:rPr>
          <w:rFonts w:ascii="宋体" w:hAnsi="宋体"/>
          <w:color w:val="auto"/>
          <w:szCs w:val="21"/>
          <w:highlight w:val="none"/>
        </w:rPr>
        <w:t xml:space="preserve"> </w:t>
      </w:r>
      <w:r>
        <w:rPr>
          <w:rFonts w:hint="eastAsia" w:ascii="宋体" w:hAnsi="宋体"/>
          <w:color w:val="auto"/>
          <w:szCs w:val="21"/>
          <w:highlight w:val="none"/>
        </w:rPr>
        <w:t>日</w:t>
      </w:r>
    </w:p>
    <w:p>
      <w:pPr>
        <w:spacing w:line="600" w:lineRule="exact"/>
        <w:ind w:firstLine="420" w:firstLineChars="200"/>
        <w:rPr>
          <w:rFonts w:ascii="宋体" w:hAnsi="宋体"/>
          <w:color w:val="auto"/>
          <w:szCs w:val="21"/>
          <w:highlight w:val="none"/>
        </w:rPr>
      </w:pP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注：</w:t>
      </w:r>
      <w:r>
        <w:rPr>
          <w:rFonts w:ascii="宋体" w:hAnsi="宋体"/>
          <w:color w:val="auto"/>
          <w:szCs w:val="21"/>
          <w:highlight w:val="none"/>
        </w:rPr>
        <w:t>1.</w:t>
      </w:r>
      <w:r>
        <w:rPr>
          <w:rFonts w:hint="eastAsia" w:ascii="宋体" w:hAnsi="宋体"/>
          <w:color w:val="auto"/>
          <w:szCs w:val="21"/>
          <w:highlight w:val="none"/>
        </w:rPr>
        <w:t>供应商须在投标文件中按此模板提供承诺函，未提供视为未实质性响应招标文件要求，按无效投标处理。</w:t>
      </w:r>
    </w:p>
    <w:p>
      <w:pPr>
        <w:spacing w:line="600" w:lineRule="exact"/>
        <w:ind w:firstLine="420" w:firstLineChars="200"/>
        <w:rPr>
          <w:rFonts w:hint="eastAsia" w:ascii="宋体" w:hAnsi="宋体" w:eastAsia="宋体" w:cs="宋体"/>
          <w:color w:val="auto"/>
          <w:highlight w:val="none"/>
          <w:lang w:eastAsia="zh-CN"/>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供应商的法定代表人（其他组织的为负责人）或者授权代表的签字或盖章应真实、有效，如由授权代表签字或盖章的，应提供</w:t>
      </w:r>
      <w:r>
        <w:rPr>
          <w:rFonts w:hint="eastAsia" w:ascii="宋体" w:hAnsi="宋体"/>
          <w:color w:val="auto"/>
          <w:szCs w:val="21"/>
          <w:highlight w:val="none"/>
          <w:lang w:eastAsia="zh-CN"/>
        </w:rPr>
        <w:t>“</w:t>
      </w:r>
      <w:r>
        <w:rPr>
          <w:rFonts w:hint="eastAsia" w:ascii="宋体" w:hAnsi="宋体"/>
          <w:color w:val="auto"/>
          <w:szCs w:val="21"/>
          <w:highlight w:val="none"/>
        </w:rPr>
        <w:t>法定代表人授权书</w:t>
      </w:r>
      <w:r>
        <w:rPr>
          <w:rFonts w:hint="eastAsia" w:ascii="宋体" w:hAnsi="宋体"/>
          <w:color w:val="auto"/>
          <w:szCs w:val="21"/>
          <w:highlight w:val="none"/>
          <w:lang w:eastAsia="zh-CN"/>
        </w:rPr>
        <w:t>”</w:t>
      </w:r>
    </w:p>
    <w:p>
      <w:pPr>
        <w:pStyle w:val="25"/>
        <w:rPr>
          <w:rFonts w:hint="eastAsia" w:ascii="宋体" w:hAnsi="宋体" w:cs="宋体"/>
          <w:color w:val="auto"/>
          <w:highlight w:val="none"/>
        </w:rPr>
      </w:pPr>
    </w:p>
    <w:p>
      <w:pPr>
        <w:pStyle w:val="25"/>
        <w:jc w:val="center"/>
        <w:rPr>
          <w:rFonts w:ascii="宋体" w:cs="宋体"/>
          <w:color w:val="auto"/>
          <w:highlight w:val="none"/>
        </w:rPr>
      </w:pPr>
      <w:bookmarkStart w:id="170" w:name="_Toc19924"/>
      <w:r>
        <w:rPr>
          <w:rFonts w:hint="eastAsia" w:ascii="宋体" w:hAnsi="宋体" w:cs="宋体"/>
          <w:color w:val="auto"/>
          <w:highlight w:val="none"/>
        </w:rPr>
        <w:t>十</w:t>
      </w:r>
      <w:r>
        <w:rPr>
          <w:rFonts w:hint="eastAsia" w:ascii="宋体" w:hAnsi="宋体" w:cs="宋体"/>
          <w:color w:val="auto"/>
          <w:highlight w:val="none"/>
          <w:lang w:eastAsia="zh-CN"/>
        </w:rPr>
        <w:t>六</w:t>
      </w:r>
      <w:r>
        <w:rPr>
          <w:rFonts w:hint="eastAsia" w:ascii="宋体" w:hAnsi="宋体" w:cs="宋体"/>
          <w:color w:val="auto"/>
          <w:highlight w:val="none"/>
        </w:rPr>
        <w:t>、供应商认为需要提供的其它材料</w:t>
      </w:r>
      <w:bookmarkEnd w:id="165"/>
      <w:bookmarkEnd w:id="170"/>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both"/>
        <w:rPr>
          <w:b/>
          <w:bCs/>
          <w:color w:val="auto"/>
          <w:sz w:val="28"/>
          <w:szCs w:val="28"/>
          <w:highlight w:val="none"/>
        </w:rPr>
      </w:pPr>
    </w:p>
    <w:p>
      <w:pPr>
        <w:jc w:val="both"/>
        <w:rPr>
          <w:rFonts w:hint="eastAsia"/>
          <w:b/>
          <w:bCs/>
          <w:color w:val="auto"/>
          <w:sz w:val="28"/>
          <w:szCs w:val="28"/>
          <w:highlight w:val="none"/>
        </w:rPr>
      </w:pPr>
    </w:p>
    <w:p>
      <w:pPr>
        <w:jc w:val="center"/>
        <w:rPr>
          <w:rFonts w:hint="eastAsia"/>
          <w:b/>
          <w:bCs/>
          <w:color w:val="auto"/>
          <w:sz w:val="28"/>
          <w:szCs w:val="28"/>
          <w:highlight w:val="none"/>
        </w:rPr>
      </w:pPr>
    </w:p>
    <w:p>
      <w:pPr>
        <w:jc w:val="center"/>
        <w:rPr>
          <w:b/>
          <w:bCs/>
          <w:color w:val="auto"/>
          <w:sz w:val="28"/>
          <w:szCs w:val="28"/>
          <w:highlight w:val="none"/>
        </w:rPr>
      </w:pPr>
      <w:r>
        <w:rPr>
          <w:rFonts w:hint="eastAsia"/>
          <w:b/>
          <w:bCs/>
          <w:color w:val="auto"/>
          <w:sz w:val="28"/>
          <w:szCs w:val="28"/>
          <w:highlight w:val="none"/>
        </w:rPr>
        <w:t>最终磋商报价表</w:t>
      </w:r>
    </w:p>
    <w:p>
      <w:pPr>
        <w:spacing w:line="360" w:lineRule="exact"/>
        <w:jc w:val="center"/>
        <w:rPr>
          <w:rFonts w:ascii="宋体" w:cs="宋体"/>
          <w:b/>
          <w:color w:val="auto"/>
          <w:szCs w:val="21"/>
          <w:highlight w:val="none"/>
        </w:rPr>
      </w:pPr>
    </w:p>
    <w:tbl>
      <w:tblPr>
        <w:tblStyle w:val="30"/>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53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磋商报价</w:t>
            </w:r>
            <w:r>
              <w:rPr>
                <w:rFonts w:ascii="宋体" w:hAnsi="宋体" w:cs="宋体"/>
                <w:color w:val="auto"/>
                <w:szCs w:val="21"/>
                <w:highlight w:val="none"/>
              </w:rPr>
              <w:t xml:space="preserve"> </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highlight w:val="none"/>
                <w:u w:val="single"/>
              </w:rPr>
            </w:pPr>
            <w:r>
              <w:rPr>
                <w:rFonts w:hint="eastAsia" w:ascii="宋体" w:hAnsi="宋体" w:cs="宋体"/>
                <w:color w:val="auto"/>
                <w:kern w:val="2"/>
                <w:sz w:val="21"/>
                <w:szCs w:val="21"/>
                <w:lang w:val="en-US" w:eastAsia="zh-CN" w:bidi="ar-SA"/>
              </w:rPr>
              <w:t>按豫建设【2019】57号文件河南省施工图设计文件审查结算标准的</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ascii="宋体" w:hAnsi="宋体" w:cs="宋体"/>
                <w:color w:val="auto"/>
                <w:szCs w:val="21"/>
                <w:highlight w:val="none"/>
                <w:u w:val="single"/>
              </w:rPr>
              <w:t xml:space="preserve"> </w:t>
            </w:r>
          </w:p>
        </w:tc>
      </w:tr>
      <w:tr>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单个项目完成期限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97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86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eastAsia="宋体" w:cs="宋体"/>
                <w:color w:val="auto"/>
                <w:szCs w:val="21"/>
                <w:highlight w:val="none"/>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r>
        <w:tblPrEx>
          <w:tblCellMar>
            <w:top w:w="0" w:type="dxa"/>
            <w:left w:w="0" w:type="dxa"/>
            <w:bottom w:w="0" w:type="dxa"/>
            <w:right w:w="0" w:type="dxa"/>
          </w:tblCellMar>
        </w:tblPrEx>
        <w:trPr>
          <w:cantSplit/>
          <w:trHeight w:val="98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bl>
    <w:p>
      <w:pPr>
        <w:spacing w:line="52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供应商名称（公章）：</w:t>
      </w:r>
    </w:p>
    <w:p>
      <w:pPr>
        <w:spacing w:line="52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法定代表人或授权委托人签字</w:t>
      </w:r>
      <w:r>
        <w:rPr>
          <w:rFonts w:ascii="宋体" w:hAnsi="宋体" w:cs="宋体"/>
          <w:color w:val="auto"/>
          <w:szCs w:val="21"/>
          <w:highlight w:val="none"/>
        </w:rPr>
        <w:t>:</w:t>
      </w:r>
    </w:p>
    <w:p>
      <w:pPr>
        <w:spacing w:line="360" w:lineRule="exact"/>
        <w:ind w:left="420" w:leftChars="200"/>
        <w:rPr>
          <w:rFonts w:ascii="宋体" w:cs="宋体"/>
          <w:color w:val="auto"/>
          <w:szCs w:val="21"/>
          <w:highlight w:val="none"/>
        </w:rPr>
      </w:pPr>
    </w:p>
    <w:p>
      <w:pPr>
        <w:spacing w:line="360" w:lineRule="exact"/>
        <w:rPr>
          <w:b/>
          <w:bCs/>
          <w:color w:val="auto"/>
          <w:highlight w:val="none"/>
          <w:u w:val="single"/>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keepNext w:val="0"/>
        <w:keepLines w:val="0"/>
        <w:pageBreakBefore w:val="0"/>
        <w:widowControl w:val="0"/>
        <w:kinsoku/>
        <w:wordWrap/>
        <w:overflowPunct/>
        <w:topLinePunct w:val="0"/>
        <w:autoSpaceDE/>
        <w:autoSpaceDN/>
        <w:bidi w:val="0"/>
        <w:adjustRightInd/>
        <w:snapToGrid/>
        <w:spacing w:before="236" w:line="380" w:lineRule="exact"/>
        <w:ind w:left="11" w:firstLine="870" w:firstLineChars="407"/>
        <w:textAlignment w:val="auto"/>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lang w:val="en-US" w:eastAsia="zh-CN"/>
        </w:rPr>
        <w:t>1、报价应包括磋商文件所确定的采购范围内的全部费用。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rPr>
          <w:color w:val="auto"/>
          <w:highlight w:val="none"/>
        </w:rPr>
      </w:pP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val="zh-CN" w:eastAsia="zh-CN"/>
        </w:rPr>
        <w:t>供应商应当对竞争性磋商的最终报价在焦作市公共资源交易平台</w:t>
      </w:r>
      <w:r>
        <w:rPr>
          <w:rFonts w:hint="eastAsia" w:ascii="宋体" w:hAnsi="宋体" w:eastAsia="宋体" w:cs="宋体"/>
          <w:color w:val="auto"/>
          <w:spacing w:val="2"/>
          <w:sz w:val="21"/>
          <w:szCs w:val="21"/>
          <w:highlight w:val="none"/>
          <w:lang w:val="en-US" w:eastAsia="zh-CN"/>
        </w:rPr>
        <w:t>系统</w:t>
      </w:r>
      <w:r>
        <w:rPr>
          <w:rFonts w:hint="eastAsia" w:ascii="宋体" w:hAnsi="宋体" w:eastAsia="宋体" w:cs="宋体"/>
          <w:color w:val="auto"/>
          <w:spacing w:val="2"/>
          <w:sz w:val="21"/>
          <w:szCs w:val="21"/>
          <w:highlight w:val="none"/>
          <w:lang w:val="zh-CN" w:eastAsia="zh-CN"/>
        </w:rPr>
        <w:t>进行</w:t>
      </w:r>
      <w:r>
        <w:rPr>
          <w:rFonts w:hint="eastAsia" w:ascii="宋体" w:hAnsi="宋体" w:eastAsia="宋体" w:cs="宋体"/>
          <w:color w:val="auto"/>
          <w:spacing w:val="2"/>
          <w:sz w:val="21"/>
          <w:szCs w:val="21"/>
          <w:highlight w:val="none"/>
          <w:lang w:val="en-US" w:eastAsia="zh-CN"/>
        </w:rPr>
        <w:t>签章</w:t>
      </w:r>
      <w:r>
        <w:rPr>
          <w:rFonts w:hint="eastAsia" w:ascii="宋体" w:hAnsi="宋体" w:eastAsia="宋体" w:cs="宋体"/>
          <w:color w:val="auto"/>
          <w:spacing w:val="2"/>
          <w:sz w:val="21"/>
          <w:szCs w:val="21"/>
          <w:highlight w:val="none"/>
          <w:lang w:val="zh-CN" w:eastAsia="zh-CN"/>
        </w:rPr>
        <w:t>确认，在规定的时限内</w:t>
      </w:r>
      <w:r>
        <w:rPr>
          <w:rFonts w:hint="eastAsia" w:ascii="宋体" w:hAnsi="宋体" w:eastAsia="宋体" w:cs="宋体"/>
          <w:color w:val="auto"/>
          <w:spacing w:val="2"/>
          <w:sz w:val="21"/>
          <w:szCs w:val="21"/>
          <w:highlight w:val="none"/>
          <w:lang w:val="en-US" w:eastAsia="zh-CN"/>
        </w:rPr>
        <w:t>上传</w:t>
      </w:r>
      <w:r>
        <w:rPr>
          <w:rFonts w:hint="eastAsia" w:ascii="宋体" w:hAnsi="宋体" w:eastAsia="宋体" w:cs="宋体"/>
          <w:color w:val="auto"/>
          <w:spacing w:val="2"/>
          <w:sz w:val="21"/>
          <w:szCs w:val="21"/>
          <w:highlight w:val="none"/>
          <w:lang w:val="zh-CN" w:eastAsia="zh-CN"/>
        </w:rPr>
        <w:t>给竞争性磋商小组，</w:t>
      </w:r>
      <w:r>
        <w:rPr>
          <w:rFonts w:hint="eastAsia" w:ascii="宋体" w:hAnsi="宋体" w:eastAsia="宋体" w:cs="宋体"/>
          <w:color w:val="auto"/>
          <w:spacing w:val="2"/>
          <w:sz w:val="21"/>
          <w:szCs w:val="21"/>
          <w:highlight w:val="none"/>
          <w:lang w:val="en-US" w:eastAsia="zh-CN"/>
        </w:rPr>
        <w:t>未在规定时间提供最后报价，由供应商自行承担相关责任。</w:t>
      </w:r>
    </w:p>
    <w:sectPr>
      <w:footerReference r:id="rId8" w:type="first"/>
      <w:footerReference r:id="rId7" w:type="default"/>
      <w:pgSz w:w="11906" w:h="16838"/>
      <w:pgMar w:top="1440" w:right="1417" w:bottom="1440" w:left="1417" w:header="851" w:footer="992" w:gutter="0"/>
      <w:pgNumType w:fmt="decimal" w:start="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5C99BB8B-C186-49D7-AFC2-C300671E1D8A}"/>
  </w:font>
  <w:font w:name="黑体">
    <w:panose1 w:val="02010609060101010101"/>
    <w:charset w:val="86"/>
    <w:family w:val="auto"/>
    <w:pitch w:val="default"/>
    <w:sig w:usb0="800002BF" w:usb1="38CF7CFA" w:usb2="00000016" w:usb3="00000000" w:csb0="00040001" w:csb1="00000000"/>
    <w:embedRegular r:id="rId2" w:fontKey="{E973C956-CD6F-4C94-B482-5D3394AC65D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AE93687A-6F7E-4049-A654-0DED46631B31}"/>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embedRegular r:id="rId4" w:fontKey="{763ADD08-8041-4B85-8814-C78C22C6ADFB}"/>
  </w:font>
  <w:font w:name="仿宋">
    <w:panose1 w:val="02010609060101010101"/>
    <w:charset w:val="86"/>
    <w:family w:val="auto"/>
    <w:pitch w:val="default"/>
    <w:sig w:usb0="800002BF" w:usb1="38CF7CFA" w:usb2="00000016" w:usb3="00000000" w:csb0="00040001" w:csb1="00000000"/>
    <w:embedRegular r:id="rId5" w:fontKey="{84C7F2EF-A366-4EC9-967A-E4C237F918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260" w:firstLineChars="600"/>
      <w:rPr>
        <w:rFonts w:ascii="仿宋_GB2312" w:eastAsia="仿宋_GB2312"/>
        <w:b/>
        <w:color w:val="000000"/>
        <w:sz w:val="32"/>
        <w:szCs w:val="32"/>
        <w:lang w:val="zh-CN"/>
      </w:rPr>
    </w:pPr>
    <w:r>
      <w:t xml:space="preserve">    </w:t>
    </w:r>
    <w:r>
      <w:rPr>
        <w:sz w:val="18"/>
        <w:szCs w:val="18"/>
      </w:rPr>
      <w:t xml:space="preserve"> </w:t>
    </w:r>
    <w:r>
      <w:rPr>
        <w:sz w:val="18"/>
        <w:szCs w:val="18"/>
      </w:rPr>
      <mc:AlternateContent>
        <mc:Choice Requires="wps">
          <w:drawing>
            <wp:anchor distT="0" distB="0" distL="114300" distR="114300" simplePos="0" relativeHeight="251659264" behindDoc="0" locked="0" layoutInCell="1" allowOverlap="1">
              <wp:simplePos x="0" y="0"/>
              <wp:positionH relativeFrom="margin">
                <wp:posOffset>4817745</wp:posOffset>
              </wp:positionH>
              <wp:positionV relativeFrom="paragraph">
                <wp:posOffset>123825</wp:posOffset>
              </wp:positionV>
              <wp:extent cx="103505" cy="139700"/>
              <wp:effectExtent l="0" t="0" r="0" b="0"/>
              <wp:wrapNone/>
              <wp:docPr id="4" name="文本框3"/>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 o:spid="_x0000_s1026" o:spt="202" type="#_x0000_t202" style="position:absolute;left:0pt;margin-left:379.35pt;margin-top:9.75pt;height:11pt;width:8.15pt;mso-position-horizontal-relative:margin;mso-wrap-style:none;z-index:251659264;mso-width-relative:page;mso-height-relative:page;" filled="f" stroked="f" coordsize="21600,21600" o:gfxdata="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N8wIdUAAAAJAQAADwAAAAAAAAABACAAAAAiAAAAZHJz&#10;L2Rvd25yZXYueG1sUEsBAhQAFAAAAAgAh07iQPj/q6rOAQAAlgMAAA4AAAAAAAAAAQAgAAAAJAEA&#10;AGRycy9lMm9Eb2MueG1sUEsFBgAAAAAGAAYAWQEAAGQ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p>
    <w:pPr>
      <w:pStyle w:val="20"/>
      <w:pBdr>
        <w:top w:val="thickThinSmallGap" w:color="auto" w:sz="24" w:space="1"/>
      </w:pBd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&#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Dp8tTK0QEAAKMDAAAOAAAAAAAAAAEAIAAAACIB&#10;AABkcnMvZTJvRG9jLnhtbFBLBQYAAAAABgAGAFkBAABlBQ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260" w:firstLineChars="600"/>
      <w:rPr>
        <w:rFonts w:ascii="仿宋_GB2312" w:eastAsia="仿宋_GB2312"/>
        <w:b/>
        <w:color w:val="000000"/>
        <w:sz w:val="32"/>
        <w:szCs w:val="32"/>
        <w:lang w:val="zh-CN"/>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r>
      <w:t xml:space="preserve">    </w:t>
    </w:r>
    <w:r>
      <w:rPr>
        <w:sz w:val="18"/>
        <w:szCs w:val="18"/>
      </w:rPr>
      <w:t xml:space="preserve"> </w:t>
    </w:r>
    <w:r>
      <w:rPr>
        <w:sz w:val="18"/>
        <w:szCs w:val="18"/>
      </w:rPr>
      <mc:AlternateContent>
        <mc:Choice Requires="wps">
          <w:drawing>
            <wp:anchor distT="0" distB="0" distL="114300" distR="114300" simplePos="0" relativeHeight="251661312" behindDoc="0" locked="0" layoutInCell="1" allowOverlap="1">
              <wp:simplePos x="0" y="0"/>
              <wp:positionH relativeFrom="margin">
                <wp:posOffset>4817745</wp:posOffset>
              </wp:positionH>
              <wp:positionV relativeFrom="paragraph">
                <wp:posOffset>123825</wp:posOffset>
              </wp:positionV>
              <wp:extent cx="103505" cy="139700"/>
              <wp:effectExtent l="0" t="0" r="0" b="0"/>
              <wp:wrapNone/>
              <wp:docPr id="6" name="文本框3"/>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 o:spid="_x0000_s1026" o:spt="202" type="#_x0000_t202" style="position:absolute;left:0pt;margin-left:379.35pt;margin-top:9.75pt;height:11pt;width:8.15pt;mso-position-horizontal-relative:margin;mso-wrap-style:none;z-index:251661312;mso-width-relative:page;mso-height-relative:page;" filled="f" stroked="f" coordsize="21600,21600" o:gfxdata="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&#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N8wIdUAAAAJAQAADwAAAAAAAAABACAAAAAiAAAAZHJz&#10;L2Rvd25yZXYueG1sUEsBAhQAFAAAAAgAh07iQEi5yhXOAQAAlgMAAA4AAAAAAAAAAQAgAAAAJAEA&#10;AGRycy9lMm9Eb2MueG1sUEsFBgAAAAAGAAYAWQEAAGQ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p>
    <w:pPr>
      <w:pStyle w:val="20"/>
      <w:pBdr>
        <w:top w:val="thickThinSmallGap" w:color="auto" w:sz="24" w:space="1"/>
      </w:pBd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jbE+XNIBAACjAwAADgAAAAAAAAABACAAAAAi&#10;AQAAZHJzL2Uyb0RvYy54bWxQSwUGAAAAAAYABgBZAQAAZgU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nThickSmallGap" w:color="auto" w:sz="24" w:space="1"/>
      </w:pBdr>
      <w:ind w:right="32"/>
      <w:jc w:val="both"/>
      <w:rPr>
        <w:bCs/>
      </w:rPr>
    </w:pPr>
    <w:r>
      <w:t xml:space="preserve">                     </w:t>
    </w:r>
    <w:r>
      <w:rPr>
        <w:rFonts w:hint="eastAsia"/>
        <w:lang w:val="en-US" w:eastAsia="zh-CN"/>
      </w:rPr>
      <w:t xml:space="preserve">                                                  </w:t>
    </w:r>
    <w:r>
      <w:rPr>
        <w:rFonts w:hint="eastAsia"/>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tabs>
        <w:tab w:val="left" w:pos="4096"/>
        <w:tab w:val="clear" w:pos="4153"/>
      </w:tabs>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BD9212"/>
    <w:multiLevelType w:val="singleLevel"/>
    <w:tmpl w:val="EBBD9212"/>
    <w:lvl w:ilvl="0" w:tentative="0">
      <w:start w:val="1"/>
      <w:numFmt w:val="decimal"/>
      <w:lvlText w:val="%1."/>
      <w:lvlJc w:val="left"/>
      <w:pPr>
        <w:tabs>
          <w:tab w:val="left" w:pos="312"/>
        </w:tabs>
      </w:pPr>
    </w:lvl>
  </w:abstractNum>
  <w:abstractNum w:abstractNumId="1">
    <w:nsid w:val="00000001"/>
    <w:multiLevelType w:val="singleLevel"/>
    <w:tmpl w:val="00000001"/>
    <w:lvl w:ilvl="0" w:tentative="0">
      <w:start w:val="1"/>
      <w:numFmt w:val="decimal"/>
      <w:suff w:val="nothing"/>
      <w:lvlText w:val="%1、"/>
      <w:lvlJc w:val="left"/>
    </w:lvl>
  </w:abstractNum>
  <w:abstractNum w:abstractNumId="2">
    <w:nsid w:val="00000003"/>
    <w:multiLevelType w:val="singleLevel"/>
    <w:tmpl w:val="00000003"/>
    <w:lvl w:ilvl="0" w:tentative="0">
      <w:start w:val="1"/>
      <w:numFmt w:val="decimal"/>
      <w:lvlText w:val="%1、"/>
      <w:lvlJc w:val="left"/>
      <w:pPr>
        <w:tabs>
          <w:tab w:val="left" w:pos="645"/>
        </w:tabs>
        <w:ind w:left="645" w:hanging="480"/>
      </w:pPr>
      <w:rPr>
        <w:rFonts w:hint="eastAsia"/>
      </w:rPr>
    </w:lvl>
  </w:abstractNum>
  <w:abstractNum w:abstractNumId="3">
    <w:nsid w:val="0000000B"/>
    <w:multiLevelType w:val="singleLevel"/>
    <w:tmpl w:val="0000000B"/>
    <w:lvl w:ilvl="0" w:tentative="0">
      <w:start w:val="2"/>
      <w:numFmt w:val="decimal"/>
      <w:suff w:val="nothing"/>
      <w:lvlText w:val="%1、"/>
      <w:lvlJc w:val="left"/>
    </w:lvl>
  </w:abstractNum>
  <w:abstractNum w:abstractNumId="4">
    <w:nsid w:val="0000000D"/>
    <w:multiLevelType w:val="singleLevel"/>
    <w:tmpl w:val="0000000D"/>
    <w:lvl w:ilvl="0" w:tentative="0">
      <w:start w:val="1"/>
      <w:numFmt w:val="chineseCounting"/>
      <w:suff w:val="nothing"/>
      <w:lvlText w:val="%1、"/>
      <w:lvlJc w:val="left"/>
      <w:pPr>
        <w:ind w:left="630"/>
      </w:pPr>
      <w:rPr>
        <w:rFonts w:hint="eastAsia"/>
      </w:rPr>
    </w:lvl>
  </w:abstractNum>
  <w:abstractNum w:abstractNumId="5">
    <w:nsid w:val="13C4F79B"/>
    <w:multiLevelType w:val="singleLevel"/>
    <w:tmpl w:val="13C4F79B"/>
    <w:lvl w:ilvl="0" w:tentative="0">
      <w:start w:val="1"/>
      <w:numFmt w:val="decimal"/>
      <w:suff w:val="space"/>
      <w:lvlText w:val="%1."/>
      <w:lvlJc w:val="left"/>
    </w:lvl>
  </w:abstractNum>
  <w:abstractNum w:abstractNumId="6">
    <w:nsid w:val="2EE93B9B"/>
    <w:multiLevelType w:val="singleLevel"/>
    <w:tmpl w:val="2EE93B9B"/>
    <w:lvl w:ilvl="0" w:tentative="0">
      <w:start w:val="1"/>
      <w:numFmt w:val="decimal"/>
      <w:lvlText w:val="%1."/>
      <w:lvlJc w:val="left"/>
      <w:pPr>
        <w:tabs>
          <w:tab w:val="left" w:pos="312"/>
        </w:tabs>
      </w:pPr>
    </w:lvl>
  </w:abstractNum>
  <w:abstractNum w:abstractNumId="7">
    <w:nsid w:val="55739F65"/>
    <w:multiLevelType w:val="multilevel"/>
    <w:tmpl w:val="55739F65"/>
    <w:lvl w:ilvl="0" w:tentative="0">
      <w:start w:val="4"/>
      <w:numFmt w:val="decimal"/>
      <w:suff w:val="nothing"/>
      <w:lvlText w:val="%1."/>
      <w:lvlJc w:val="left"/>
      <w:rPr>
        <w:rFonts w:cs="Times New Roman"/>
      </w:rPr>
    </w:lvl>
    <w:lvl w:ilvl="1" w:tentative="0">
      <w:start w:val="1"/>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8">
    <w:nsid w:val="58033BBC"/>
    <w:multiLevelType w:val="multilevel"/>
    <w:tmpl w:val="58033BB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7439063C"/>
    <w:multiLevelType w:val="singleLevel"/>
    <w:tmpl w:val="7439063C"/>
    <w:lvl w:ilvl="0" w:tentative="0">
      <w:start w:val="2"/>
      <w:numFmt w:val="decimal"/>
      <w:suff w:val="nothing"/>
      <w:lvlText w:val="（%1）"/>
      <w:lvlJc w:val="left"/>
      <w:rPr>
        <w:rFonts w:cs="Times New Roman"/>
      </w:rPr>
    </w:lvl>
  </w:abstractNum>
  <w:num w:numId="1">
    <w:abstractNumId w:val="6"/>
  </w:num>
  <w:num w:numId="2">
    <w:abstractNumId w:val="0"/>
  </w:num>
  <w:num w:numId="3">
    <w:abstractNumId w:val="8"/>
  </w:num>
  <w:num w:numId="4">
    <w:abstractNumId w:val="2"/>
  </w:num>
  <w:num w:numId="5">
    <w:abstractNumId w:val="9"/>
  </w:num>
  <w:num w:numId="6">
    <w:abstractNumId w:val="7"/>
  </w:num>
  <w:num w:numId="7">
    <w:abstractNumId w:val="4"/>
  </w:num>
  <w:num w:numId="8">
    <w:abstractNumId w:val="3"/>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yMzQ2N2NiMjU3NWJhYmIzNjM2ZWJmZmMyZWZjMzIifQ=="/>
  </w:docVars>
  <w:rsids>
    <w:rsidRoot w:val="00172A27"/>
    <w:rsid w:val="00103897"/>
    <w:rsid w:val="00127E6A"/>
    <w:rsid w:val="001562D7"/>
    <w:rsid w:val="00172E78"/>
    <w:rsid w:val="001D5DBB"/>
    <w:rsid w:val="00237A6E"/>
    <w:rsid w:val="00285085"/>
    <w:rsid w:val="002B6923"/>
    <w:rsid w:val="00307A95"/>
    <w:rsid w:val="003532FE"/>
    <w:rsid w:val="003577A2"/>
    <w:rsid w:val="00366D6D"/>
    <w:rsid w:val="003740BD"/>
    <w:rsid w:val="003B6032"/>
    <w:rsid w:val="003D42F8"/>
    <w:rsid w:val="005148EC"/>
    <w:rsid w:val="005214EA"/>
    <w:rsid w:val="005409D3"/>
    <w:rsid w:val="005539A0"/>
    <w:rsid w:val="00555DA2"/>
    <w:rsid w:val="00586FEC"/>
    <w:rsid w:val="005A7208"/>
    <w:rsid w:val="005C088A"/>
    <w:rsid w:val="005D4603"/>
    <w:rsid w:val="005E5F7E"/>
    <w:rsid w:val="005F037B"/>
    <w:rsid w:val="00645991"/>
    <w:rsid w:val="00682B05"/>
    <w:rsid w:val="006D7932"/>
    <w:rsid w:val="006E6810"/>
    <w:rsid w:val="006F60C7"/>
    <w:rsid w:val="007A51B4"/>
    <w:rsid w:val="007E4CA5"/>
    <w:rsid w:val="007F27CB"/>
    <w:rsid w:val="00816543"/>
    <w:rsid w:val="008624D4"/>
    <w:rsid w:val="008C6C96"/>
    <w:rsid w:val="009049D8"/>
    <w:rsid w:val="00950240"/>
    <w:rsid w:val="009A13B3"/>
    <w:rsid w:val="00A364B9"/>
    <w:rsid w:val="00A40E93"/>
    <w:rsid w:val="00A73C15"/>
    <w:rsid w:val="00A94C31"/>
    <w:rsid w:val="00AC7CBE"/>
    <w:rsid w:val="00BC07D2"/>
    <w:rsid w:val="00C97191"/>
    <w:rsid w:val="00CF0B16"/>
    <w:rsid w:val="00D11957"/>
    <w:rsid w:val="00D12B0E"/>
    <w:rsid w:val="00D155F9"/>
    <w:rsid w:val="00D64097"/>
    <w:rsid w:val="00DB20F7"/>
    <w:rsid w:val="00E52F76"/>
    <w:rsid w:val="00E60A9C"/>
    <w:rsid w:val="00E635F0"/>
    <w:rsid w:val="00E6364D"/>
    <w:rsid w:val="00ED2375"/>
    <w:rsid w:val="00EF16FF"/>
    <w:rsid w:val="00F036C9"/>
    <w:rsid w:val="01101675"/>
    <w:rsid w:val="011253ED"/>
    <w:rsid w:val="011473B7"/>
    <w:rsid w:val="01154EDD"/>
    <w:rsid w:val="011E1FE4"/>
    <w:rsid w:val="012D0FAF"/>
    <w:rsid w:val="013C06BC"/>
    <w:rsid w:val="013C7109"/>
    <w:rsid w:val="01505F15"/>
    <w:rsid w:val="01536131"/>
    <w:rsid w:val="015E6884"/>
    <w:rsid w:val="016F4967"/>
    <w:rsid w:val="017B11E4"/>
    <w:rsid w:val="01810F86"/>
    <w:rsid w:val="018856AF"/>
    <w:rsid w:val="018A58CB"/>
    <w:rsid w:val="018C0F93"/>
    <w:rsid w:val="018C33F1"/>
    <w:rsid w:val="018F4C90"/>
    <w:rsid w:val="019422A6"/>
    <w:rsid w:val="01944054"/>
    <w:rsid w:val="01981D96"/>
    <w:rsid w:val="019E4ED3"/>
    <w:rsid w:val="01A050EF"/>
    <w:rsid w:val="01A22C15"/>
    <w:rsid w:val="01A324E9"/>
    <w:rsid w:val="01A56261"/>
    <w:rsid w:val="01A60261"/>
    <w:rsid w:val="01A85D51"/>
    <w:rsid w:val="01AA6A3B"/>
    <w:rsid w:val="01AF5332"/>
    <w:rsid w:val="01B666C0"/>
    <w:rsid w:val="01C012ED"/>
    <w:rsid w:val="01C25065"/>
    <w:rsid w:val="01C34939"/>
    <w:rsid w:val="01CF7968"/>
    <w:rsid w:val="01D628BE"/>
    <w:rsid w:val="01E274B5"/>
    <w:rsid w:val="01E301A6"/>
    <w:rsid w:val="01E4322D"/>
    <w:rsid w:val="01EB45BC"/>
    <w:rsid w:val="01EC20E2"/>
    <w:rsid w:val="01EC5C3E"/>
    <w:rsid w:val="01F60B22"/>
    <w:rsid w:val="01F62F61"/>
    <w:rsid w:val="01F82835"/>
    <w:rsid w:val="01FB0577"/>
    <w:rsid w:val="020236B3"/>
    <w:rsid w:val="02050E58"/>
    <w:rsid w:val="02153EB2"/>
    <w:rsid w:val="0227311A"/>
    <w:rsid w:val="02337B59"/>
    <w:rsid w:val="02385327"/>
    <w:rsid w:val="023F66B6"/>
    <w:rsid w:val="02467A44"/>
    <w:rsid w:val="0247556A"/>
    <w:rsid w:val="024A0BB7"/>
    <w:rsid w:val="024B6E08"/>
    <w:rsid w:val="0250441F"/>
    <w:rsid w:val="02551A35"/>
    <w:rsid w:val="02555ED9"/>
    <w:rsid w:val="025A529E"/>
    <w:rsid w:val="025D4D8E"/>
    <w:rsid w:val="02641C78"/>
    <w:rsid w:val="02671768"/>
    <w:rsid w:val="02696135"/>
    <w:rsid w:val="026D3223"/>
    <w:rsid w:val="0270061D"/>
    <w:rsid w:val="02750329"/>
    <w:rsid w:val="02753E85"/>
    <w:rsid w:val="027C5214"/>
    <w:rsid w:val="0280729A"/>
    <w:rsid w:val="028B5457"/>
    <w:rsid w:val="028E6378"/>
    <w:rsid w:val="02A1111E"/>
    <w:rsid w:val="02AF27D6"/>
    <w:rsid w:val="02AF69EA"/>
    <w:rsid w:val="02B32C00"/>
    <w:rsid w:val="02B7624C"/>
    <w:rsid w:val="02B938A0"/>
    <w:rsid w:val="02BC6D47"/>
    <w:rsid w:val="02CB619B"/>
    <w:rsid w:val="02CE3596"/>
    <w:rsid w:val="02DD2F85"/>
    <w:rsid w:val="02E03AE7"/>
    <w:rsid w:val="02E1776D"/>
    <w:rsid w:val="02E73723"/>
    <w:rsid w:val="02F4124E"/>
    <w:rsid w:val="02F53218"/>
    <w:rsid w:val="02F76F9A"/>
    <w:rsid w:val="02F94AB6"/>
    <w:rsid w:val="03011BBD"/>
    <w:rsid w:val="03015B1A"/>
    <w:rsid w:val="03045209"/>
    <w:rsid w:val="03062D2F"/>
    <w:rsid w:val="03151A9A"/>
    <w:rsid w:val="031B0E71"/>
    <w:rsid w:val="032A4C70"/>
    <w:rsid w:val="032C3AFD"/>
    <w:rsid w:val="032F04D8"/>
    <w:rsid w:val="03343D40"/>
    <w:rsid w:val="03353615"/>
    <w:rsid w:val="03394EB3"/>
    <w:rsid w:val="03483348"/>
    <w:rsid w:val="034C72DC"/>
    <w:rsid w:val="03500056"/>
    <w:rsid w:val="03525F75"/>
    <w:rsid w:val="035A5C54"/>
    <w:rsid w:val="03640B3E"/>
    <w:rsid w:val="036839EA"/>
    <w:rsid w:val="036C34DA"/>
    <w:rsid w:val="036D2DAF"/>
    <w:rsid w:val="036F4D79"/>
    <w:rsid w:val="037378F0"/>
    <w:rsid w:val="0374238F"/>
    <w:rsid w:val="03773C2D"/>
    <w:rsid w:val="037E320E"/>
    <w:rsid w:val="0382669A"/>
    <w:rsid w:val="038A1BB2"/>
    <w:rsid w:val="038A3361"/>
    <w:rsid w:val="038A4E92"/>
    <w:rsid w:val="03993C05"/>
    <w:rsid w:val="039B56F9"/>
    <w:rsid w:val="03A054F0"/>
    <w:rsid w:val="03AC38D7"/>
    <w:rsid w:val="03B91098"/>
    <w:rsid w:val="03B95FF4"/>
    <w:rsid w:val="03BB1D6C"/>
    <w:rsid w:val="03C277A6"/>
    <w:rsid w:val="03C40994"/>
    <w:rsid w:val="03C84CE7"/>
    <w:rsid w:val="03D15DD9"/>
    <w:rsid w:val="03D270B5"/>
    <w:rsid w:val="03D96696"/>
    <w:rsid w:val="03DD389B"/>
    <w:rsid w:val="03E80687"/>
    <w:rsid w:val="03EE0333"/>
    <w:rsid w:val="03F97151"/>
    <w:rsid w:val="04003C23"/>
    <w:rsid w:val="04025BED"/>
    <w:rsid w:val="040A2CF3"/>
    <w:rsid w:val="04272011"/>
    <w:rsid w:val="042A6EF2"/>
    <w:rsid w:val="042E69E2"/>
    <w:rsid w:val="04406715"/>
    <w:rsid w:val="04455AD9"/>
    <w:rsid w:val="04505729"/>
    <w:rsid w:val="045B52FD"/>
    <w:rsid w:val="046248DD"/>
    <w:rsid w:val="04657F2A"/>
    <w:rsid w:val="04696F9E"/>
    <w:rsid w:val="046C48D8"/>
    <w:rsid w:val="047343F5"/>
    <w:rsid w:val="047437E5"/>
    <w:rsid w:val="047A5783"/>
    <w:rsid w:val="04814D63"/>
    <w:rsid w:val="048D195A"/>
    <w:rsid w:val="04906C14"/>
    <w:rsid w:val="04912ACD"/>
    <w:rsid w:val="04932CE9"/>
    <w:rsid w:val="04A02142"/>
    <w:rsid w:val="04A10F62"/>
    <w:rsid w:val="04B50CCB"/>
    <w:rsid w:val="04B57590"/>
    <w:rsid w:val="04B62533"/>
    <w:rsid w:val="04B85403"/>
    <w:rsid w:val="04BC5D9C"/>
    <w:rsid w:val="04BD56EC"/>
    <w:rsid w:val="04C5022A"/>
    <w:rsid w:val="04C66D99"/>
    <w:rsid w:val="04C94624"/>
    <w:rsid w:val="04D8694E"/>
    <w:rsid w:val="04DD2CD2"/>
    <w:rsid w:val="04DE0E34"/>
    <w:rsid w:val="04DF5587"/>
    <w:rsid w:val="04ED76E2"/>
    <w:rsid w:val="04F03C97"/>
    <w:rsid w:val="04F80D9E"/>
    <w:rsid w:val="04FF037E"/>
    <w:rsid w:val="05027E0B"/>
    <w:rsid w:val="05052D25"/>
    <w:rsid w:val="05104339"/>
    <w:rsid w:val="051A51B8"/>
    <w:rsid w:val="05294AA1"/>
    <w:rsid w:val="052D5F8D"/>
    <w:rsid w:val="053A3329"/>
    <w:rsid w:val="053F73B1"/>
    <w:rsid w:val="054219D1"/>
    <w:rsid w:val="05483AD3"/>
    <w:rsid w:val="05597A8E"/>
    <w:rsid w:val="055A7363"/>
    <w:rsid w:val="055B0BE2"/>
    <w:rsid w:val="05666D2E"/>
    <w:rsid w:val="056D2553"/>
    <w:rsid w:val="05704DD8"/>
    <w:rsid w:val="0584475F"/>
    <w:rsid w:val="05880374"/>
    <w:rsid w:val="058D208D"/>
    <w:rsid w:val="059211F2"/>
    <w:rsid w:val="05924D4E"/>
    <w:rsid w:val="05992C19"/>
    <w:rsid w:val="05A36F5B"/>
    <w:rsid w:val="05B11678"/>
    <w:rsid w:val="05B22E31"/>
    <w:rsid w:val="05B253F0"/>
    <w:rsid w:val="05B2719F"/>
    <w:rsid w:val="05B90EFE"/>
    <w:rsid w:val="05B93982"/>
    <w:rsid w:val="05BB2735"/>
    <w:rsid w:val="05CA273A"/>
    <w:rsid w:val="05CC0260"/>
    <w:rsid w:val="05D215EF"/>
    <w:rsid w:val="05D27738"/>
    <w:rsid w:val="05D82FAD"/>
    <w:rsid w:val="05DA2889"/>
    <w:rsid w:val="05DB66F5"/>
    <w:rsid w:val="05DD06BF"/>
    <w:rsid w:val="05DE0ED6"/>
    <w:rsid w:val="05E41A4E"/>
    <w:rsid w:val="05E57574"/>
    <w:rsid w:val="05E57D1D"/>
    <w:rsid w:val="05F81055"/>
    <w:rsid w:val="05F8421E"/>
    <w:rsid w:val="05FA5BE4"/>
    <w:rsid w:val="05FB6D97"/>
    <w:rsid w:val="0604196C"/>
    <w:rsid w:val="060D1346"/>
    <w:rsid w:val="06127C3D"/>
    <w:rsid w:val="062E2CC9"/>
    <w:rsid w:val="064060BE"/>
    <w:rsid w:val="064C13A1"/>
    <w:rsid w:val="064F49ED"/>
    <w:rsid w:val="06523909"/>
    <w:rsid w:val="06530982"/>
    <w:rsid w:val="06677F89"/>
    <w:rsid w:val="06683779"/>
    <w:rsid w:val="066A1827"/>
    <w:rsid w:val="067033F2"/>
    <w:rsid w:val="06734B80"/>
    <w:rsid w:val="0679102E"/>
    <w:rsid w:val="06802AF8"/>
    <w:rsid w:val="068B011B"/>
    <w:rsid w:val="068C5C42"/>
    <w:rsid w:val="069A035E"/>
    <w:rsid w:val="069F0A0E"/>
    <w:rsid w:val="06A729EB"/>
    <w:rsid w:val="06A765D7"/>
    <w:rsid w:val="06B17456"/>
    <w:rsid w:val="06BC6527"/>
    <w:rsid w:val="06BD229F"/>
    <w:rsid w:val="06BF1B73"/>
    <w:rsid w:val="06C15CEB"/>
    <w:rsid w:val="06D25D4A"/>
    <w:rsid w:val="06D3561E"/>
    <w:rsid w:val="06D37733"/>
    <w:rsid w:val="06E710CA"/>
    <w:rsid w:val="06EE06AA"/>
    <w:rsid w:val="06F35CC1"/>
    <w:rsid w:val="06F71A01"/>
    <w:rsid w:val="06FA2BAB"/>
    <w:rsid w:val="070103DE"/>
    <w:rsid w:val="070E1A54"/>
    <w:rsid w:val="07126147"/>
    <w:rsid w:val="071A324D"/>
    <w:rsid w:val="071A4FFB"/>
    <w:rsid w:val="071D689A"/>
    <w:rsid w:val="07310CDA"/>
    <w:rsid w:val="0733430F"/>
    <w:rsid w:val="073755EB"/>
    <w:rsid w:val="073C7C63"/>
    <w:rsid w:val="073D0CEA"/>
    <w:rsid w:val="074A1D85"/>
    <w:rsid w:val="074B1659"/>
    <w:rsid w:val="07500A1D"/>
    <w:rsid w:val="07504EC1"/>
    <w:rsid w:val="075524D7"/>
    <w:rsid w:val="075B71B2"/>
    <w:rsid w:val="07632E46"/>
    <w:rsid w:val="0764271A"/>
    <w:rsid w:val="07666DC2"/>
    <w:rsid w:val="076D15CF"/>
    <w:rsid w:val="076F5347"/>
    <w:rsid w:val="07726BE5"/>
    <w:rsid w:val="07746E01"/>
    <w:rsid w:val="077B5848"/>
    <w:rsid w:val="077C5361"/>
    <w:rsid w:val="077C5CB6"/>
    <w:rsid w:val="07807554"/>
    <w:rsid w:val="07854B6B"/>
    <w:rsid w:val="07866B35"/>
    <w:rsid w:val="0787503B"/>
    <w:rsid w:val="078E3664"/>
    <w:rsid w:val="078F7797"/>
    <w:rsid w:val="079254DA"/>
    <w:rsid w:val="079528D4"/>
    <w:rsid w:val="0797489E"/>
    <w:rsid w:val="07A74336"/>
    <w:rsid w:val="07A90384"/>
    <w:rsid w:val="07AA45D1"/>
    <w:rsid w:val="07AB012E"/>
    <w:rsid w:val="07AD2313"/>
    <w:rsid w:val="07C62981"/>
    <w:rsid w:val="07C82CA9"/>
    <w:rsid w:val="07CD4764"/>
    <w:rsid w:val="07CF4038"/>
    <w:rsid w:val="07CF5DE6"/>
    <w:rsid w:val="07D21D7A"/>
    <w:rsid w:val="07E15B19"/>
    <w:rsid w:val="07EF6488"/>
    <w:rsid w:val="07F67816"/>
    <w:rsid w:val="07FE491D"/>
    <w:rsid w:val="08010C5F"/>
    <w:rsid w:val="08084414"/>
    <w:rsid w:val="0808579C"/>
    <w:rsid w:val="0809228B"/>
    <w:rsid w:val="08123F24"/>
    <w:rsid w:val="08147C9D"/>
    <w:rsid w:val="0816418F"/>
    <w:rsid w:val="081D2FF5"/>
    <w:rsid w:val="081E6D6D"/>
    <w:rsid w:val="08253C58"/>
    <w:rsid w:val="08345D51"/>
    <w:rsid w:val="08357123"/>
    <w:rsid w:val="0839318D"/>
    <w:rsid w:val="08404F36"/>
    <w:rsid w:val="084542FA"/>
    <w:rsid w:val="084557CB"/>
    <w:rsid w:val="085046CA"/>
    <w:rsid w:val="08517143"/>
    <w:rsid w:val="085207C5"/>
    <w:rsid w:val="0854278F"/>
    <w:rsid w:val="0854453D"/>
    <w:rsid w:val="08585DDB"/>
    <w:rsid w:val="085D7896"/>
    <w:rsid w:val="086230FE"/>
    <w:rsid w:val="08634780"/>
    <w:rsid w:val="086C1BEB"/>
    <w:rsid w:val="08803584"/>
    <w:rsid w:val="0882554E"/>
    <w:rsid w:val="0884335C"/>
    <w:rsid w:val="088A61B1"/>
    <w:rsid w:val="08901A19"/>
    <w:rsid w:val="089A729B"/>
    <w:rsid w:val="089F1C5C"/>
    <w:rsid w:val="08A6123D"/>
    <w:rsid w:val="08AA0601"/>
    <w:rsid w:val="08B51480"/>
    <w:rsid w:val="08B82D1E"/>
    <w:rsid w:val="08B84ACC"/>
    <w:rsid w:val="08B90536"/>
    <w:rsid w:val="08BF40AC"/>
    <w:rsid w:val="08C16076"/>
    <w:rsid w:val="08C276F9"/>
    <w:rsid w:val="08CF1E16"/>
    <w:rsid w:val="08D119D4"/>
    <w:rsid w:val="08D12032"/>
    <w:rsid w:val="08D5567E"/>
    <w:rsid w:val="08D8516E"/>
    <w:rsid w:val="08DC4C5E"/>
    <w:rsid w:val="08DD2784"/>
    <w:rsid w:val="08EE137B"/>
    <w:rsid w:val="08F64F1D"/>
    <w:rsid w:val="08F90BB6"/>
    <w:rsid w:val="08FD6983"/>
    <w:rsid w:val="08FE25C8"/>
    <w:rsid w:val="08FF042B"/>
    <w:rsid w:val="09023F99"/>
    <w:rsid w:val="09035013"/>
    <w:rsid w:val="091837BC"/>
    <w:rsid w:val="091D1F66"/>
    <w:rsid w:val="09265ED9"/>
    <w:rsid w:val="092D370C"/>
    <w:rsid w:val="092E1232"/>
    <w:rsid w:val="09336848"/>
    <w:rsid w:val="09376242"/>
    <w:rsid w:val="09383E5F"/>
    <w:rsid w:val="093F51ED"/>
    <w:rsid w:val="09410F65"/>
    <w:rsid w:val="09460264"/>
    <w:rsid w:val="094840A2"/>
    <w:rsid w:val="09545244"/>
    <w:rsid w:val="09570789"/>
    <w:rsid w:val="095962AF"/>
    <w:rsid w:val="09615163"/>
    <w:rsid w:val="09684744"/>
    <w:rsid w:val="096B6C5E"/>
    <w:rsid w:val="096D1D5A"/>
    <w:rsid w:val="09747085"/>
    <w:rsid w:val="09750C0F"/>
    <w:rsid w:val="09772BD9"/>
    <w:rsid w:val="09774987"/>
    <w:rsid w:val="097924AD"/>
    <w:rsid w:val="098350DA"/>
    <w:rsid w:val="098470A4"/>
    <w:rsid w:val="098826F0"/>
    <w:rsid w:val="09905A49"/>
    <w:rsid w:val="0992531D"/>
    <w:rsid w:val="09997736"/>
    <w:rsid w:val="099A2423"/>
    <w:rsid w:val="099F5C8C"/>
    <w:rsid w:val="09A1009E"/>
    <w:rsid w:val="09A3577C"/>
    <w:rsid w:val="09A514F4"/>
    <w:rsid w:val="09A80FE4"/>
    <w:rsid w:val="09A908B8"/>
    <w:rsid w:val="09AF4121"/>
    <w:rsid w:val="09B305E8"/>
    <w:rsid w:val="09B41737"/>
    <w:rsid w:val="09B63701"/>
    <w:rsid w:val="09B74D83"/>
    <w:rsid w:val="09B93830"/>
    <w:rsid w:val="09BE3B4D"/>
    <w:rsid w:val="09C22729"/>
    <w:rsid w:val="09C44C48"/>
    <w:rsid w:val="09CD27F9"/>
    <w:rsid w:val="09D92F4C"/>
    <w:rsid w:val="09DE3D12"/>
    <w:rsid w:val="09DE67B4"/>
    <w:rsid w:val="09DF1358"/>
    <w:rsid w:val="09E07509"/>
    <w:rsid w:val="09E22B15"/>
    <w:rsid w:val="09E243E7"/>
    <w:rsid w:val="09E3201C"/>
    <w:rsid w:val="09E57B43"/>
    <w:rsid w:val="09E81BAE"/>
    <w:rsid w:val="09EA6F07"/>
    <w:rsid w:val="09EB0ED1"/>
    <w:rsid w:val="09FE29B2"/>
    <w:rsid w:val="0A0124A3"/>
    <w:rsid w:val="0A014251"/>
    <w:rsid w:val="0A03446D"/>
    <w:rsid w:val="0A067AB9"/>
    <w:rsid w:val="0A0A57FB"/>
    <w:rsid w:val="0A0C1573"/>
    <w:rsid w:val="0A0D6D90"/>
    <w:rsid w:val="0A130D49"/>
    <w:rsid w:val="0A1952B6"/>
    <w:rsid w:val="0A1B5312"/>
    <w:rsid w:val="0A1B645D"/>
    <w:rsid w:val="0A1C72DC"/>
    <w:rsid w:val="0A1E12A6"/>
    <w:rsid w:val="0A232419"/>
    <w:rsid w:val="0A2801DC"/>
    <w:rsid w:val="0A283ED3"/>
    <w:rsid w:val="0A285C81"/>
    <w:rsid w:val="0A2D08B3"/>
    <w:rsid w:val="0A310FDA"/>
    <w:rsid w:val="0A375FF0"/>
    <w:rsid w:val="0A434869"/>
    <w:rsid w:val="0A4C7BC2"/>
    <w:rsid w:val="0A4F1C78"/>
    <w:rsid w:val="0A5847B8"/>
    <w:rsid w:val="0A5B1BB3"/>
    <w:rsid w:val="0A6749FB"/>
    <w:rsid w:val="0A6767AA"/>
    <w:rsid w:val="0A697C22"/>
    <w:rsid w:val="0A6A168C"/>
    <w:rsid w:val="0A6A3EC4"/>
    <w:rsid w:val="0A6E45E1"/>
    <w:rsid w:val="0A7964DD"/>
    <w:rsid w:val="0A7C3448"/>
    <w:rsid w:val="0A825391"/>
    <w:rsid w:val="0A886720"/>
    <w:rsid w:val="0A8F3F52"/>
    <w:rsid w:val="0A914502"/>
    <w:rsid w:val="0A951569"/>
    <w:rsid w:val="0A9A74D8"/>
    <w:rsid w:val="0AA96DC2"/>
    <w:rsid w:val="0AAC3A20"/>
    <w:rsid w:val="0AAE7C10"/>
    <w:rsid w:val="0AAF1EFF"/>
    <w:rsid w:val="0AAF29E3"/>
    <w:rsid w:val="0AB01373"/>
    <w:rsid w:val="0AB17A25"/>
    <w:rsid w:val="0AB17F49"/>
    <w:rsid w:val="0ABB2FF3"/>
    <w:rsid w:val="0AC51722"/>
    <w:rsid w:val="0ACA6D38"/>
    <w:rsid w:val="0ACE2AFB"/>
    <w:rsid w:val="0AD4662A"/>
    <w:rsid w:val="0AD57BB7"/>
    <w:rsid w:val="0AE20526"/>
    <w:rsid w:val="0AE55920"/>
    <w:rsid w:val="0AEA2F37"/>
    <w:rsid w:val="0AF11877"/>
    <w:rsid w:val="0AFA6C63"/>
    <w:rsid w:val="0AFA761E"/>
    <w:rsid w:val="0AFD0EBC"/>
    <w:rsid w:val="0B097861"/>
    <w:rsid w:val="0B0C3222"/>
    <w:rsid w:val="0B154457"/>
    <w:rsid w:val="0B1D50BA"/>
    <w:rsid w:val="0B293A5F"/>
    <w:rsid w:val="0B30303F"/>
    <w:rsid w:val="0B3362C6"/>
    <w:rsid w:val="0B350656"/>
    <w:rsid w:val="0B41524D"/>
    <w:rsid w:val="0B422D73"/>
    <w:rsid w:val="0B44732B"/>
    <w:rsid w:val="0B470389"/>
    <w:rsid w:val="0B486A8C"/>
    <w:rsid w:val="0B4E1717"/>
    <w:rsid w:val="0B505490"/>
    <w:rsid w:val="0B512FB6"/>
    <w:rsid w:val="0B52745A"/>
    <w:rsid w:val="0B542740"/>
    <w:rsid w:val="0B550CF8"/>
    <w:rsid w:val="0B5B3F3C"/>
    <w:rsid w:val="0B5E5DFE"/>
    <w:rsid w:val="0B6E1DBA"/>
    <w:rsid w:val="0B733B8E"/>
    <w:rsid w:val="0B745622"/>
    <w:rsid w:val="0B7E6D73"/>
    <w:rsid w:val="0B81389B"/>
    <w:rsid w:val="0B8B63F2"/>
    <w:rsid w:val="0B9335CE"/>
    <w:rsid w:val="0B954C3D"/>
    <w:rsid w:val="0B9673C3"/>
    <w:rsid w:val="0BA37CB5"/>
    <w:rsid w:val="0BA61553"/>
    <w:rsid w:val="0BA963EA"/>
    <w:rsid w:val="0BB23749"/>
    <w:rsid w:val="0BB377CC"/>
    <w:rsid w:val="0BBE3CB1"/>
    <w:rsid w:val="0BBE689D"/>
    <w:rsid w:val="0BC713D3"/>
    <w:rsid w:val="0BC83278"/>
    <w:rsid w:val="0BCC3E0D"/>
    <w:rsid w:val="0BCF59F4"/>
    <w:rsid w:val="0BD47E6F"/>
    <w:rsid w:val="0BD64902"/>
    <w:rsid w:val="0BDA3897"/>
    <w:rsid w:val="0BDE2A1F"/>
    <w:rsid w:val="0BF26547"/>
    <w:rsid w:val="0BF7590B"/>
    <w:rsid w:val="0BF95B27"/>
    <w:rsid w:val="0C061FF2"/>
    <w:rsid w:val="0C0A7D34"/>
    <w:rsid w:val="0C0B7912"/>
    <w:rsid w:val="0C0D0767"/>
    <w:rsid w:val="0C0F70F9"/>
    <w:rsid w:val="0C19409D"/>
    <w:rsid w:val="0C1C7A68"/>
    <w:rsid w:val="0C230DF6"/>
    <w:rsid w:val="0C23726D"/>
    <w:rsid w:val="0C26093E"/>
    <w:rsid w:val="0C2A7A8F"/>
    <w:rsid w:val="0C30706F"/>
    <w:rsid w:val="0C3628D7"/>
    <w:rsid w:val="0C395F24"/>
    <w:rsid w:val="0C403756"/>
    <w:rsid w:val="0C412C5B"/>
    <w:rsid w:val="0C476893"/>
    <w:rsid w:val="0C542D5E"/>
    <w:rsid w:val="0C592378"/>
    <w:rsid w:val="0C5E1E2E"/>
    <w:rsid w:val="0C604464"/>
    <w:rsid w:val="0C6531BD"/>
    <w:rsid w:val="0C6C5F4D"/>
    <w:rsid w:val="0C73269E"/>
    <w:rsid w:val="0C796D86"/>
    <w:rsid w:val="0C7B653C"/>
    <w:rsid w:val="0C851169"/>
    <w:rsid w:val="0C873133"/>
    <w:rsid w:val="0C915D60"/>
    <w:rsid w:val="0C943AA2"/>
    <w:rsid w:val="0C9475FE"/>
    <w:rsid w:val="0C965124"/>
    <w:rsid w:val="0C9B098C"/>
    <w:rsid w:val="0C9F66CF"/>
    <w:rsid w:val="0CB33F28"/>
    <w:rsid w:val="0CB63A18"/>
    <w:rsid w:val="0CC25F19"/>
    <w:rsid w:val="0CC46135"/>
    <w:rsid w:val="0CC779D3"/>
    <w:rsid w:val="0CCF0636"/>
    <w:rsid w:val="0CD30126"/>
    <w:rsid w:val="0CD345CA"/>
    <w:rsid w:val="0CDD47C2"/>
    <w:rsid w:val="0CED208A"/>
    <w:rsid w:val="0CED322C"/>
    <w:rsid w:val="0CED42B7"/>
    <w:rsid w:val="0CF14A50"/>
    <w:rsid w:val="0CF91BBE"/>
    <w:rsid w:val="0CFA1B57"/>
    <w:rsid w:val="0CFF716D"/>
    <w:rsid w:val="0D013BBD"/>
    <w:rsid w:val="0D0429D6"/>
    <w:rsid w:val="0D057601"/>
    <w:rsid w:val="0D0C53E6"/>
    <w:rsid w:val="0D0E73B0"/>
    <w:rsid w:val="0D136775"/>
    <w:rsid w:val="0D147219"/>
    <w:rsid w:val="0D162709"/>
    <w:rsid w:val="0D166265"/>
    <w:rsid w:val="0D187AA3"/>
    <w:rsid w:val="0D1A5D55"/>
    <w:rsid w:val="0D244E26"/>
    <w:rsid w:val="0D29243C"/>
    <w:rsid w:val="0D2C7836"/>
    <w:rsid w:val="0D314E4D"/>
    <w:rsid w:val="0D335069"/>
    <w:rsid w:val="0D374B59"/>
    <w:rsid w:val="0D3F57BC"/>
    <w:rsid w:val="0D41259D"/>
    <w:rsid w:val="0D417786"/>
    <w:rsid w:val="0D49663A"/>
    <w:rsid w:val="0D5B1F6A"/>
    <w:rsid w:val="0D5C45C0"/>
    <w:rsid w:val="0D6214AA"/>
    <w:rsid w:val="0D643474"/>
    <w:rsid w:val="0D676AC1"/>
    <w:rsid w:val="0D7336B7"/>
    <w:rsid w:val="0D780CCE"/>
    <w:rsid w:val="0D782A7C"/>
    <w:rsid w:val="0D7D4536"/>
    <w:rsid w:val="0D821994"/>
    <w:rsid w:val="0D86163D"/>
    <w:rsid w:val="0D8E2FA1"/>
    <w:rsid w:val="0D921D8F"/>
    <w:rsid w:val="0D9F26FE"/>
    <w:rsid w:val="0DA9425F"/>
    <w:rsid w:val="0DB0769E"/>
    <w:rsid w:val="0DB34ADC"/>
    <w:rsid w:val="0DB5782C"/>
    <w:rsid w:val="0DC21F49"/>
    <w:rsid w:val="0DCA2A4D"/>
    <w:rsid w:val="0DCB52A1"/>
    <w:rsid w:val="0DD26630"/>
    <w:rsid w:val="0DD405FA"/>
    <w:rsid w:val="0DD95C10"/>
    <w:rsid w:val="0DDA3736"/>
    <w:rsid w:val="0DDC74AE"/>
    <w:rsid w:val="0DDF6F9F"/>
    <w:rsid w:val="0DE6032D"/>
    <w:rsid w:val="0DE819AF"/>
    <w:rsid w:val="0DE93979"/>
    <w:rsid w:val="0DEA3152"/>
    <w:rsid w:val="0DF041F6"/>
    <w:rsid w:val="0DF30354"/>
    <w:rsid w:val="0DFE11D3"/>
    <w:rsid w:val="0DFF319D"/>
    <w:rsid w:val="0E017A76"/>
    <w:rsid w:val="0E0362E7"/>
    <w:rsid w:val="0E0726B3"/>
    <w:rsid w:val="0E0D7668"/>
    <w:rsid w:val="0E0F33E0"/>
    <w:rsid w:val="0E215675"/>
    <w:rsid w:val="0E2B5D40"/>
    <w:rsid w:val="0E3B2427"/>
    <w:rsid w:val="0E415563"/>
    <w:rsid w:val="0E431A2D"/>
    <w:rsid w:val="0E456E02"/>
    <w:rsid w:val="0E4D5CB6"/>
    <w:rsid w:val="0E4F1A2E"/>
    <w:rsid w:val="0E7E40C2"/>
    <w:rsid w:val="0E8042DE"/>
    <w:rsid w:val="0E807E3A"/>
    <w:rsid w:val="0E813BB2"/>
    <w:rsid w:val="0E947D89"/>
    <w:rsid w:val="0E963B01"/>
    <w:rsid w:val="0E9B4C74"/>
    <w:rsid w:val="0E9B6FD9"/>
    <w:rsid w:val="0E9E6512"/>
    <w:rsid w:val="0EA10058"/>
    <w:rsid w:val="0EA53D44"/>
    <w:rsid w:val="0EA578A0"/>
    <w:rsid w:val="0EAA3109"/>
    <w:rsid w:val="0EAC50D3"/>
    <w:rsid w:val="0EAF071F"/>
    <w:rsid w:val="0EB14497"/>
    <w:rsid w:val="0EB21FBD"/>
    <w:rsid w:val="0EB36461"/>
    <w:rsid w:val="0EB6385C"/>
    <w:rsid w:val="0EBE277E"/>
    <w:rsid w:val="0EC35A2F"/>
    <w:rsid w:val="0ECD574A"/>
    <w:rsid w:val="0ED40186"/>
    <w:rsid w:val="0ED42D25"/>
    <w:rsid w:val="0EDB7766"/>
    <w:rsid w:val="0EDD528C"/>
    <w:rsid w:val="0EE02FCE"/>
    <w:rsid w:val="0EE24651"/>
    <w:rsid w:val="0EE505E5"/>
    <w:rsid w:val="0EE77EB9"/>
    <w:rsid w:val="0EEE7499"/>
    <w:rsid w:val="0EF6339A"/>
    <w:rsid w:val="0F022F45"/>
    <w:rsid w:val="0F031B93"/>
    <w:rsid w:val="0F0A004B"/>
    <w:rsid w:val="0F20161D"/>
    <w:rsid w:val="0F220EF1"/>
    <w:rsid w:val="0F2C6214"/>
    <w:rsid w:val="0F3257A0"/>
    <w:rsid w:val="0F396D0C"/>
    <w:rsid w:val="0F3A26DF"/>
    <w:rsid w:val="0F3A448D"/>
    <w:rsid w:val="0F3F363C"/>
    <w:rsid w:val="0F44530B"/>
    <w:rsid w:val="0F481A0C"/>
    <w:rsid w:val="0F5337A0"/>
    <w:rsid w:val="0F5A28E4"/>
    <w:rsid w:val="0F615EBD"/>
    <w:rsid w:val="0F64150A"/>
    <w:rsid w:val="0F657030"/>
    <w:rsid w:val="0F672DA8"/>
    <w:rsid w:val="0F67724C"/>
    <w:rsid w:val="0F68598D"/>
    <w:rsid w:val="0F6C3505"/>
    <w:rsid w:val="0F6C4862"/>
    <w:rsid w:val="0F6F22E3"/>
    <w:rsid w:val="0F7234C7"/>
    <w:rsid w:val="0F7301AD"/>
    <w:rsid w:val="0F76123D"/>
    <w:rsid w:val="0F7660E1"/>
    <w:rsid w:val="0F786D63"/>
    <w:rsid w:val="0F7E1320"/>
    <w:rsid w:val="0F930041"/>
    <w:rsid w:val="0F931DEF"/>
    <w:rsid w:val="0F96368D"/>
    <w:rsid w:val="0F98134C"/>
    <w:rsid w:val="0FA60A8C"/>
    <w:rsid w:val="0FA8716B"/>
    <w:rsid w:val="0FB32491"/>
    <w:rsid w:val="0FB47E00"/>
    <w:rsid w:val="0FB56209"/>
    <w:rsid w:val="0FBC7598"/>
    <w:rsid w:val="0FBF0E36"/>
    <w:rsid w:val="0FCB3337"/>
    <w:rsid w:val="0FCD3553"/>
    <w:rsid w:val="0FCE5F07"/>
    <w:rsid w:val="0FD04DF1"/>
    <w:rsid w:val="0FD146C5"/>
    <w:rsid w:val="0FD53874"/>
    <w:rsid w:val="0FD80633"/>
    <w:rsid w:val="0FD91EF8"/>
    <w:rsid w:val="0FDA5C49"/>
    <w:rsid w:val="0FDF5034"/>
    <w:rsid w:val="0FE07928"/>
    <w:rsid w:val="0FF023A7"/>
    <w:rsid w:val="0FF02D9D"/>
    <w:rsid w:val="0FF07241"/>
    <w:rsid w:val="0FFF7484"/>
    <w:rsid w:val="0FFF7FE2"/>
    <w:rsid w:val="10060813"/>
    <w:rsid w:val="100D394F"/>
    <w:rsid w:val="10150A56"/>
    <w:rsid w:val="101C3B92"/>
    <w:rsid w:val="101D0A65"/>
    <w:rsid w:val="102173FB"/>
    <w:rsid w:val="102313C5"/>
    <w:rsid w:val="10260EB5"/>
    <w:rsid w:val="102A0350"/>
    <w:rsid w:val="102E5902"/>
    <w:rsid w:val="1030763E"/>
    <w:rsid w:val="10333682"/>
    <w:rsid w:val="10376C1E"/>
    <w:rsid w:val="10401F77"/>
    <w:rsid w:val="104135F9"/>
    <w:rsid w:val="104456F6"/>
    <w:rsid w:val="10480E2B"/>
    <w:rsid w:val="104B4477"/>
    <w:rsid w:val="10556C90"/>
    <w:rsid w:val="105816ED"/>
    <w:rsid w:val="10596B94"/>
    <w:rsid w:val="105F7F23"/>
    <w:rsid w:val="10637A13"/>
    <w:rsid w:val="106D0892"/>
    <w:rsid w:val="106F0C81"/>
    <w:rsid w:val="10705412"/>
    <w:rsid w:val="107514F4"/>
    <w:rsid w:val="107E2A9F"/>
    <w:rsid w:val="108856CC"/>
    <w:rsid w:val="1090632E"/>
    <w:rsid w:val="109202F8"/>
    <w:rsid w:val="109E4E4B"/>
    <w:rsid w:val="10A34904"/>
    <w:rsid w:val="10A456A7"/>
    <w:rsid w:val="10AB1F4F"/>
    <w:rsid w:val="10AD6EE0"/>
    <w:rsid w:val="10AD7440"/>
    <w:rsid w:val="10B13159"/>
    <w:rsid w:val="10B464C1"/>
    <w:rsid w:val="10B820FF"/>
    <w:rsid w:val="10C304B2"/>
    <w:rsid w:val="10CA5CE4"/>
    <w:rsid w:val="10D500D4"/>
    <w:rsid w:val="10DE353E"/>
    <w:rsid w:val="10E41F84"/>
    <w:rsid w:val="10E753D1"/>
    <w:rsid w:val="10EC5073"/>
    <w:rsid w:val="10ED552F"/>
    <w:rsid w:val="10FD1C16"/>
    <w:rsid w:val="10FE2A9B"/>
    <w:rsid w:val="10FF6608"/>
    <w:rsid w:val="110747EA"/>
    <w:rsid w:val="1111746F"/>
    <w:rsid w:val="111807FE"/>
    <w:rsid w:val="11196324"/>
    <w:rsid w:val="111E4A8C"/>
    <w:rsid w:val="111F7DDE"/>
    <w:rsid w:val="112E0021"/>
    <w:rsid w:val="11355E05"/>
    <w:rsid w:val="113969C6"/>
    <w:rsid w:val="113E3FDC"/>
    <w:rsid w:val="113F222E"/>
    <w:rsid w:val="11535CDA"/>
    <w:rsid w:val="115D0906"/>
    <w:rsid w:val="11627CCB"/>
    <w:rsid w:val="11667325"/>
    <w:rsid w:val="116C28F7"/>
    <w:rsid w:val="116E041E"/>
    <w:rsid w:val="11731ED8"/>
    <w:rsid w:val="118045F5"/>
    <w:rsid w:val="11827731"/>
    <w:rsid w:val="118E6D12"/>
    <w:rsid w:val="119841B1"/>
    <w:rsid w:val="11A40260"/>
    <w:rsid w:val="11AC63B3"/>
    <w:rsid w:val="11B038B5"/>
    <w:rsid w:val="11B04EDA"/>
    <w:rsid w:val="11B06C88"/>
    <w:rsid w:val="11B81FE1"/>
    <w:rsid w:val="11BA18B5"/>
    <w:rsid w:val="11C444E1"/>
    <w:rsid w:val="11D0182F"/>
    <w:rsid w:val="11D0732A"/>
    <w:rsid w:val="11D87F8D"/>
    <w:rsid w:val="11DC7A7D"/>
    <w:rsid w:val="11E15093"/>
    <w:rsid w:val="11E85CAC"/>
    <w:rsid w:val="11F32CD3"/>
    <w:rsid w:val="11F33019"/>
    <w:rsid w:val="11F76665"/>
    <w:rsid w:val="11FD5C45"/>
    <w:rsid w:val="12011292"/>
    <w:rsid w:val="1202325C"/>
    <w:rsid w:val="12064F12"/>
    <w:rsid w:val="12071515"/>
    <w:rsid w:val="12073B15"/>
    <w:rsid w:val="12094BBC"/>
    <w:rsid w:val="120B0362"/>
    <w:rsid w:val="120B2110"/>
    <w:rsid w:val="120E1C01"/>
    <w:rsid w:val="120F21F5"/>
    <w:rsid w:val="121219F6"/>
    <w:rsid w:val="1212349F"/>
    <w:rsid w:val="121A05A5"/>
    <w:rsid w:val="121B7B26"/>
    <w:rsid w:val="121E62E8"/>
    <w:rsid w:val="121F5BBC"/>
    <w:rsid w:val="12217B86"/>
    <w:rsid w:val="122356AC"/>
    <w:rsid w:val="12280F14"/>
    <w:rsid w:val="122B3799"/>
    <w:rsid w:val="122C1851"/>
    <w:rsid w:val="12301B77"/>
    <w:rsid w:val="12407964"/>
    <w:rsid w:val="124675EC"/>
    <w:rsid w:val="12483BB9"/>
    <w:rsid w:val="12486EC1"/>
    <w:rsid w:val="124A70DD"/>
    <w:rsid w:val="124D44D7"/>
    <w:rsid w:val="124D6CD3"/>
    <w:rsid w:val="124F030C"/>
    <w:rsid w:val="12502219"/>
    <w:rsid w:val="125051D5"/>
    <w:rsid w:val="1256394F"/>
    <w:rsid w:val="125B36A2"/>
    <w:rsid w:val="12606087"/>
    <w:rsid w:val="126C5517"/>
    <w:rsid w:val="12747CB6"/>
    <w:rsid w:val="12751B21"/>
    <w:rsid w:val="127557DC"/>
    <w:rsid w:val="1279351E"/>
    <w:rsid w:val="127952CC"/>
    <w:rsid w:val="127C4DBC"/>
    <w:rsid w:val="127F665A"/>
    <w:rsid w:val="12A32349"/>
    <w:rsid w:val="12A367ED"/>
    <w:rsid w:val="12A460C1"/>
    <w:rsid w:val="12A8795F"/>
    <w:rsid w:val="12BA7692"/>
    <w:rsid w:val="12C66037"/>
    <w:rsid w:val="12C86253"/>
    <w:rsid w:val="12CA3D79"/>
    <w:rsid w:val="12D149BF"/>
    <w:rsid w:val="12D22C2E"/>
    <w:rsid w:val="12D4739C"/>
    <w:rsid w:val="12DD1CFF"/>
    <w:rsid w:val="12DF1935"/>
    <w:rsid w:val="12F31522"/>
    <w:rsid w:val="12F47048"/>
    <w:rsid w:val="1305241F"/>
    <w:rsid w:val="13070611"/>
    <w:rsid w:val="13077910"/>
    <w:rsid w:val="13087168"/>
    <w:rsid w:val="130C358B"/>
    <w:rsid w:val="130F3E82"/>
    <w:rsid w:val="13165211"/>
    <w:rsid w:val="131B2827"/>
    <w:rsid w:val="13223BB5"/>
    <w:rsid w:val="13225964"/>
    <w:rsid w:val="132E667C"/>
    <w:rsid w:val="13312F26"/>
    <w:rsid w:val="133219FE"/>
    <w:rsid w:val="13391AF9"/>
    <w:rsid w:val="133D4586"/>
    <w:rsid w:val="134358DA"/>
    <w:rsid w:val="134F24D1"/>
    <w:rsid w:val="13550837"/>
    <w:rsid w:val="13581385"/>
    <w:rsid w:val="135C112A"/>
    <w:rsid w:val="135C3E9A"/>
    <w:rsid w:val="13620456"/>
    <w:rsid w:val="13637D2A"/>
    <w:rsid w:val="136B34D0"/>
    <w:rsid w:val="136B5A6C"/>
    <w:rsid w:val="13767A5D"/>
    <w:rsid w:val="137E6912"/>
    <w:rsid w:val="13851BA5"/>
    <w:rsid w:val="13854144"/>
    <w:rsid w:val="13877EBC"/>
    <w:rsid w:val="138C7F7B"/>
    <w:rsid w:val="138F0B1F"/>
    <w:rsid w:val="139525D9"/>
    <w:rsid w:val="139534E8"/>
    <w:rsid w:val="139D1805"/>
    <w:rsid w:val="13A4281C"/>
    <w:rsid w:val="13A53180"/>
    <w:rsid w:val="13AF2F6F"/>
    <w:rsid w:val="13AF4D1D"/>
    <w:rsid w:val="13B51FA4"/>
    <w:rsid w:val="13BF7656"/>
    <w:rsid w:val="13CE7899"/>
    <w:rsid w:val="13E175CD"/>
    <w:rsid w:val="13EE5846"/>
    <w:rsid w:val="13F15269"/>
    <w:rsid w:val="13F310AE"/>
    <w:rsid w:val="13F90C6C"/>
    <w:rsid w:val="14043122"/>
    <w:rsid w:val="14043627"/>
    <w:rsid w:val="14123C2A"/>
    <w:rsid w:val="14255AC1"/>
    <w:rsid w:val="1437543F"/>
    <w:rsid w:val="14383989"/>
    <w:rsid w:val="144A2F4F"/>
    <w:rsid w:val="14504752"/>
    <w:rsid w:val="14537D9F"/>
    <w:rsid w:val="145737AD"/>
    <w:rsid w:val="145A470C"/>
    <w:rsid w:val="145C70E9"/>
    <w:rsid w:val="14630F79"/>
    <w:rsid w:val="146879A0"/>
    <w:rsid w:val="14693716"/>
    <w:rsid w:val="147A532B"/>
    <w:rsid w:val="14833BE1"/>
    <w:rsid w:val="148461AA"/>
    <w:rsid w:val="14956609"/>
    <w:rsid w:val="14A037FB"/>
    <w:rsid w:val="14A16D5C"/>
    <w:rsid w:val="14A405FA"/>
    <w:rsid w:val="14A612C9"/>
    <w:rsid w:val="14A8037D"/>
    <w:rsid w:val="14AB37A8"/>
    <w:rsid w:val="14B57350"/>
    <w:rsid w:val="14B670F9"/>
    <w:rsid w:val="14C33176"/>
    <w:rsid w:val="14C359E0"/>
    <w:rsid w:val="14C842E9"/>
    <w:rsid w:val="14CA0061"/>
    <w:rsid w:val="14CB4340"/>
    <w:rsid w:val="14D62EA9"/>
    <w:rsid w:val="14DC2723"/>
    <w:rsid w:val="14E1184E"/>
    <w:rsid w:val="14E22985"/>
    <w:rsid w:val="14E60C13"/>
    <w:rsid w:val="14E87A0F"/>
    <w:rsid w:val="14EA3590"/>
    <w:rsid w:val="14EA425F"/>
    <w:rsid w:val="14EB6229"/>
    <w:rsid w:val="14ED01F3"/>
    <w:rsid w:val="14EE6F80"/>
    <w:rsid w:val="15001CD4"/>
    <w:rsid w:val="15023C9F"/>
    <w:rsid w:val="15035321"/>
    <w:rsid w:val="151439D2"/>
    <w:rsid w:val="151632A6"/>
    <w:rsid w:val="15231615"/>
    <w:rsid w:val="15233C15"/>
    <w:rsid w:val="15244FBD"/>
    <w:rsid w:val="152A6D51"/>
    <w:rsid w:val="15307872"/>
    <w:rsid w:val="153100E0"/>
    <w:rsid w:val="15311924"/>
    <w:rsid w:val="15347BD0"/>
    <w:rsid w:val="15363948"/>
    <w:rsid w:val="153B4DDE"/>
    <w:rsid w:val="153D72A5"/>
    <w:rsid w:val="154F0566"/>
    <w:rsid w:val="154F4A0A"/>
    <w:rsid w:val="155E69FB"/>
    <w:rsid w:val="156A1E3B"/>
    <w:rsid w:val="156C1118"/>
    <w:rsid w:val="156F0C08"/>
    <w:rsid w:val="15765A27"/>
    <w:rsid w:val="158C17BA"/>
    <w:rsid w:val="15A50031"/>
    <w:rsid w:val="15AC59B8"/>
    <w:rsid w:val="15B34F99"/>
    <w:rsid w:val="15B8435D"/>
    <w:rsid w:val="15C26F8A"/>
    <w:rsid w:val="15CB7091"/>
    <w:rsid w:val="15CE0FE3"/>
    <w:rsid w:val="15CE5D77"/>
    <w:rsid w:val="15DF5D8E"/>
    <w:rsid w:val="15E46F00"/>
    <w:rsid w:val="15F5735F"/>
    <w:rsid w:val="15F630D7"/>
    <w:rsid w:val="15FC6940"/>
    <w:rsid w:val="16041350"/>
    <w:rsid w:val="16113106"/>
    <w:rsid w:val="161672D6"/>
    <w:rsid w:val="16175528"/>
    <w:rsid w:val="161A0B74"/>
    <w:rsid w:val="161A1FD2"/>
    <w:rsid w:val="161A6DC6"/>
    <w:rsid w:val="161D2412"/>
    <w:rsid w:val="161F43DC"/>
    <w:rsid w:val="16243337"/>
    <w:rsid w:val="162C08A7"/>
    <w:rsid w:val="16314110"/>
    <w:rsid w:val="16351E52"/>
    <w:rsid w:val="16493207"/>
    <w:rsid w:val="16515CEC"/>
    <w:rsid w:val="165C118C"/>
    <w:rsid w:val="165D042B"/>
    <w:rsid w:val="1662251B"/>
    <w:rsid w:val="1663076D"/>
    <w:rsid w:val="166718DF"/>
    <w:rsid w:val="166C6C78"/>
    <w:rsid w:val="16877047"/>
    <w:rsid w:val="168801D3"/>
    <w:rsid w:val="16893F4C"/>
    <w:rsid w:val="16922E00"/>
    <w:rsid w:val="169721C5"/>
    <w:rsid w:val="169E17A5"/>
    <w:rsid w:val="16A36DBB"/>
    <w:rsid w:val="16AF39B2"/>
    <w:rsid w:val="16BC1C2B"/>
    <w:rsid w:val="16C62AAA"/>
    <w:rsid w:val="16C94348"/>
    <w:rsid w:val="16CB6312"/>
    <w:rsid w:val="16D32078"/>
    <w:rsid w:val="16DC407B"/>
    <w:rsid w:val="16DF1C9E"/>
    <w:rsid w:val="16E3365C"/>
    <w:rsid w:val="16E82A20"/>
    <w:rsid w:val="16E8315C"/>
    <w:rsid w:val="16EB42BE"/>
    <w:rsid w:val="16ED6288"/>
    <w:rsid w:val="16F13FCB"/>
    <w:rsid w:val="16F72C63"/>
    <w:rsid w:val="16F75A4D"/>
    <w:rsid w:val="16FA2753"/>
    <w:rsid w:val="17055C28"/>
    <w:rsid w:val="17082757"/>
    <w:rsid w:val="170F00E8"/>
    <w:rsid w:val="171C4DC0"/>
    <w:rsid w:val="172C5003"/>
    <w:rsid w:val="172F4AF3"/>
    <w:rsid w:val="17375756"/>
    <w:rsid w:val="17465999"/>
    <w:rsid w:val="174F484D"/>
    <w:rsid w:val="1752433D"/>
    <w:rsid w:val="175400B6"/>
    <w:rsid w:val="175F0406"/>
    <w:rsid w:val="176134E0"/>
    <w:rsid w:val="17626C76"/>
    <w:rsid w:val="1767664C"/>
    <w:rsid w:val="176D533D"/>
    <w:rsid w:val="178D5376"/>
    <w:rsid w:val="17982698"/>
    <w:rsid w:val="179B5CE4"/>
    <w:rsid w:val="179E3A27"/>
    <w:rsid w:val="17A0154D"/>
    <w:rsid w:val="17A0779F"/>
    <w:rsid w:val="17A26D42"/>
    <w:rsid w:val="17A8489C"/>
    <w:rsid w:val="17B374D2"/>
    <w:rsid w:val="17B80644"/>
    <w:rsid w:val="17B84AE8"/>
    <w:rsid w:val="17C52D61"/>
    <w:rsid w:val="17C71DFD"/>
    <w:rsid w:val="17CA0378"/>
    <w:rsid w:val="17D055CA"/>
    <w:rsid w:val="17D70B3D"/>
    <w:rsid w:val="17DD667E"/>
    <w:rsid w:val="17E21B65"/>
    <w:rsid w:val="17E72CD8"/>
    <w:rsid w:val="17EE050A"/>
    <w:rsid w:val="17F17FFA"/>
    <w:rsid w:val="17F453F5"/>
    <w:rsid w:val="17F54DA1"/>
    <w:rsid w:val="17FB2C27"/>
    <w:rsid w:val="17FF6273"/>
    <w:rsid w:val="180C6BE2"/>
    <w:rsid w:val="180E06B3"/>
    <w:rsid w:val="180E4708"/>
    <w:rsid w:val="18167A61"/>
    <w:rsid w:val="18204407"/>
    <w:rsid w:val="182201B4"/>
    <w:rsid w:val="18273A1C"/>
    <w:rsid w:val="183D2D88"/>
    <w:rsid w:val="183F2B14"/>
    <w:rsid w:val="1844012A"/>
    <w:rsid w:val="184C6FDF"/>
    <w:rsid w:val="184F12B2"/>
    <w:rsid w:val="18506ACF"/>
    <w:rsid w:val="18534811"/>
    <w:rsid w:val="185365BF"/>
    <w:rsid w:val="185A21FA"/>
    <w:rsid w:val="1865506A"/>
    <w:rsid w:val="18694035"/>
    <w:rsid w:val="1869638B"/>
    <w:rsid w:val="18714C97"/>
    <w:rsid w:val="18746BDC"/>
    <w:rsid w:val="18755A63"/>
    <w:rsid w:val="187D188E"/>
    <w:rsid w:val="187D363C"/>
    <w:rsid w:val="187F19EB"/>
    <w:rsid w:val="18802BE9"/>
    <w:rsid w:val="1881312C"/>
    <w:rsid w:val="18822A00"/>
    <w:rsid w:val="1888270D"/>
    <w:rsid w:val="18A032C9"/>
    <w:rsid w:val="18A62B93"/>
    <w:rsid w:val="18A8690B"/>
    <w:rsid w:val="18A96818"/>
    <w:rsid w:val="18A97340"/>
    <w:rsid w:val="18B036C8"/>
    <w:rsid w:val="18B74DA0"/>
    <w:rsid w:val="18BA4DAD"/>
    <w:rsid w:val="18C419C1"/>
    <w:rsid w:val="18C748B7"/>
    <w:rsid w:val="18C95241"/>
    <w:rsid w:val="18D03F06"/>
    <w:rsid w:val="18D53478"/>
    <w:rsid w:val="18DA07E2"/>
    <w:rsid w:val="18DC4807"/>
    <w:rsid w:val="18E75CE0"/>
    <w:rsid w:val="18ED2570"/>
    <w:rsid w:val="19037FE5"/>
    <w:rsid w:val="190653E0"/>
    <w:rsid w:val="19067AD5"/>
    <w:rsid w:val="190D49C0"/>
    <w:rsid w:val="190F5F83"/>
    <w:rsid w:val="191007D2"/>
    <w:rsid w:val="191D23C9"/>
    <w:rsid w:val="191E42B4"/>
    <w:rsid w:val="192341E3"/>
    <w:rsid w:val="192374A9"/>
    <w:rsid w:val="19246DE4"/>
    <w:rsid w:val="19265A82"/>
    <w:rsid w:val="192A37C4"/>
    <w:rsid w:val="192D6E10"/>
    <w:rsid w:val="19314B52"/>
    <w:rsid w:val="19380DBB"/>
    <w:rsid w:val="193A32DB"/>
    <w:rsid w:val="193E101D"/>
    <w:rsid w:val="19497D53"/>
    <w:rsid w:val="194F4FD8"/>
    <w:rsid w:val="19510D51"/>
    <w:rsid w:val="195645B9"/>
    <w:rsid w:val="19573E8D"/>
    <w:rsid w:val="196935B8"/>
    <w:rsid w:val="19702964"/>
    <w:rsid w:val="19706CFD"/>
    <w:rsid w:val="19726F19"/>
    <w:rsid w:val="197411B5"/>
    <w:rsid w:val="19742C91"/>
    <w:rsid w:val="197A1C24"/>
    <w:rsid w:val="197E141A"/>
    <w:rsid w:val="197E766C"/>
    <w:rsid w:val="19816413"/>
    <w:rsid w:val="19862718"/>
    <w:rsid w:val="19866520"/>
    <w:rsid w:val="19882298"/>
    <w:rsid w:val="19962C07"/>
    <w:rsid w:val="199D21E8"/>
    <w:rsid w:val="19B60BB4"/>
    <w:rsid w:val="19B7322B"/>
    <w:rsid w:val="19BD63E6"/>
    <w:rsid w:val="19BE3F0C"/>
    <w:rsid w:val="19BF7474"/>
    <w:rsid w:val="19C73FB9"/>
    <w:rsid w:val="19CF1C75"/>
    <w:rsid w:val="19D13C3F"/>
    <w:rsid w:val="19D352B7"/>
    <w:rsid w:val="19D83220"/>
    <w:rsid w:val="19E046EF"/>
    <w:rsid w:val="19E16A10"/>
    <w:rsid w:val="19EC0A79"/>
    <w:rsid w:val="19FF1F98"/>
    <w:rsid w:val="1A045DC3"/>
    <w:rsid w:val="1A057D8D"/>
    <w:rsid w:val="1A0916EC"/>
    <w:rsid w:val="1A0933D9"/>
    <w:rsid w:val="1A101DA4"/>
    <w:rsid w:val="1A144ACE"/>
    <w:rsid w:val="1A2E0437"/>
    <w:rsid w:val="1A2F0966"/>
    <w:rsid w:val="1A306BC4"/>
    <w:rsid w:val="1A475CB0"/>
    <w:rsid w:val="1A501008"/>
    <w:rsid w:val="1A58610F"/>
    <w:rsid w:val="1A5A1E87"/>
    <w:rsid w:val="1A5D3725"/>
    <w:rsid w:val="1A612876"/>
    <w:rsid w:val="1A6B4094"/>
    <w:rsid w:val="1A6B5DA4"/>
    <w:rsid w:val="1A7840BB"/>
    <w:rsid w:val="1A7B1DFD"/>
    <w:rsid w:val="1A7D3DC7"/>
    <w:rsid w:val="1A914C62"/>
    <w:rsid w:val="1A99197B"/>
    <w:rsid w:val="1A9C249F"/>
    <w:rsid w:val="1A9D7FC6"/>
    <w:rsid w:val="1A9F2885"/>
    <w:rsid w:val="1AAA16DF"/>
    <w:rsid w:val="1ABF28B5"/>
    <w:rsid w:val="1AC45552"/>
    <w:rsid w:val="1AD27C6F"/>
    <w:rsid w:val="1AD3240A"/>
    <w:rsid w:val="1AD43190"/>
    <w:rsid w:val="1ADC1167"/>
    <w:rsid w:val="1ADE4866"/>
    <w:rsid w:val="1ADF05DE"/>
    <w:rsid w:val="1ADF413A"/>
    <w:rsid w:val="1AEB304F"/>
    <w:rsid w:val="1AF20311"/>
    <w:rsid w:val="1AF51BB0"/>
    <w:rsid w:val="1AF57E02"/>
    <w:rsid w:val="1AFA71C6"/>
    <w:rsid w:val="1AFC4CEC"/>
    <w:rsid w:val="1AFF658A"/>
    <w:rsid w:val="1B03607B"/>
    <w:rsid w:val="1B040045"/>
    <w:rsid w:val="1B07224D"/>
    <w:rsid w:val="1B09565B"/>
    <w:rsid w:val="1B0E7568"/>
    <w:rsid w:val="1B1C7DDF"/>
    <w:rsid w:val="1B216501"/>
    <w:rsid w:val="1B23779E"/>
    <w:rsid w:val="1B282E74"/>
    <w:rsid w:val="1B2D1349"/>
    <w:rsid w:val="1B375D24"/>
    <w:rsid w:val="1B3C77DE"/>
    <w:rsid w:val="1B3E5305"/>
    <w:rsid w:val="1B3F2C9E"/>
    <w:rsid w:val="1B416BA3"/>
    <w:rsid w:val="1B4548E5"/>
    <w:rsid w:val="1B481CDF"/>
    <w:rsid w:val="1B485E74"/>
    <w:rsid w:val="1B4F7512"/>
    <w:rsid w:val="1B506DE6"/>
    <w:rsid w:val="1B5C1C2F"/>
    <w:rsid w:val="1B610A9F"/>
    <w:rsid w:val="1B642891"/>
    <w:rsid w:val="1B7A20B5"/>
    <w:rsid w:val="1B7D185C"/>
    <w:rsid w:val="1B7D5A3D"/>
    <w:rsid w:val="1B7E3953"/>
    <w:rsid w:val="1B811695"/>
    <w:rsid w:val="1B8F3D84"/>
    <w:rsid w:val="1B8F5B60"/>
    <w:rsid w:val="1B903686"/>
    <w:rsid w:val="1B9969DF"/>
    <w:rsid w:val="1B9E5DA3"/>
    <w:rsid w:val="1B9F3FFD"/>
    <w:rsid w:val="1BAA299A"/>
    <w:rsid w:val="1BB05AD7"/>
    <w:rsid w:val="1BB21DC7"/>
    <w:rsid w:val="1BBE4697"/>
    <w:rsid w:val="1BC752FA"/>
    <w:rsid w:val="1BCB2A77"/>
    <w:rsid w:val="1BCE5B01"/>
    <w:rsid w:val="1BD73063"/>
    <w:rsid w:val="1BD90378"/>
    <w:rsid w:val="1BF14125"/>
    <w:rsid w:val="1BF400B9"/>
    <w:rsid w:val="1BF63E31"/>
    <w:rsid w:val="1BF754B3"/>
    <w:rsid w:val="1BFB4FA4"/>
    <w:rsid w:val="1BFB7D2E"/>
    <w:rsid w:val="1C02528A"/>
    <w:rsid w:val="1C054074"/>
    <w:rsid w:val="1C093B64"/>
    <w:rsid w:val="1C112A19"/>
    <w:rsid w:val="1C1147C7"/>
    <w:rsid w:val="1C1F5136"/>
    <w:rsid w:val="1C252021"/>
    <w:rsid w:val="1C295FB5"/>
    <w:rsid w:val="1C2C01A7"/>
    <w:rsid w:val="1C362480"/>
    <w:rsid w:val="1C391A8B"/>
    <w:rsid w:val="1C3D55BC"/>
    <w:rsid w:val="1C3E30E2"/>
    <w:rsid w:val="1C3E56B7"/>
    <w:rsid w:val="1C4F6042"/>
    <w:rsid w:val="1C511068"/>
    <w:rsid w:val="1C511A32"/>
    <w:rsid w:val="1C512E16"/>
    <w:rsid w:val="1C534DE0"/>
    <w:rsid w:val="1C542906"/>
    <w:rsid w:val="1C550B58"/>
    <w:rsid w:val="1C626DD1"/>
    <w:rsid w:val="1C6963B1"/>
    <w:rsid w:val="1C724EA7"/>
    <w:rsid w:val="1C7A236C"/>
    <w:rsid w:val="1C7B7E93"/>
    <w:rsid w:val="1C7F4826"/>
    <w:rsid w:val="1C874A89"/>
    <w:rsid w:val="1C9244C5"/>
    <w:rsid w:val="1C9368BB"/>
    <w:rsid w:val="1C961170"/>
    <w:rsid w:val="1C980A44"/>
    <w:rsid w:val="1C9D24FF"/>
    <w:rsid w:val="1CAB4C1C"/>
    <w:rsid w:val="1CBE5F51"/>
    <w:rsid w:val="1CCC4B92"/>
    <w:rsid w:val="1CCC71D7"/>
    <w:rsid w:val="1CCE26B8"/>
    <w:rsid w:val="1CD30247"/>
    <w:rsid w:val="1CD81789"/>
    <w:rsid w:val="1CD90F6C"/>
    <w:rsid w:val="1CDC4DD5"/>
    <w:rsid w:val="1CDE7B02"/>
    <w:rsid w:val="1CDF0421"/>
    <w:rsid w:val="1CE123EB"/>
    <w:rsid w:val="1CE67A02"/>
    <w:rsid w:val="1CEA0DC8"/>
    <w:rsid w:val="1CED2B82"/>
    <w:rsid w:val="1CF77E61"/>
    <w:rsid w:val="1CFD4D4B"/>
    <w:rsid w:val="1D022362"/>
    <w:rsid w:val="1D0633DC"/>
    <w:rsid w:val="1D0A6BBF"/>
    <w:rsid w:val="1D100F23"/>
    <w:rsid w:val="1D1207F7"/>
    <w:rsid w:val="1D1D719C"/>
    <w:rsid w:val="1D1F1166"/>
    <w:rsid w:val="1D1F70DF"/>
    <w:rsid w:val="1D2A0BDE"/>
    <w:rsid w:val="1D2E13A9"/>
    <w:rsid w:val="1D3C3AC6"/>
    <w:rsid w:val="1D446FF0"/>
    <w:rsid w:val="1D4604A0"/>
    <w:rsid w:val="1D594678"/>
    <w:rsid w:val="1D5C1A72"/>
    <w:rsid w:val="1D61177E"/>
    <w:rsid w:val="1D6848BB"/>
    <w:rsid w:val="1D6E79F7"/>
    <w:rsid w:val="1D7414B2"/>
    <w:rsid w:val="1D7C2114"/>
    <w:rsid w:val="1D7E7C3A"/>
    <w:rsid w:val="1D8E3BF5"/>
    <w:rsid w:val="1D916562"/>
    <w:rsid w:val="1DB25D3B"/>
    <w:rsid w:val="1DB4365C"/>
    <w:rsid w:val="1DB55626"/>
    <w:rsid w:val="1DBD7B04"/>
    <w:rsid w:val="1DBE0D70"/>
    <w:rsid w:val="1DC85359"/>
    <w:rsid w:val="1DCB6BF8"/>
    <w:rsid w:val="1DCD471E"/>
    <w:rsid w:val="1DD12460"/>
    <w:rsid w:val="1DD265F7"/>
    <w:rsid w:val="1DE15900"/>
    <w:rsid w:val="1DE93CFC"/>
    <w:rsid w:val="1DEA3522"/>
    <w:rsid w:val="1DEB6876"/>
    <w:rsid w:val="1DF4614E"/>
    <w:rsid w:val="1DFB128B"/>
    <w:rsid w:val="1E026ABD"/>
    <w:rsid w:val="1E0A3BC4"/>
    <w:rsid w:val="1E0B5246"/>
    <w:rsid w:val="1E0D0FBE"/>
    <w:rsid w:val="1E14234D"/>
    <w:rsid w:val="1E1E766F"/>
    <w:rsid w:val="1E1F3254"/>
    <w:rsid w:val="1E234C86"/>
    <w:rsid w:val="1E262080"/>
    <w:rsid w:val="1E2644A4"/>
    <w:rsid w:val="1E281BBC"/>
    <w:rsid w:val="1E2C7696"/>
    <w:rsid w:val="1E2D01CB"/>
    <w:rsid w:val="1E312EFF"/>
    <w:rsid w:val="1E363573"/>
    <w:rsid w:val="1E37603B"/>
    <w:rsid w:val="1E390005"/>
    <w:rsid w:val="1E4075E6"/>
    <w:rsid w:val="1E425260"/>
    <w:rsid w:val="1E432DEF"/>
    <w:rsid w:val="1E446493"/>
    <w:rsid w:val="1E4873CD"/>
    <w:rsid w:val="1E4A46AF"/>
    <w:rsid w:val="1E517543"/>
    <w:rsid w:val="1E62755C"/>
    <w:rsid w:val="1E6A347E"/>
    <w:rsid w:val="1E6E6F8F"/>
    <w:rsid w:val="1E766C86"/>
    <w:rsid w:val="1E803E86"/>
    <w:rsid w:val="1E85324A"/>
    <w:rsid w:val="1E890F8D"/>
    <w:rsid w:val="1E9B2A6E"/>
    <w:rsid w:val="1EA23DFC"/>
    <w:rsid w:val="1EA948A8"/>
    <w:rsid w:val="1EAA571D"/>
    <w:rsid w:val="1EB458DE"/>
    <w:rsid w:val="1EB4768C"/>
    <w:rsid w:val="1EB80378"/>
    <w:rsid w:val="1EBB0A1A"/>
    <w:rsid w:val="1EBF49AE"/>
    <w:rsid w:val="1EC75611"/>
    <w:rsid w:val="1EDA49C1"/>
    <w:rsid w:val="1EDF0BAD"/>
    <w:rsid w:val="1EE93A77"/>
    <w:rsid w:val="1EEA318A"/>
    <w:rsid w:val="1EF331A2"/>
    <w:rsid w:val="1EF503D0"/>
    <w:rsid w:val="1F0423C1"/>
    <w:rsid w:val="1F093E7B"/>
    <w:rsid w:val="1F0B19A2"/>
    <w:rsid w:val="1F0E1492"/>
    <w:rsid w:val="1F136AA8"/>
    <w:rsid w:val="1F1545CE"/>
    <w:rsid w:val="1F155F51"/>
    <w:rsid w:val="1F1C3BAF"/>
    <w:rsid w:val="1F205133"/>
    <w:rsid w:val="1F2962CC"/>
    <w:rsid w:val="1F2C05AA"/>
    <w:rsid w:val="1F2E5690"/>
    <w:rsid w:val="1F36431D"/>
    <w:rsid w:val="1F372797"/>
    <w:rsid w:val="1F42113B"/>
    <w:rsid w:val="1F43738D"/>
    <w:rsid w:val="1F460C2C"/>
    <w:rsid w:val="1F4849A4"/>
    <w:rsid w:val="1F485FC9"/>
    <w:rsid w:val="1F4E5D32"/>
    <w:rsid w:val="1F511D85"/>
    <w:rsid w:val="1F550E6F"/>
    <w:rsid w:val="1F5E41C7"/>
    <w:rsid w:val="1F6132DC"/>
    <w:rsid w:val="1F662255"/>
    <w:rsid w:val="1F715206"/>
    <w:rsid w:val="1F72557D"/>
    <w:rsid w:val="1F770B28"/>
    <w:rsid w:val="1F7A3036"/>
    <w:rsid w:val="1F7C63FB"/>
    <w:rsid w:val="1F7E2174"/>
    <w:rsid w:val="1F833C2E"/>
    <w:rsid w:val="1F8370D2"/>
    <w:rsid w:val="1F86727A"/>
    <w:rsid w:val="1F882FF2"/>
    <w:rsid w:val="1F8B47E2"/>
    <w:rsid w:val="1F8D23B7"/>
    <w:rsid w:val="1F8E612F"/>
    <w:rsid w:val="1F9030FB"/>
    <w:rsid w:val="1F971487"/>
    <w:rsid w:val="1F996FAD"/>
    <w:rsid w:val="1FA31BDA"/>
    <w:rsid w:val="1FA77683"/>
    <w:rsid w:val="1FAF67D1"/>
    <w:rsid w:val="1FB742B4"/>
    <w:rsid w:val="1FBD6461"/>
    <w:rsid w:val="1FC3402A"/>
    <w:rsid w:val="1FC41B50"/>
    <w:rsid w:val="1FC85AE5"/>
    <w:rsid w:val="1FC97167"/>
    <w:rsid w:val="1FD75D28"/>
    <w:rsid w:val="1FDC50EC"/>
    <w:rsid w:val="1FE073FF"/>
    <w:rsid w:val="1FE3352B"/>
    <w:rsid w:val="1FE50445"/>
    <w:rsid w:val="1FEC075C"/>
    <w:rsid w:val="1FED3D01"/>
    <w:rsid w:val="200716C9"/>
    <w:rsid w:val="200B2F42"/>
    <w:rsid w:val="20104450"/>
    <w:rsid w:val="20104D96"/>
    <w:rsid w:val="20146634"/>
    <w:rsid w:val="201779E3"/>
    <w:rsid w:val="201E5705"/>
    <w:rsid w:val="2020322B"/>
    <w:rsid w:val="20216FA3"/>
    <w:rsid w:val="202A40A9"/>
    <w:rsid w:val="203C5B8B"/>
    <w:rsid w:val="203D3616"/>
    <w:rsid w:val="20427645"/>
    <w:rsid w:val="204F6280"/>
    <w:rsid w:val="205D622D"/>
    <w:rsid w:val="20686980"/>
    <w:rsid w:val="207B1004"/>
    <w:rsid w:val="207B2B57"/>
    <w:rsid w:val="207D242B"/>
    <w:rsid w:val="208337BA"/>
    <w:rsid w:val="208D63E6"/>
    <w:rsid w:val="20947775"/>
    <w:rsid w:val="209B0B03"/>
    <w:rsid w:val="209D5736"/>
    <w:rsid w:val="20A200E4"/>
    <w:rsid w:val="20A43E5C"/>
    <w:rsid w:val="20B3409F"/>
    <w:rsid w:val="20C06F38"/>
    <w:rsid w:val="20CA3197"/>
    <w:rsid w:val="20DB549E"/>
    <w:rsid w:val="20DF4E94"/>
    <w:rsid w:val="20E00C0C"/>
    <w:rsid w:val="20E23650"/>
    <w:rsid w:val="20E73D48"/>
    <w:rsid w:val="20E91E77"/>
    <w:rsid w:val="20F36B91"/>
    <w:rsid w:val="20F841A8"/>
    <w:rsid w:val="20F85F56"/>
    <w:rsid w:val="20F87D04"/>
    <w:rsid w:val="20FA3A7C"/>
    <w:rsid w:val="20FB77F4"/>
    <w:rsid w:val="20FF1092"/>
    <w:rsid w:val="20FF5536"/>
    <w:rsid w:val="21016D07"/>
    <w:rsid w:val="210865FD"/>
    <w:rsid w:val="210963B5"/>
    <w:rsid w:val="21156A1C"/>
    <w:rsid w:val="21177A19"/>
    <w:rsid w:val="211A411E"/>
    <w:rsid w:val="21294361"/>
    <w:rsid w:val="212E0352"/>
    <w:rsid w:val="212E0A02"/>
    <w:rsid w:val="212E3725"/>
    <w:rsid w:val="21311468"/>
    <w:rsid w:val="21345B94"/>
    <w:rsid w:val="213D7E0C"/>
    <w:rsid w:val="214747E7"/>
    <w:rsid w:val="214B42D7"/>
    <w:rsid w:val="21521B0A"/>
    <w:rsid w:val="21633F28"/>
    <w:rsid w:val="216E7C21"/>
    <w:rsid w:val="21780EA7"/>
    <w:rsid w:val="217D46AD"/>
    <w:rsid w:val="21820494"/>
    <w:rsid w:val="21871088"/>
    <w:rsid w:val="21A1039B"/>
    <w:rsid w:val="21A357D2"/>
    <w:rsid w:val="21A47E8B"/>
    <w:rsid w:val="21BC3427"/>
    <w:rsid w:val="21BC7EF3"/>
    <w:rsid w:val="21C347B6"/>
    <w:rsid w:val="21CA4341"/>
    <w:rsid w:val="21CA5B44"/>
    <w:rsid w:val="21CB0B38"/>
    <w:rsid w:val="21D10C1B"/>
    <w:rsid w:val="21D17AC1"/>
    <w:rsid w:val="21D20555"/>
    <w:rsid w:val="21D82DC4"/>
    <w:rsid w:val="21D93F17"/>
    <w:rsid w:val="21DA62E0"/>
    <w:rsid w:val="21DA6C9A"/>
    <w:rsid w:val="21E309B4"/>
    <w:rsid w:val="21E62252"/>
    <w:rsid w:val="21EB7868"/>
    <w:rsid w:val="21ED07C1"/>
    <w:rsid w:val="21EE732A"/>
    <w:rsid w:val="22022A80"/>
    <w:rsid w:val="22031056"/>
    <w:rsid w:val="22097CEF"/>
    <w:rsid w:val="2210107D"/>
    <w:rsid w:val="22140B6D"/>
    <w:rsid w:val="221768AF"/>
    <w:rsid w:val="22196184"/>
    <w:rsid w:val="222F1E4B"/>
    <w:rsid w:val="22372AAE"/>
    <w:rsid w:val="22386FDF"/>
    <w:rsid w:val="2241392C"/>
    <w:rsid w:val="224445D9"/>
    <w:rsid w:val="224A458F"/>
    <w:rsid w:val="224F429B"/>
    <w:rsid w:val="225E44DE"/>
    <w:rsid w:val="22682C67"/>
    <w:rsid w:val="226A69DF"/>
    <w:rsid w:val="22715FC0"/>
    <w:rsid w:val="22775051"/>
    <w:rsid w:val="22794E74"/>
    <w:rsid w:val="227B0410"/>
    <w:rsid w:val="227F1CF3"/>
    <w:rsid w:val="22802A5E"/>
    <w:rsid w:val="2280357B"/>
    <w:rsid w:val="22873A35"/>
    <w:rsid w:val="22883309"/>
    <w:rsid w:val="228850B7"/>
    <w:rsid w:val="228D0920"/>
    <w:rsid w:val="228D6B72"/>
    <w:rsid w:val="2297354C"/>
    <w:rsid w:val="22995516"/>
    <w:rsid w:val="229B128E"/>
    <w:rsid w:val="229B303C"/>
    <w:rsid w:val="22A1482E"/>
    <w:rsid w:val="22A243CB"/>
    <w:rsid w:val="22A77C33"/>
    <w:rsid w:val="22AD4B1E"/>
    <w:rsid w:val="22B440FE"/>
    <w:rsid w:val="22B83F08"/>
    <w:rsid w:val="22C84412"/>
    <w:rsid w:val="22CE3412"/>
    <w:rsid w:val="22D30A28"/>
    <w:rsid w:val="22D36C7A"/>
    <w:rsid w:val="22DA1DB7"/>
    <w:rsid w:val="22DB168B"/>
    <w:rsid w:val="22DF73CD"/>
    <w:rsid w:val="22E16D14"/>
    <w:rsid w:val="22E32706"/>
    <w:rsid w:val="22F2731F"/>
    <w:rsid w:val="22F56BF1"/>
    <w:rsid w:val="22F66AEC"/>
    <w:rsid w:val="22F8223D"/>
    <w:rsid w:val="22FF35CB"/>
    <w:rsid w:val="23032DAC"/>
    <w:rsid w:val="23045086"/>
    <w:rsid w:val="23046E34"/>
    <w:rsid w:val="2305495A"/>
    <w:rsid w:val="2309269C"/>
    <w:rsid w:val="230E380E"/>
    <w:rsid w:val="231057D9"/>
    <w:rsid w:val="2316104C"/>
    <w:rsid w:val="23192E8B"/>
    <w:rsid w:val="231A6795"/>
    <w:rsid w:val="231D50C1"/>
    <w:rsid w:val="231E5EDF"/>
    <w:rsid w:val="232272BA"/>
    <w:rsid w:val="232C38FC"/>
    <w:rsid w:val="232F75FB"/>
    <w:rsid w:val="2336619B"/>
    <w:rsid w:val="233B037C"/>
    <w:rsid w:val="23425BAE"/>
    <w:rsid w:val="2342795C"/>
    <w:rsid w:val="23445482"/>
    <w:rsid w:val="234731C4"/>
    <w:rsid w:val="234C07DB"/>
    <w:rsid w:val="2355768F"/>
    <w:rsid w:val="2359588A"/>
    <w:rsid w:val="235A2EF8"/>
    <w:rsid w:val="235B27CC"/>
    <w:rsid w:val="235C6C70"/>
    <w:rsid w:val="23601CC6"/>
    <w:rsid w:val="23607DE2"/>
    <w:rsid w:val="23627FFE"/>
    <w:rsid w:val="23630647"/>
    <w:rsid w:val="236478D2"/>
    <w:rsid w:val="236A7975"/>
    <w:rsid w:val="237C3983"/>
    <w:rsid w:val="23810484"/>
    <w:rsid w:val="23831EAA"/>
    <w:rsid w:val="23843AD1"/>
    <w:rsid w:val="238E2BA1"/>
    <w:rsid w:val="238F4A93"/>
    <w:rsid w:val="23955CDE"/>
    <w:rsid w:val="2397579E"/>
    <w:rsid w:val="239F090A"/>
    <w:rsid w:val="23A608CA"/>
    <w:rsid w:val="23A91789"/>
    <w:rsid w:val="23B048C6"/>
    <w:rsid w:val="23BA1190"/>
    <w:rsid w:val="23C30A9D"/>
    <w:rsid w:val="23C6058D"/>
    <w:rsid w:val="23C640E9"/>
    <w:rsid w:val="23C71C0F"/>
    <w:rsid w:val="23C91E2B"/>
    <w:rsid w:val="23D26F32"/>
    <w:rsid w:val="23D34A58"/>
    <w:rsid w:val="23D9206E"/>
    <w:rsid w:val="23DA7B95"/>
    <w:rsid w:val="23EB7FF4"/>
    <w:rsid w:val="23ED5FB9"/>
    <w:rsid w:val="23F23130"/>
    <w:rsid w:val="23F549CE"/>
    <w:rsid w:val="23F5677C"/>
    <w:rsid w:val="23FA1FE5"/>
    <w:rsid w:val="23FA3D93"/>
    <w:rsid w:val="23FC3A8F"/>
    <w:rsid w:val="240014E6"/>
    <w:rsid w:val="24044C11"/>
    <w:rsid w:val="2406020D"/>
    <w:rsid w:val="240B2444"/>
    <w:rsid w:val="240F7EDE"/>
    <w:rsid w:val="24101808"/>
    <w:rsid w:val="241412F8"/>
    <w:rsid w:val="24172B97"/>
    <w:rsid w:val="24174945"/>
    <w:rsid w:val="24194B61"/>
    <w:rsid w:val="2423778D"/>
    <w:rsid w:val="242B6642"/>
    <w:rsid w:val="243048D2"/>
    <w:rsid w:val="24313600"/>
    <w:rsid w:val="243C43AB"/>
    <w:rsid w:val="244068CB"/>
    <w:rsid w:val="245042DF"/>
    <w:rsid w:val="2455546D"/>
    <w:rsid w:val="24566D47"/>
    <w:rsid w:val="245C2C9F"/>
    <w:rsid w:val="246102B6"/>
    <w:rsid w:val="247022A7"/>
    <w:rsid w:val="247104F9"/>
    <w:rsid w:val="2474488E"/>
    <w:rsid w:val="24747FE9"/>
    <w:rsid w:val="247578BD"/>
    <w:rsid w:val="247B1377"/>
    <w:rsid w:val="24840100"/>
    <w:rsid w:val="24842422"/>
    <w:rsid w:val="24873190"/>
    <w:rsid w:val="24877D1C"/>
    <w:rsid w:val="248C55CE"/>
    <w:rsid w:val="248C73CA"/>
    <w:rsid w:val="248D10AB"/>
    <w:rsid w:val="248D4C07"/>
    <w:rsid w:val="248F4E23"/>
    <w:rsid w:val="2494342A"/>
    <w:rsid w:val="24954DA2"/>
    <w:rsid w:val="24A23F90"/>
    <w:rsid w:val="24B30003"/>
    <w:rsid w:val="24B35602"/>
    <w:rsid w:val="24B44889"/>
    <w:rsid w:val="24B91EA0"/>
    <w:rsid w:val="24C22B02"/>
    <w:rsid w:val="24CE259C"/>
    <w:rsid w:val="24CF3471"/>
    <w:rsid w:val="24CF6FCD"/>
    <w:rsid w:val="24DD5B8E"/>
    <w:rsid w:val="24E231A5"/>
    <w:rsid w:val="24ED56A6"/>
    <w:rsid w:val="24EF4E6D"/>
    <w:rsid w:val="24F133E8"/>
    <w:rsid w:val="24F627AC"/>
    <w:rsid w:val="24FB6014"/>
    <w:rsid w:val="24FE5B05"/>
    <w:rsid w:val="24FF3D57"/>
    <w:rsid w:val="2500362B"/>
    <w:rsid w:val="25021151"/>
    <w:rsid w:val="250824DF"/>
    <w:rsid w:val="25090731"/>
    <w:rsid w:val="25097302"/>
    <w:rsid w:val="250A26FB"/>
    <w:rsid w:val="250A6257"/>
    <w:rsid w:val="250E5D48"/>
    <w:rsid w:val="25180974"/>
    <w:rsid w:val="251B0465"/>
    <w:rsid w:val="252159F9"/>
    <w:rsid w:val="25221FC4"/>
    <w:rsid w:val="25230B54"/>
    <w:rsid w:val="252C2926"/>
    <w:rsid w:val="253B0B07"/>
    <w:rsid w:val="2543783E"/>
    <w:rsid w:val="25457290"/>
    <w:rsid w:val="254774AC"/>
    <w:rsid w:val="25493224"/>
    <w:rsid w:val="254D6E95"/>
    <w:rsid w:val="254E25E8"/>
    <w:rsid w:val="254E507A"/>
    <w:rsid w:val="25506360"/>
    <w:rsid w:val="255252CE"/>
    <w:rsid w:val="25525B4A"/>
    <w:rsid w:val="255A7EFB"/>
    <w:rsid w:val="255B3C04"/>
    <w:rsid w:val="256353F4"/>
    <w:rsid w:val="257362C1"/>
    <w:rsid w:val="257858B7"/>
    <w:rsid w:val="25787665"/>
    <w:rsid w:val="257F09F3"/>
    <w:rsid w:val="25910727"/>
    <w:rsid w:val="25916D26"/>
    <w:rsid w:val="25950E14"/>
    <w:rsid w:val="259721E1"/>
    <w:rsid w:val="25A8619C"/>
    <w:rsid w:val="25AB1549"/>
    <w:rsid w:val="25AE12D9"/>
    <w:rsid w:val="25B20DC9"/>
    <w:rsid w:val="25B6018D"/>
    <w:rsid w:val="25C94365"/>
    <w:rsid w:val="25D23219"/>
    <w:rsid w:val="25D56865"/>
    <w:rsid w:val="25D845A8"/>
    <w:rsid w:val="25D86356"/>
    <w:rsid w:val="25D9546E"/>
    <w:rsid w:val="25DD1043"/>
    <w:rsid w:val="25E1520A"/>
    <w:rsid w:val="25E32F16"/>
    <w:rsid w:val="25E62821"/>
    <w:rsid w:val="25E96C9E"/>
    <w:rsid w:val="25F0544D"/>
    <w:rsid w:val="25F74A2E"/>
    <w:rsid w:val="2604714B"/>
    <w:rsid w:val="260B7449"/>
    <w:rsid w:val="261F08BF"/>
    <w:rsid w:val="26275901"/>
    <w:rsid w:val="262B0B7B"/>
    <w:rsid w:val="262D66A1"/>
    <w:rsid w:val="262E4D42"/>
    <w:rsid w:val="26303958"/>
    <w:rsid w:val="263118D3"/>
    <w:rsid w:val="26432F9D"/>
    <w:rsid w:val="264B7529"/>
    <w:rsid w:val="264F6618"/>
    <w:rsid w:val="266100F9"/>
    <w:rsid w:val="26630315"/>
    <w:rsid w:val="26644CF8"/>
    <w:rsid w:val="266A3452"/>
    <w:rsid w:val="266D2A5D"/>
    <w:rsid w:val="266D2F42"/>
    <w:rsid w:val="266D6A9E"/>
    <w:rsid w:val="267047E0"/>
    <w:rsid w:val="26752E95"/>
    <w:rsid w:val="26753BA5"/>
    <w:rsid w:val="268169ED"/>
    <w:rsid w:val="26864004"/>
    <w:rsid w:val="269009DE"/>
    <w:rsid w:val="26993D37"/>
    <w:rsid w:val="269C7383"/>
    <w:rsid w:val="26A60202"/>
    <w:rsid w:val="26A8388C"/>
    <w:rsid w:val="26B74083"/>
    <w:rsid w:val="26B75BDF"/>
    <w:rsid w:val="26CA0394"/>
    <w:rsid w:val="26CA2142"/>
    <w:rsid w:val="26CD578F"/>
    <w:rsid w:val="26CF7759"/>
    <w:rsid w:val="26D11723"/>
    <w:rsid w:val="26D42FC1"/>
    <w:rsid w:val="26D60AE7"/>
    <w:rsid w:val="26D94133"/>
    <w:rsid w:val="26DE174A"/>
    <w:rsid w:val="26E256DE"/>
    <w:rsid w:val="26E2748C"/>
    <w:rsid w:val="26E56F7C"/>
    <w:rsid w:val="26F10834"/>
    <w:rsid w:val="26F176CF"/>
    <w:rsid w:val="26F50EC7"/>
    <w:rsid w:val="27145C30"/>
    <w:rsid w:val="27196C26"/>
    <w:rsid w:val="27206206"/>
    <w:rsid w:val="272563B7"/>
    <w:rsid w:val="272659EC"/>
    <w:rsid w:val="27294A71"/>
    <w:rsid w:val="272A498F"/>
    <w:rsid w:val="272D447F"/>
    <w:rsid w:val="272E26D1"/>
    <w:rsid w:val="272E51EF"/>
    <w:rsid w:val="272F01F7"/>
    <w:rsid w:val="272F1FA5"/>
    <w:rsid w:val="27313F6F"/>
    <w:rsid w:val="27337CE7"/>
    <w:rsid w:val="27363334"/>
    <w:rsid w:val="27457A1B"/>
    <w:rsid w:val="274A3283"/>
    <w:rsid w:val="274C0DA9"/>
    <w:rsid w:val="275639D6"/>
    <w:rsid w:val="275B723E"/>
    <w:rsid w:val="2769195B"/>
    <w:rsid w:val="276C31F9"/>
    <w:rsid w:val="276E0D20"/>
    <w:rsid w:val="27704AC1"/>
    <w:rsid w:val="27710810"/>
    <w:rsid w:val="27715C8F"/>
    <w:rsid w:val="27754992"/>
    <w:rsid w:val="27764078"/>
    <w:rsid w:val="27843B07"/>
    <w:rsid w:val="2786250D"/>
    <w:rsid w:val="27865D44"/>
    <w:rsid w:val="278C45CD"/>
    <w:rsid w:val="2790513A"/>
    <w:rsid w:val="27931A7C"/>
    <w:rsid w:val="279544FE"/>
    <w:rsid w:val="279A1B15"/>
    <w:rsid w:val="27A02EA3"/>
    <w:rsid w:val="27A40BE5"/>
    <w:rsid w:val="27A94085"/>
    <w:rsid w:val="27AA4BD2"/>
    <w:rsid w:val="27AF2660"/>
    <w:rsid w:val="27CE7A10"/>
    <w:rsid w:val="27DF1C1D"/>
    <w:rsid w:val="27E86D24"/>
    <w:rsid w:val="27E92A9C"/>
    <w:rsid w:val="27ED433A"/>
    <w:rsid w:val="280451E0"/>
    <w:rsid w:val="28096C9A"/>
    <w:rsid w:val="280B656E"/>
    <w:rsid w:val="280F6544"/>
    <w:rsid w:val="28125B4F"/>
    <w:rsid w:val="28222B9B"/>
    <w:rsid w:val="2826784C"/>
    <w:rsid w:val="282D2989"/>
    <w:rsid w:val="28416434"/>
    <w:rsid w:val="28427225"/>
    <w:rsid w:val="28461C9C"/>
    <w:rsid w:val="28472DB9"/>
    <w:rsid w:val="28506677"/>
    <w:rsid w:val="2853435A"/>
    <w:rsid w:val="285443B9"/>
    <w:rsid w:val="285D2B42"/>
    <w:rsid w:val="286645A1"/>
    <w:rsid w:val="286E175B"/>
    <w:rsid w:val="286E33A7"/>
    <w:rsid w:val="287B7B98"/>
    <w:rsid w:val="287F390C"/>
    <w:rsid w:val="288C5086"/>
    <w:rsid w:val="2891635B"/>
    <w:rsid w:val="289724F8"/>
    <w:rsid w:val="289F315B"/>
    <w:rsid w:val="28A864B3"/>
    <w:rsid w:val="28AA3FD9"/>
    <w:rsid w:val="28B63E85"/>
    <w:rsid w:val="28B670D8"/>
    <w:rsid w:val="28BC1F5F"/>
    <w:rsid w:val="28BE5CD7"/>
    <w:rsid w:val="28BF2A31"/>
    <w:rsid w:val="28C11323"/>
    <w:rsid w:val="28CB21A2"/>
    <w:rsid w:val="28D076AE"/>
    <w:rsid w:val="28D42E04"/>
    <w:rsid w:val="28D56B7C"/>
    <w:rsid w:val="28DA4193"/>
    <w:rsid w:val="28E50522"/>
    <w:rsid w:val="28E868B0"/>
    <w:rsid w:val="28EA087A"/>
    <w:rsid w:val="28EE70DF"/>
    <w:rsid w:val="28EF5E6A"/>
    <w:rsid w:val="28F87856"/>
    <w:rsid w:val="28FB65E3"/>
    <w:rsid w:val="29001E4B"/>
    <w:rsid w:val="290F02E0"/>
    <w:rsid w:val="29112ED9"/>
    <w:rsid w:val="291710CD"/>
    <w:rsid w:val="291B0A33"/>
    <w:rsid w:val="292D2732"/>
    <w:rsid w:val="29350390"/>
    <w:rsid w:val="293715E5"/>
    <w:rsid w:val="2939710B"/>
    <w:rsid w:val="2940493E"/>
    <w:rsid w:val="29437F8A"/>
    <w:rsid w:val="294755E4"/>
    <w:rsid w:val="294A1318"/>
    <w:rsid w:val="294A30C6"/>
    <w:rsid w:val="294E705B"/>
    <w:rsid w:val="294F4B81"/>
    <w:rsid w:val="29596454"/>
    <w:rsid w:val="295E3016"/>
    <w:rsid w:val="295E6B72"/>
    <w:rsid w:val="295F349E"/>
    <w:rsid w:val="296022B4"/>
    <w:rsid w:val="296A3769"/>
    <w:rsid w:val="296C74E1"/>
    <w:rsid w:val="29714AF7"/>
    <w:rsid w:val="29727881"/>
    <w:rsid w:val="29767D09"/>
    <w:rsid w:val="297B2B20"/>
    <w:rsid w:val="297B4378"/>
    <w:rsid w:val="298505A2"/>
    <w:rsid w:val="2988390E"/>
    <w:rsid w:val="298C1931"/>
    <w:rsid w:val="29934A6D"/>
    <w:rsid w:val="2999255A"/>
    <w:rsid w:val="29A7453D"/>
    <w:rsid w:val="29A900F9"/>
    <w:rsid w:val="29A94291"/>
    <w:rsid w:val="29AB6D7D"/>
    <w:rsid w:val="29AD7EF3"/>
    <w:rsid w:val="29B01DC7"/>
    <w:rsid w:val="29BA46F0"/>
    <w:rsid w:val="29BC3621"/>
    <w:rsid w:val="29BD5F8E"/>
    <w:rsid w:val="29C25353"/>
    <w:rsid w:val="29C70BBB"/>
    <w:rsid w:val="29D11A3A"/>
    <w:rsid w:val="29D15596"/>
    <w:rsid w:val="29D357B2"/>
    <w:rsid w:val="29D4087C"/>
    <w:rsid w:val="29D515FB"/>
    <w:rsid w:val="29D86924"/>
    <w:rsid w:val="29DD78B7"/>
    <w:rsid w:val="29E47DD1"/>
    <w:rsid w:val="29E950C0"/>
    <w:rsid w:val="29E965C4"/>
    <w:rsid w:val="29EB7A06"/>
    <w:rsid w:val="29EC6231"/>
    <w:rsid w:val="29EE10D7"/>
    <w:rsid w:val="29F574D6"/>
    <w:rsid w:val="29F97B45"/>
    <w:rsid w:val="29FE3744"/>
    <w:rsid w:val="2A047719"/>
    <w:rsid w:val="2A063491"/>
    <w:rsid w:val="2A0C4820"/>
    <w:rsid w:val="2A0F631D"/>
    <w:rsid w:val="2A15272F"/>
    <w:rsid w:val="2A157B78"/>
    <w:rsid w:val="2A1738F0"/>
    <w:rsid w:val="2A1A0CEB"/>
    <w:rsid w:val="2A1F53CF"/>
    <w:rsid w:val="2A2F05EA"/>
    <w:rsid w:val="2A3049B2"/>
    <w:rsid w:val="2A32072A"/>
    <w:rsid w:val="2A346694"/>
    <w:rsid w:val="2A3C54A4"/>
    <w:rsid w:val="2A420242"/>
    <w:rsid w:val="2A47059E"/>
    <w:rsid w:val="2A495A74"/>
    <w:rsid w:val="2A5306A1"/>
    <w:rsid w:val="2A5561C7"/>
    <w:rsid w:val="2A5A558B"/>
    <w:rsid w:val="2A5D507B"/>
    <w:rsid w:val="2A5F0DF4"/>
    <w:rsid w:val="2A677CA8"/>
    <w:rsid w:val="2A693576"/>
    <w:rsid w:val="2A756869"/>
    <w:rsid w:val="2A7644AA"/>
    <w:rsid w:val="2A7D127A"/>
    <w:rsid w:val="2A7D1EFE"/>
    <w:rsid w:val="2A834AE2"/>
    <w:rsid w:val="2A944F41"/>
    <w:rsid w:val="2A994305"/>
    <w:rsid w:val="2A997F02"/>
    <w:rsid w:val="2A9D36CA"/>
    <w:rsid w:val="2AA1765E"/>
    <w:rsid w:val="2AA35184"/>
    <w:rsid w:val="2AB00EBB"/>
    <w:rsid w:val="2ABB0720"/>
    <w:rsid w:val="2AC5334C"/>
    <w:rsid w:val="2ACB6489"/>
    <w:rsid w:val="2ACD0453"/>
    <w:rsid w:val="2AD01CF1"/>
    <w:rsid w:val="2AE5579D"/>
    <w:rsid w:val="2AE61085"/>
    <w:rsid w:val="2AE76B06"/>
    <w:rsid w:val="2AEA4B61"/>
    <w:rsid w:val="2AF23A16"/>
    <w:rsid w:val="2AF459E0"/>
    <w:rsid w:val="2B057BED"/>
    <w:rsid w:val="2B0776C7"/>
    <w:rsid w:val="2B0C0F7B"/>
    <w:rsid w:val="2B110B5E"/>
    <w:rsid w:val="2B165956"/>
    <w:rsid w:val="2B1C4F36"/>
    <w:rsid w:val="2B1E0CAF"/>
    <w:rsid w:val="2B2A7653"/>
    <w:rsid w:val="2B2C33CC"/>
    <w:rsid w:val="2B2E6D06"/>
    <w:rsid w:val="2B2F353C"/>
    <w:rsid w:val="2B34402E"/>
    <w:rsid w:val="2B345DDC"/>
    <w:rsid w:val="2B3C1135"/>
    <w:rsid w:val="2B425766"/>
    <w:rsid w:val="2B434271"/>
    <w:rsid w:val="2B4D50F0"/>
    <w:rsid w:val="2B667F60"/>
    <w:rsid w:val="2B6D46A2"/>
    <w:rsid w:val="2B7065D7"/>
    <w:rsid w:val="2B8152F7"/>
    <w:rsid w:val="2B830B12"/>
    <w:rsid w:val="2B833818"/>
    <w:rsid w:val="2B877D7D"/>
    <w:rsid w:val="2B8C5C18"/>
    <w:rsid w:val="2B911481"/>
    <w:rsid w:val="2BA016C4"/>
    <w:rsid w:val="2BA32F62"/>
    <w:rsid w:val="2BAE2033"/>
    <w:rsid w:val="2BAF25B9"/>
    <w:rsid w:val="2BB62EEB"/>
    <w:rsid w:val="2BBA6BD4"/>
    <w:rsid w:val="2BBF786D"/>
    <w:rsid w:val="2BC730F4"/>
    <w:rsid w:val="2BCF1FA9"/>
    <w:rsid w:val="2BD15D21"/>
    <w:rsid w:val="2BE75544"/>
    <w:rsid w:val="2BE958BD"/>
    <w:rsid w:val="2BF832AE"/>
    <w:rsid w:val="2C077995"/>
    <w:rsid w:val="2C1874AC"/>
    <w:rsid w:val="2C1D6C42"/>
    <w:rsid w:val="2C2220D9"/>
    <w:rsid w:val="2C24115C"/>
    <w:rsid w:val="2C2422F5"/>
    <w:rsid w:val="2C2A71DF"/>
    <w:rsid w:val="2C2C2F57"/>
    <w:rsid w:val="2C2E3173"/>
    <w:rsid w:val="2C3141C2"/>
    <w:rsid w:val="2C35005E"/>
    <w:rsid w:val="2C3D5164"/>
    <w:rsid w:val="2C4B162F"/>
    <w:rsid w:val="2C505F9C"/>
    <w:rsid w:val="2C5A7AC4"/>
    <w:rsid w:val="2C6170A5"/>
    <w:rsid w:val="2C622E1D"/>
    <w:rsid w:val="2C69656A"/>
    <w:rsid w:val="2C6E531E"/>
    <w:rsid w:val="2C70332B"/>
    <w:rsid w:val="2C74243D"/>
    <w:rsid w:val="2C7C7A3B"/>
    <w:rsid w:val="2C7D449F"/>
    <w:rsid w:val="2C7D4FE4"/>
    <w:rsid w:val="2C7F39CF"/>
    <w:rsid w:val="2C815051"/>
    <w:rsid w:val="2C866B0B"/>
    <w:rsid w:val="2C920A51"/>
    <w:rsid w:val="2C931228"/>
    <w:rsid w:val="2C9F3729"/>
    <w:rsid w:val="2CA13945"/>
    <w:rsid w:val="2CA878F5"/>
    <w:rsid w:val="2CAA3C3C"/>
    <w:rsid w:val="2CBB4661"/>
    <w:rsid w:val="2CBD0053"/>
    <w:rsid w:val="2CBF6E23"/>
    <w:rsid w:val="2CC17B44"/>
    <w:rsid w:val="2CCA2E9C"/>
    <w:rsid w:val="2CD92092"/>
    <w:rsid w:val="2CDA6E57"/>
    <w:rsid w:val="2CE83322"/>
    <w:rsid w:val="2CE850D0"/>
    <w:rsid w:val="2CF241A1"/>
    <w:rsid w:val="2CF25F4F"/>
    <w:rsid w:val="2CF42E43"/>
    <w:rsid w:val="2CF65402"/>
    <w:rsid w:val="2CF9108B"/>
    <w:rsid w:val="2CFA4E04"/>
    <w:rsid w:val="2D067C4C"/>
    <w:rsid w:val="2D0B5263"/>
    <w:rsid w:val="2D256324"/>
    <w:rsid w:val="2D26209C"/>
    <w:rsid w:val="2D314CC9"/>
    <w:rsid w:val="2D320A41"/>
    <w:rsid w:val="2D360531"/>
    <w:rsid w:val="2D3E2F42"/>
    <w:rsid w:val="2D46629B"/>
    <w:rsid w:val="2D4C1B03"/>
    <w:rsid w:val="2D5664DE"/>
    <w:rsid w:val="2D5C5ABE"/>
    <w:rsid w:val="2D615D39"/>
    <w:rsid w:val="2D734AAD"/>
    <w:rsid w:val="2D7B5F44"/>
    <w:rsid w:val="2D7C025A"/>
    <w:rsid w:val="2D7E3C87"/>
    <w:rsid w:val="2D811081"/>
    <w:rsid w:val="2D861D16"/>
    <w:rsid w:val="2D865769"/>
    <w:rsid w:val="2D9102EF"/>
    <w:rsid w:val="2D934CD2"/>
    <w:rsid w:val="2D984D48"/>
    <w:rsid w:val="2DA76D39"/>
    <w:rsid w:val="2DB0374C"/>
    <w:rsid w:val="2DB11966"/>
    <w:rsid w:val="2DBD47AF"/>
    <w:rsid w:val="2DC45B3D"/>
    <w:rsid w:val="2DCE2518"/>
    <w:rsid w:val="2DCF003E"/>
    <w:rsid w:val="2DD17649"/>
    <w:rsid w:val="2DD378BF"/>
    <w:rsid w:val="2DD613CD"/>
    <w:rsid w:val="2DDB2E87"/>
    <w:rsid w:val="2DDC3961"/>
    <w:rsid w:val="2DEC6E42"/>
    <w:rsid w:val="2DEE4968"/>
    <w:rsid w:val="2DF87595"/>
    <w:rsid w:val="2DFA7D57"/>
    <w:rsid w:val="2DFD4BAB"/>
    <w:rsid w:val="2E0334BD"/>
    <w:rsid w:val="2E081123"/>
    <w:rsid w:val="2E0E500A"/>
    <w:rsid w:val="2E141EF5"/>
    <w:rsid w:val="2E153CC3"/>
    <w:rsid w:val="2E1D303E"/>
    <w:rsid w:val="2E1F0FC6"/>
    <w:rsid w:val="2E24038A"/>
    <w:rsid w:val="2E254E85"/>
    <w:rsid w:val="2E25657D"/>
    <w:rsid w:val="2E2A34C6"/>
    <w:rsid w:val="2E2E2FB7"/>
    <w:rsid w:val="2E400F3C"/>
    <w:rsid w:val="2E514EF7"/>
    <w:rsid w:val="2E5172B2"/>
    <w:rsid w:val="2E586286"/>
    <w:rsid w:val="2E666BF4"/>
    <w:rsid w:val="2E69227F"/>
    <w:rsid w:val="2E6D7F83"/>
    <w:rsid w:val="2E7035CF"/>
    <w:rsid w:val="2E7A26A0"/>
    <w:rsid w:val="2E7B1F74"/>
    <w:rsid w:val="2E7D6EDD"/>
    <w:rsid w:val="2E7F7CB6"/>
    <w:rsid w:val="2E884476"/>
    <w:rsid w:val="2E8B665B"/>
    <w:rsid w:val="2E9077CD"/>
    <w:rsid w:val="2E921798"/>
    <w:rsid w:val="2E9655E6"/>
    <w:rsid w:val="2EA17C2D"/>
    <w:rsid w:val="2EAB4607"/>
    <w:rsid w:val="2EAC257E"/>
    <w:rsid w:val="2EB21E3A"/>
    <w:rsid w:val="2EBB5196"/>
    <w:rsid w:val="2EBD433B"/>
    <w:rsid w:val="2EC15BD9"/>
    <w:rsid w:val="2EC851B9"/>
    <w:rsid w:val="2EC9236B"/>
    <w:rsid w:val="2EC964E4"/>
    <w:rsid w:val="2ECE6548"/>
    <w:rsid w:val="2ED03642"/>
    <w:rsid w:val="2ED7364E"/>
    <w:rsid w:val="2EDA071F"/>
    <w:rsid w:val="2EDD678B"/>
    <w:rsid w:val="2EDD74A8"/>
    <w:rsid w:val="2EE143F1"/>
    <w:rsid w:val="2EE31FF3"/>
    <w:rsid w:val="2EE95130"/>
    <w:rsid w:val="2EED1543"/>
    <w:rsid w:val="2EF15D2F"/>
    <w:rsid w:val="2EF53D37"/>
    <w:rsid w:val="2EF57F78"/>
    <w:rsid w:val="2EF75A9F"/>
    <w:rsid w:val="2EF7784D"/>
    <w:rsid w:val="2F097580"/>
    <w:rsid w:val="2F0E4B96"/>
    <w:rsid w:val="2F0F104A"/>
    <w:rsid w:val="2F106B60"/>
    <w:rsid w:val="2F151B80"/>
    <w:rsid w:val="2F1877C3"/>
    <w:rsid w:val="2F195A15"/>
    <w:rsid w:val="2F1E302B"/>
    <w:rsid w:val="2F1F0B51"/>
    <w:rsid w:val="2F236894"/>
    <w:rsid w:val="2F2C09F8"/>
    <w:rsid w:val="2F302D5E"/>
    <w:rsid w:val="2F3A598B"/>
    <w:rsid w:val="2F45680A"/>
    <w:rsid w:val="2F4D56BE"/>
    <w:rsid w:val="2F505ADC"/>
    <w:rsid w:val="2F542EF1"/>
    <w:rsid w:val="2F546A4D"/>
    <w:rsid w:val="2F591D0B"/>
    <w:rsid w:val="2F5F53F2"/>
    <w:rsid w:val="2F631386"/>
    <w:rsid w:val="2F68074A"/>
    <w:rsid w:val="2F6C7BC9"/>
    <w:rsid w:val="2F753E46"/>
    <w:rsid w:val="2F791392"/>
    <w:rsid w:val="2F794705"/>
    <w:rsid w:val="2F8D01B1"/>
    <w:rsid w:val="2F997048"/>
    <w:rsid w:val="2F9C21A2"/>
    <w:rsid w:val="2F9F6DB0"/>
    <w:rsid w:val="2FA53B00"/>
    <w:rsid w:val="2FA80437"/>
    <w:rsid w:val="2FA849E7"/>
    <w:rsid w:val="2FAF1ED5"/>
    <w:rsid w:val="2FAF45CB"/>
    <w:rsid w:val="2FB744F3"/>
    <w:rsid w:val="2FB83480"/>
    <w:rsid w:val="2FBB6ACC"/>
    <w:rsid w:val="2FCC2A87"/>
    <w:rsid w:val="2FCF07C9"/>
    <w:rsid w:val="2FD47B8E"/>
    <w:rsid w:val="2FD83324"/>
    <w:rsid w:val="2FDB5352"/>
    <w:rsid w:val="2FE14059"/>
    <w:rsid w:val="2FE51D9B"/>
    <w:rsid w:val="2FE53B49"/>
    <w:rsid w:val="2FEA115F"/>
    <w:rsid w:val="2FF16992"/>
    <w:rsid w:val="2FF26266"/>
    <w:rsid w:val="2FF81ACE"/>
    <w:rsid w:val="2FFD6A0A"/>
    <w:rsid w:val="2FFE2E5D"/>
    <w:rsid w:val="30006BD5"/>
    <w:rsid w:val="300103D3"/>
    <w:rsid w:val="300246FB"/>
    <w:rsid w:val="300A7A53"/>
    <w:rsid w:val="30134B5A"/>
    <w:rsid w:val="301D7787"/>
    <w:rsid w:val="30224D9D"/>
    <w:rsid w:val="303074BA"/>
    <w:rsid w:val="30316D8E"/>
    <w:rsid w:val="3038011D"/>
    <w:rsid w:val="30444D13"/>
    <w:rsid w:val="304B054C"/>
    <w:rsid w:val="3050190A"/>
    <w:rsid w:val="306113B2"/>
    <w:rsid w:val="308120F1"/>
    <w:rsid w:val="30816709"/>
    <w:rsid w:val="30850E88"/>
    <w:rsid w:val="308A649E"/>
    <w:rsid w:val="309C4B4F"/>
    <w:rsid w:val="30A9101A"/>
    <w:rsid w:val="30CE6CD3"/>
    <w:rsid w:val="30E0160E"/>
    <w:rsid w:val="30E20088"/>
    <w:rsid w:val="30E241D3"/>
    <w:rsid w:val="30F47EBB"/>
    <w:rsid w:val="30FC114A"/>
    <w:rsid w:val="31003685"/>
    <w:rsid w:val="31061FC9"/>
    <w:rsid w:val="31077AEF"/>
    <w:rsid w:val="310821E5"/>
    <w:rsid w:val="31102E48"/>
    <w:rsid w:val="3115220C"/>
    <w:rsid w:val="311961A0"/>
    <w:rsid w:val="311E5564"/>
    <w:rsid w:val="3123746B"/>
    <w:rsid w:val="31254094"/>
    <w:rsid w:val="3128447F"/>
    <w:rsid w:val="312879B9"/>
    <w:rsid w:val="312C50B5"/>
    <w:rsid w:val="312D39F9"/>
    <w:rsid w:val="313A2A33"/>
    <w:rsid w:val="3140533A"/>
    <w:rsid w:val="314471AC"/>
    <w:rsid w:val="3146720F"/>
    <w:rsid w:val="314C36CA"/>
    <w:rsid w:val="314D5E4A"/>
    <w:rsid w:val="31547F98"/>
    <w:rsid w:val="315A40C3"/>
    <w:rsid w:val="31611191"/>
    <w:rsid w:val="316D2048"/>
    <w:rsid w:val="316D3333"/>
    <w:rsid w:val="31750EFD"/>
    <w:rsid w:val="3175714F"/>
    <w:rsid w:val="31786BA7"/>
    <w:rsid w:val="317E4255"/>
    <w:rsid w:val="3180446B"/>
    <w:rsid w:val="318B2FF0"/>
    <w:rsid w:val="318B3AD3"/>
    <w:rsid w:val="318B7345"/>
    <w:rsid w:val="31905D36"/>
    <w:rsid w:val="319677F1"/>
    <w:rsid w:val="31973569"/>
    <w:rsid w:val="31975317"/>
    <w:rsid w:val="31992A4A"/>
    <w:rsid w:val="31A17F44"/>
    <w:rsid w:val="31A309E6"/>
    <w:rsid w:val="31A35A6A"/>
    <w:rsid w:val="31AD0696"/>
    <w:rsid w:val="31B561F8"/>
    <w:rsid w:val="31BB1E0C"/>
    <w:rsid w:val="31BF1CD3"/>
    <w:rsid w:val="31C1235B"/>
    <w:rsid w:val="31C854D0"/>
    <w:rsid w:val="31CD01BC"/>
    <w:rsid w:val="31E7048C"/>
    <w:rsid w:val="31E83DC4"/>
    <w:rsid w:val="31EB11BF"/>
    <w:rsid w:val="31ED4F37"/>
    <w:rsid w:val="31EF2C2D"/>
    <w:rsid w:val="31F462C5"/>
    <w:rsid w:val="31F60E1F"/>
    <w:rsid w:val="31F8639A"/>
    <w:rsid w:val="32002EBC"/>
    <w:rsid w:val="3203475A"/>
    <w:rsid w:val="32087FC3"/>
    <w:rsid w:val="32096215"/>
    <w:rsid w:val="321655E5"/>
    <w:rsid w:val="3216623C"/>
    <w:rsid w:val="321921D0"/>
    <w:rsid w:val="322070BA"/>
    <w:rsid w:val="322323EC"/>
    <w:rsid w:val="32241A96"/>
    <w:rsid w:val="32243910"/>
    <w:rsid w:val="322841C1"/>
    <w:rsid w:val="322A5784"/>
    <w:rsid w:val="32342B66"/>
    <w:rsid w:val="32430FFB"/>
    <w:rsid w:val="325706C5"/>
    <w:rsid w:val="325B6344"/>
    <w:rsid w:val="326E3016"/>
    <w:rsid w:val="326F1DF0"/>
    <w:rsid w:val="32717916"/>
    <w:rsid w:val="327318E0"/>
    <w:rsid w:val="32755658"/>
    <w:rsid w:val="32762368"/>
    <w:rsid w:val="327939E1"/>
    <w:rsid w:val="32794A1C"/>
    <w:rsid w:val="32805DAB"/>
    <w:rsid w:val="3281224F"/>
    <w:rsid w:val="32870EE7"/>
    <w:rsid w:val="328F5DAF"/>
    <w:rsid w:val="329655CE"/>
    <w:rsid w:val="329830F5"/>
    <w:rsid w:val="329A6E6D"/>
    <w:rsid w:val="32A93554"/>
    <w:rsid w:val="32AA29C1"/>
    <w:rsid w:val="32AE0307"/>
    <w:rsid w:val="32B05ACE"/>
    <w:rsid w:val="32B141B6"/>
    <w:rsid w:val="32B36180"/>
    <w:rsid w:val="32B902C1"/>
    <w:rsid w:val="32BD2B5B"/>
    <w:rsid w:val="32C02CCB"/>
    <w:rsid w:val="32C33691"/>
    <w:rsid w:val="32D0288E"/>
    <w:rsid w:val="32D124B1"/>
    <w:rsid w:val="32D479AD"/>
    <w:rsid w:val="32DA06A8"/>
    <w:rsid w:val="32DA156F"/>
    <w:rsid w:val="32E12CEE"/>
    <w:rsid w:val="32EE71B8"/>
    <w:rsid w:val="32F26CA9"/>
    <w:rsid w:val="32F81DE5"/>
    <w:rsid w:val="32F93160"/>
    <w:rsid w:val="32FA790B"/>
    <w:rsid w:val="3301513E"/>
    <w:rsid w:val="33072028"/>
    <w:rsid w:val="33105381"/>
    <w:rsid w:val="331210F9"/>
    <w:rsid w:val="331D184C"/>
    <w:rsid w:val="331F036E"/>
    <w:rsid w:val="3321133C"/>
    <w:rsid w:val="33282AD3"/>
    <w:rsid w:val="33294694"/>
    <w:rsid w:val="333170A5"/>
    <w:rsid w:val="33356269"/>
    <w:rsid w:val="33380434"/>
    <w:rsid w:val="333C7C44"/>
    <w:rsid w:val="333F54D6"/>
    <w:rsid w:val="33462B51"/>
    <w:rsid w:val="334929B8"/>
    <w:rsid w:val="334C648B"/>
    <w:rsid w:val="33506B81"/>
    <w:rsid w:val="33572FB0"/>
    <w:rsid w:val="33582884"/>
    <w:rsid w:val="335B678B"/>
    <w:rsid w:val="335E433E"/>
    <w:rsid w:val="3361798A"/>
    <w:rsid w:val="336456CD"/>
    <w:rsid w:val="336550C8"/>
    <w:rsid w:val="33684485"/>
    <w:rsid w:val="336B25B7"/>
    <w:rsid w:val="33745910"/>
    <w:rsid w:val="337B4EF0"/>
    <w:rsid w:val="337E22EA"/>
    <w:rsid w:val="3381002D"/>
    <w:rsid w:val="33884F17"/>
    <w:rsid w:val="339C4E66"/>
    <w:rsid w:val="33A03FFF"/>
    <w:rsid w:val="33A65CE5"/>
    <w:rsid w:val="33AF7717"/>
    <w:rsid w:val="33B45D0C"/>
    <w:rsid w:val="33BC72B7"/>
    <w:rsid w:val="33BE531D"/>
    <w:rsid w:val="33C10484"/>
    <w:rsid w:val="33C30645"/>
    <w:rsid w:val="33D75E9F"/>
    <w:rsid w:val="33D95773"/>
    <w:rsid w:val="33E04D53"/>
    <w:rsid w:val="33E04F92"/>
    <w:rsid w:val="33E759B9"/>
    <w:rsid w:val="33EA2CB1"/>
    <w:rsid w:val="33F22CD8"/>
    <w:rsid w:val="33F64577"/>
    <w:rsid w:val="33FE167D"/>
    <w:rsid w:val="340547BA"/>
    <w:rsid w:val="34120C85"/>
    <w:rsid w:val="341368AB"/>
    <w:rsid w:val="341921A1"/>
    <w:rsid w:val="341B222F"/>
    <w:rsid w:val="341B3FDD"/>
    <w:rsid w:val="341C4349"/>
    <w:rsid w:val="342235BE"/>
    <w:rsid w:val="342515D6"/>
    <w:rsid w:val="34263F8B"/>
    <w:rsid w:val="342E1F62"/>
    <w:rsid w:val="34367069"/>
    <w:rsid w:val="343969A2"/>
    <w:rsid w:val="343D03F7"/>
    <w:rsid w:val="344305FF"/>
    <w:rsid w:val="344F3C87"/>
    <w:rsid w:val="34515C51"/>
    <w:rsid w:val="34567DF2"/>
    <w:rsid w:val="345D2848"/>
    <w:rsid w:val="34605E94"/>
    <w:rsid w:val="34675474"/>
    <w:rsid w:val="346C4839"/>
    <w:rsid w:val="34767465"/>
    <w:rsid w:val="347B0F20"/>
    <w:rsid w:val="347D07F4"/>
    <w:rsid w:val="347D25A2"/>
    <w:rsid w:val="34800479"/>
    <w:rsid w:val="34825E0A"/>
    <w:rsid w:val="348516E5"/>
    <w:rsid w:val="348F49B4"/>
    <w:rsid w:val="349873DC"/>
    <w:rsid w:val="349A75F8"/>
    <w:rsid w:val="349E076A"/>
    <w:rsid w:val="34A044E2"/>
    <w:rsid w:val="34A74FD1"/>
    <w:rsid w:val="34B00BC9"/>
    <w:rsid w:val="34B65AB4"/>
    <w:rsid w:val="34BA1A48"/>
    <w:rsid w:val="34BA48A7"/>
    <w:rsid w:val="34BD5094"/>
    <w:rsid w:val="34C87EF9"/>
    <w:rsid w:val="34CC28BA"/>
    <w:rsid w:val="34D50630"/>
    <w:rsid w:val="34DB376C"/>
    <w:rsid w:val="34E02B31"/>
    <w:rsid w:val="34E16FD5"/>
    <w:rsid w:val="34E50F29"/>
    <w:rsid w:val="34E940DB"/>
    <w:rsid w:val="34E963C3"/>
    <w:rsid w:val="34F152D1"/>
    <w:rsid w:val="34F211E2"/>
    <w:rsid w:val="34F36D08"/>
    <w:rsid w:val="34F565DC"/>
    <w:rsid w:val="35040F15"/>
    <w:rsid w:val="35066A3B"/>
    <w:rsid w:val="350A0F23"/>
    <w:rsid w:val="350C1B78"/>
    <w:rsid w:val="351334AE"/>
    <w:rsid w:val="3518676F"/>
    <w:rsid w:val="351A4295"/>
    <w:rsid w:val="352670DE"/>
    <w:rsid w:val="35331C12"/>
    <w:rsid w:val="35365839"/>
    <w:rsid w:val="35494B7A"/>
    <w:rsid w:val="354B26A0"/>
    <w:rsid w:val="3550415A"/>
    <w:rsid w:val="35584717"/>
    <w:rsid w:val="355A6D87"/>
    <w:rsid w:val="355C2AFF"/>
    <w:rsid w:val="35612524"/>
    <w:rsid w:val="356A6E7A"/>
    <w:rsid w:val="356D523C"/>
    <w:rsid w:val="357317D4"/>
    <w:rsid w:val="35773495"/>
    <w:rsid w:val="357A2F85"/>
    <w:rsid w:val="358825FB"/>
    <w:rsid w:val="358838F4"/>
    <w:rsid w:val="35906305"/>
    <w:rsid w:val="35987BE1"/>
    <w:rsid w:val="359C2EFC"/>
    <w:rsid w:val="359E4EC6"/>
    <w:rsid w:val="35A836E8"/>
    <w:rsid w:val="35C83FD0"/>
    <w:rsid w:val="35C91817"/>
    <w:rsid w:val="35D00DF7"/>
    <w:rsid w:val="35D2691D"/>
    <w:rsid w:val="35D77831"/>
    <w:rsid w:val="35E13004"/>
    <w:rsid w:val="35E24AC3"/>
    <w:rsid w:val="35F20D6E"/>
    <w:rsid w:val="35F375EE"/>
    <w:rsid w:val="35F920FC"/>
    <w:rsid w:val="360311CD"/>
    <w:rsid w:val="36034D29"/>
    <w:rsid w:val="36062A6B"/>
    <w:rsid w:val="36074868"/>
    <w:rsid w:val="3608233F"/>
    <w:rsid w:val="360A60B7"/>
    <w:rsid w:val="36121410"/>
    <w:rsid w:val="36145188"/>
    <w:rsid w:val="3619454C"/>
    <w:rsid w:val="361A4557"/>
    <w:rsid w:val="361C228F"/>
    <w:rsid w:val="36226D73"/>
    <w:rsid w:val="36264817"/>
    <w:rsid w:val="36315D3A"/>
    <w:rsid w:val="363475D8"/>
    <w:rsid w:val="363772B5"/>
    <w:rsid w:val="364315C9"/>
    <w:rsid w:val="36454756"/>
    <w:rsid w:val="3647730B"/>
    <w:rsid w:val="36486BE0"/>
    <w:rsid w:val="364F4412"/>
    <w:rsid w:val="36525CB0"/>
    <w:rsid w:val="36565279"/>
    <w:rsid w:val="36636D76"/>
    <w:rsid w:val="36685055"/>
    <w:rsid w:val="366C0B20"/>
    <w:rsid w:val="366F4442"/>
    <w:rsid w:val="367A503A"/>
    <w:rsid w:val="367F4CF7"/>
    <w:rsid w:val="36835E6A"/>
    <w:rsid w:val="36875A4D"/>
    <w:rsid w:val="36914A2B"/>
    <w:rsid w:val="369260AD"/>
    <w:rsid w:val="36941E25"/>
    <w:rsid w:val="369938DF"/>
    <w:rsid w:val="36A209E6"/>
    <w:rsid w:val="36A4475E"/>
    <w:rsid w:val="36B349A1"/>
    <w:rsid w:val="36B66A51"/>
    <w:rsid w:val="36B81FB7"/>
    <w:rsid w:val="36C330CF"/>
    <w:rsid w:val="36C56482"/>
    <w:rsid w:val="36CA6C0A"/>
    <w:rsid w:val="36D50A58"/>
    <w:rsid w:val="36D861B6"/>
    <w:rsid w:val="36E20DE2"/>
    <w:rsid w:val="36EB6705"/>
    <w:rsid w:val="36F079A3"/>
    <w:rsid w:val="36F17277"/>
    <w:rsid w:val="36F3166E"/>
    <w:rsid w:val="36FB1EA4"/>
    <w:rsid w:val="37014B27"/>
    <w:rsid w:val="37052D23"/>
    <w:rsid w:val="37076A9B"/>
    <w:rsid w:val="370B18C5"/>
    <w:rsid w:val="370C1614"/>
    <w:rsid w:val="370F76FD"/>
    <w:rsid w:val="37104E51"/>
    <w:rsid w:val="37180CA8"/>
    <w:rsid w:val="371A057C"/>
    <w:rsid w:val="371B2546"/>
    <w:rsid w:val="37225683"/>
    <w:rsid w:val="37270EEB"/>
    <w:rsid w:val="37286254"/>
    <w:rsid w:val="373158C6"/>
    <w:rsid w:val="37357164"/>
    <w:rsid w:val="375A12C0"/>
    <w:rsid w:val="375A4E1C"/>
    <w:rsid w:val="375F68D7"/>
    <w:rsid w:val="375F7B52"/>
    <w:rsid w:val="37607F59"/>
    <w:rsid w:val="37621F23"/>
    <w:rsid w:val="37645C9B"/>
    <w:rsid w:val="37667C65"/>
    <w:rsid w:val="378E4AC6"/>
    <w:rsid w:val="37922808"/>
    <w:rsid w:val="37982F44"/>
    <w:rsid w:val="379D2F5B"/>
    <w:rsid w:val="37A46BC5"/>
    <w:rsid w:val="37A8202C"/>
    <w:rsid w:val="37B06454"/>
    <w:rsid w:val="37C04391"/>
    <w:rsid w:val="37C130EE"/>
    <w:rsid w:val="37C406D5"/>
    <w:rsid w:val="37C64260"/>
    <w:rsid w:val="37DC1CD5"/>
    <w:rsid w:val="37DD2351"/>
    <w:rsid w:val="37E172EC"/>
    <w:rsid w:val="37E961A0"/>
    <w:rsid w:val="37EA1B02"/>
    <w:rsid w:val="37EF3D65"/>
    <w:rsid w:val="37F60820"/>
    <w:rsid w:val="37F81662"/>
    <w:rsid w:val="37F963E3"/>
    <w:rsid w:val="37FE68D1"/>
    <w:rsid w:val="38000ECC"/>
    <w:rsid w:val="380A05F1"/>
    <w:rsid w:val="380C5011"/>
    <w:rsid w:val="38107BD1"/>
    <w:rsid w:val="381617E6"/>
    <w:rsid w:val="381C2140"/>
    <w:rsid w:val="381C6576"/>
    <w:rsid w:val="382F0057"/>
    <w:rsid w:val="383762EE"/>
    <w:rsid w:val="38415FDC"/>
    <w:rsid w:val="38481119"/>
    <w:rsid w:val="3851621F"/>
    <w:rsid w:val="38543F62"/>
    <w:rsid w:val="38612695"/>
    <w:rsid w:val="38624A88"/>
    <w:rsid w:val="386817BB"/>
    <w:rsid w:val="386F66A6"/>
    <w:rsid w:val="3872711A"/>
    <w:rsid w:val="38765C86"/>
    <w:rsid w:val="38883C0B"/>
    <w:rsid w:val="388A7983"/>
    <w:rsid w:val="388B2A90"/>
    <w:rsid w:val="38975BFC"/>
    <w:rsid w:val="389E342F"/>
    <w:rsid w:val="38A00F55"/>
    <w:rsid w:val="38A24D0B"/>
    <w:rsid w:val="38A253C1"/>
    <w:rsid w:val="38A50319"/>
    <w:rsid w:val="38AC5B4C"/>
    <w:rsid w:val="38AF1198"/>
    <w:rsid w:val="38B47F0D"/>
    <w:rsid w:val="38B90269"/>
    <w:rsid w:val="38B92017"/>
    <w:rsid w:val="38BD38B5"/>
    <w:rsid w:val="38BE3F56"/>
    <w:rsid w:val="38D26C34"/>
    <w:rsid w:val="38D8249D"/>
    <w:rsid w:val="38DD22F9"/>
    <w:rsid w:val="38E2156D"/>
    <w:rsid w:val="38E2331B"/>
    <w:rsid w:val="38E9210C"/>
    <w:rsid w:val="38EA241B"/>
    <w:rsid w:val="38EC5F48"/>
    <w:rsid w:val="38F4304F"/>
    <w:rsid w:val="38F65019"/>
    <w:rsid w:val="38FA4674"/>
    <w:rsid w:val="38FB2132"/>
    <w:rsid w:val="38FB43DD"/>
    <w:rsid w:val="38FD0C5E"/>
    <w:rsid w:val="3902751A"/>
    <w:rsid w:val="390A63CE"/>
    <w:rsid w:val="39102F16"/>
    <w:rsid w:val="39194863"/>
    <w:rsid w:val="391D4354"/>
    <w:rsid w:val="39243934"/>
    <w:rsid w:val="39276F80"/>
    <w:rsid w:val="392B74A9"/>
    <w:rsid w:val="392C27E9"/>
    <w:rsid w:val="392C4597"/>
    <w:rsid w:val="393002D4"/>
    <w:rsid w:val="39326ABB"/>
    <w:rsid w:val="39381813"/>
    <w:rsid w:val="394144E6"/>
    <w:rsid w:val="39495149"/>
    <w:rsid w:val="394E275F"/>
    <w:rsid w:val="395104A1"/>
    <w:rsid w:val="395A55A8"/>
    <w:rsid w:val="3960563A"/>
    <w:rsid w:val="3962620A"/>
    <w:rsid w:val="396C52DB"/>
    <w:rsid w:val="396E2E1E"/>
    <w:rsid w:val="396E4BAF"/>
    <w:rsid w:val="396F4183"/>
    <w:rsid w:val="3970467F"/>
    <w:rsid w:val="39736669"/>
    <w:rsid w:val="39754190"/>
    <w:rsid w:val="39755F3E"/>
    <w:rsid w:val="397A7F5A"/>
    <w:rsid w:val="398048E2"/>
    <w:rsid w:val="3982065B"/>
    <w:rsid w:val="39842625"/>
    <w:rsid w:val="39861EF9"/>
    <w:rsid w:val="398B750F"/>
    <w:rsid w:val="3995038E"/>
    <w:rsid w:val="399B34CA"/>
    <w:rsid w:val="399D5494"/>
    <w:rsid w:val="39A20CFD"/>
    <w:rsid w:val="39A8781A"/>
    <w:rsid w:val="39AF5291"/>
    <w:rsid w:val="39B12CEE"/>
    <w:rsid w:val="39C12F31"/>
    <w:rsid w:val="39CE38A0"/>
    <w:rsid w:val="39D709A6"/>
    <w:rsid w:val="39DB57EC"/>
    <w:rsid w:val="39E430C3"/>
    <w:rsid w:val="39F1151D"/>
    <w:rsid w:val="39F5350A"/>
    <w:rsid w:val="39F552D0"/>
    <w:rsid w:val="39F57D45"/>
    <w:rsid w:val="39FF4EB5"/>
    <w:rsid w:val="3A06128C"/>
    <w:rsid w:val="3A0D43C8"/>
    <w:rsid w:val="3A0D7B6D"/>
    <w:rsid w:val="3A0E1EEE"/>
    <w:rsid w:val="3A100F82"/>
    <w:rsid w:val="3A184B1B"/>
    <w:rsid w:val="3A192D6D"/>
    <w:rsid w:val="3A1F40FB"/>
    <w:rsid w:val="3A2406E3"/>
    <w:rsid w:val="3A26548A"/>
    <w:rsid w:val="3A2D4A6A"/>
    <w:rsid w:val="3A3A0F35"/>
    <w:rsid w:val="3A3B7187"/>
    <w:rsid w:val="3A454E26"/>
    <w:rsid w:val="3A4A561C"/>
    <w:rsid w:val="3A563FC1"/>
    <w:rsid w:val="3A5913BB"/>
    <w:rsid w:val="3A5D3468"/>
    <w:rsid w:val="3A6A3ABC"/>
    <w:rsid w:val="3A702146"/>
    <w:rsid w:val="3A766411"/>
    <w:rsid w:val="3A7B3A28"/>
    <w:rsid w:val="3A7D43E3"/>
    <w:rsid w:val="3A7E52C6"/>
    <w:rsid w:val="3A852A64"/>
    <w:rsid w:val="3A8C3766"/>
    <w:rsid w:val="3A935E76"/>
    <w:rsid w:val="3A962F76"/>
    <w:rsid w:val="3A971EE4"/>
    <w:rsid w:val="3A9C574C"/>
    <w:rsid w:val="3A9C62B1"/>
    <w:rsid w:val="3A9E7716"/>
    <w:rsid w:val="3AA27206"/>
    <w:rsid w:val="3AA65F6E"/>
    <w:rsid w:val="3AAA1C17"/>
    <w:rsid w:val="3AAC3BE1"/>
    <w:rsid w:val="3AAF722D"/>
    <w:rsid w:val="3AB87E59"/>
    <w:rsid w:val="3AC058DE"/>
    <w:rsid w:val="3AC151B3"/>
    <w:rsid w:val="3ACC6031"/>
    <w:rsid w:val="3AD138AD"/>
    <w:rsid w:val="3AD82C28"/>
    <w:rsid w:val="3ADE7B13"/>
    <w:rsid w:val="3AE570F3"/>
    <w:rsid w:val="3AEA003E"/>
    <w:rsid w:val="3AED7D56"/>
    <w:rsid w:val="3AF13CEA"/>
    <w:rsid w:val="3AF45588"/>
    <w:rsid w:val="3B027CA5"/>
    <w:rsid w:val="3B0C4680"/>
    <w:rsid w:val="3B0D796D"/>
    <w:rsid w:val="3B0E664A"/>
    <w:rsid w:val="3B103FAD"/>
    <w:rsid w:val="3B135A0E"/>
    <w:rsid w:val="3B141786"/>
    <w:rsid w:val="3B143534"/>
    <w:rsid w:val="3B250709"/>
    <w:rsid w:val="3B2E0A9A"/>
    <w:rsid w:val="3B381919"/>
    <w:rsid w:val="3B467D00"/>
    <w:rsid w:val="3B4A51A8"/>
    <w:rsid w:val="3B4C0F20"/>
    <w:rsid w:val="3B516536"/>
    <w:rsid w:val="3B5818F8"/>
    <w:rsid w:val="3B5A363D"/>
    <w:rsid w:val="3B5F6EA5"/>
    <w:rsid w:val="3B626996"/>
    <w:rsid w:val="3B653D90"/>
    <w:rsid w:val="3B660234"/>
    <w:rsid w:val="3B67527D"/>
    <w:rsid w:val="3B675D5A"/>
    <w:rsid w:val="3B7D557D"/>
    <w:rsid w:val="3B822B94"/>
    <w:rsid w:val="3B824942"/>
    <w:rsid w:val="3B842468"/>
    <w:rsid w:val="3B862684"/>
    <w:rsid w:val="3B8763FC"/>
    <w:rsid w:val="3B893F22"/>
    <w:rsid w:val="3B8C57C0"/>
    <w:rsid w:val="3B911029"/>
    <w:rsid w:val="3B932C3D"/>
    <w:rsid w:val="3B9847EB"/>
    <w:rsid w:val="3B9A1C8B"/>
    <w:rsid w:val="3B9D5C20"/>
    <w:rsid w:val="3BA1126C"/>
    <w:rsid w:val="3BA90768"/>
    <w:rsid w:val="3BB645EB"/>
    <w:rsid w:val="3BBB206F"/>
    <w:rsid w:val="3BBB7E54"/>
    <w:rsid w:val="3BBE6F96"/>
    <w:rsid w:val="3BC30935"/>
    <w:rsid w:val="3BC82C9D"/>
    <w:rsid w:val="3BCE5CD2"/>
    <w:rsid w:val="3BD11425"/>
    <w:rsid w:val="3BD57167"/>
    <w:rsid w:val="3BE15B0C"/>
    <w:rsid w:val="3BE23632"/>
    <w:rsid w:val="3BE5505D"/>
    <w:rsid w:val="3BE7171E"/>
    <w:rsid w:val="3BE850ED"/>
    <w:rsid w:val="3BF27D19"/>
    <w:rsid w:val="3C002E0E"/>
    <w:rsid w:val="3C004402"/>
    <w:rsid w:val="3C047A4D"/>
    <w:rsid w:val="3C065573"/>
    <w:rsid w:val="3C073099"/>
    <w:rsid w:val="3C0812EB"/>
    <w:rsid w:val="3C0B1E38"/>
    <w:rsid w:val="3C0D06AF"/>
    <w:rsid w:val="3C0E2679"/>
    <w:rsid w:val="3C125CC6"/>
    <w:rsid w:val="3C1934F8"/>
    <w:rsid w:val="3C1A7A54"/>
    <w:rsid w:val="3C1D466B"/>
    <w:rsid w:val="3C1E28BD"/>
    <w:rsid w:val="3C2123AD"/>
    <w:rsid w:val="3C237ED3"/>
    <w:rsid w:val="3C28373B"/>
    <w:rsid w:val="3C2854E9"/>
    <w:rsid w:val="3C3E4D0D"/>
    <w:rsid w:val="3C406CD7"/>
    <w:rsid w:val="3C4165AB"/>
    <w:rsid w:val="3C4340D1"/>
    <w:rsid w:val="3C465D40"/>
    <w:rsid w:val="3C561A2F"/>
    <w:rsid w:val="3C575DCE"/>
    <w:rsid w:val="3C5C1637"/>
    <w:rsid w:val="3C65673D"/>
    <w:rsid w:val="3C663C5F"/>
    <w:rsid w:val="3C6B3628"/>
    <w:rsid w:val="3C6B4604"/>
    <w:rsid w:val="3C6E1771"/>
    <w:rsid w:val="3C706E90"/>
    <w:rsid w:val="3C722C08"/>
    <w:rsid w:val="3C7B4229"/>
    <w:rsid w:val="3C7E15AD"/>
    <w:rsid w:val="3C857BDC"/>
    <w:rsid w:val="3C860462"/>
    <w:rsid w:val="3C862210"/>
    <w:rsid w:val="3C867C64"/>
    <w:rsid w:val="3C926E07"/>
    <w:rsid w:val="3C991F43"/>
    <w:rsid w:val="3C9A108D"/>
    <w:rsid w:val="3CA371C7"/>
    <w:rsid w:val="3CA37533"/>
    <w:rsid w:val="3CA408E8"/>
    <w:rsid w:val="3CAD59EE"/>
    <w:rsid w:val="3CAE215A"/>
    <w:rsid w:val="3CB7686D"/>
    <w:rsid w:val="3CBA4AA5"/>
    <w:rsid w:val="3CBE19AA"/>
    <w:rsid w:val="3CC03974"/>
    <w:rsid w:val="3CC72F54"/>
    <w:rsid w:val="3CD218F9"/>
    <w:rsid w:val="3CDD2566"/>
    <w:rsid w:val="3CE138EA"/>
    <w:rsid w:val="3CE348E4"/>
    <w:rsid w:val="3CEB7962"/>
    <w:rsid w:val="3CF6450E"/>
    <w:rsid w:val="3D031AB2"/>
    <w:rsid w:val="3D037D04"/>
    <w:rsid w:val="3D1141CF"/>
    <w:rsid w:val="3D1A3F03"/>
    <w:rsid w:val="3D1D0DC6"/>
    <w:rsid w:val="3D22462E"/>
    <w:rsid w:val="3D233F03"/>
    <w:rsid w:val="3D281519"/>
    <w:rsid w:val="3D283CBC"/>
    <w:rsid w:val="3D29758D"/>
    <w:rsid w:val="3D3A1978"/>
    <w:rsid w:val="3D3D3216"/>
    <w:rsid w:val="3D483969"/>
    <w:rsid w:val="3D5B18EE"/>
    <w:rsid w:val="3D5E78C3"/>
    <w:rsid w:val="3D674C57"/>
    <w:rsid w:val="3D6D517E"/>
    <w:rsid w:val="3D8F3346"/>
    <w:rsid w:val="3D8F3F73"/>
    <w:rsid w:val="3D962926"/>
    <w:rsid w:val="3D970380"/>
    <w:rsid w:val="3D9B7F3D"/>
    <w:rsid w:val="3DA11CBD"/>
    <w:rsid w:val="3DA23079"/>
    <w:rsid w:val="3DA81D23"/>
    <w:rsid w:val="3DA908AC"/>
    <w:rsid w:val="3DAB6821"/>
    <w:rsid w:val="3DAE1B4D"/>
    <w:rsid w:val="3DB72FC9"/>
    <w:rsid w:val="3DC2371B"/>
    <w:rsid w:val="3DC570B7"/>
    <w:rsid w:val="3DC94AAA"/>
    <w:rsid w:val="3DD671C7"/>
    <w:rsid w:val="3DDF7E2A"/>
    <w:rsid w:val="3DE25B6C"/>
    <w:rsid w:val="3DE6740A"/>
    <w:rsid w:val="3DE9514C"/>
    <w:rsid w:val="3DF53AF1"/>
    <w:rsid w:val="3DFA2EB5"/>
    <w:rsid w:val="3DFA4C63"/>
    <w:rsid w:val="3DFE52A5"/>
    <w:rsid w:val="3E015FF2"/>
    <w:rsid w:val="3E020ED0"/>
    <w:rsid w:val="3E056725"/>
    <w:rsid w:val="3E09294E"/>
    <w:rsid w:val="3E1109CA"/>
    <w:rsid w:val="3E1321C9"/>
    <w:rsid w:val="3E183F5A"/>
    <w:rsid w:val="3E243815"/>
    <w:rsid w:val="3E295549"/>
    <w:rsid w:val="3E2E604F"/>
    <w:rsid w:val="3E350391"/>
    <w:rsid w:val="3E3D7A44"/>
    <w:rsid w:val="3E44780A"/>
    <w:rsid w:val="3E4811F1"/>
    <w:rsid w:val="3E483C21"/>
    <w:rsid w:val="3E4968EB"/>
    <w:rsid w:val="3E4D7489"/>
    <w:rsid w:val="3E50443B"/>
    <w:rsid w:val="3E5A3954"/>
    <w:rsid w:val="3E5B4A96"/>
    <w:rsid w:val="3E5D7673"/>
    <w:rsid w:val="3E66054B"/>
    <w:rsid w:val="3E6F0A67"/>
    <w:rsid w:val="3E726EF0"/>
    <w:rsid w:val="3E734A16"/>
    <w:rsid w:val="3E7E3AE6"/>
    <w:rsid w:val="3E7E7A40"/>
    <w:rsid w:val="3E7F160D"/>
    <w:rsid w:val="3E81618E"/>
    <w:rsid w:val="3E834C59"/>
    <w:rsid w:val="3E8804C1"/>
    <w:rsid w:val="3E8A0FA4"/>
    <w:rsid w:val="3E90381A"/>
    <w:rsid w:val="3E9926CE"/>
    <w:rsid w:val="3E9C009F"/>
    <w:rsid w:val="3EA052B7"/>
    <w:rsid w:val="3EA370A9"/>
    <w:rsid w:val="3EB43064"/>
    <w:rsid w:val="3EB44211"/>
    <w:rsid w:val="3EB70DA6"/>
    <w:rsid w:val="3EBE6DCD"/>
    <w:rsid w:val="3EC46E04"/>
    <w:rsid w:val="3EC544F1"/>
    <w:rsid w:val="3ECE57CD"/>
    <w:rsid w:val="3ECE7C0D"/>
    <w:rsid w:val="3ED92ACB"/>
    <w:rsid w:val="3ED944FA"/>
    <w:rsid w:val="3EE6168C"/>
    <w:rsid w:val="3EE651E8"/>
    <w:rsid w:val="3EE70C9F"/>
    <w:rsid w:val="3EF51240"/>
    <w:rsid w:val="3EFE69D5"/>
    <w:rsid w:val="3F0062A9"/>
    <w:rsid w:val="3F073ADC"/>
    <w:rsid w:val="3F075CC4"/>
    <w:rsid w:val="3F0A649A"/>
    <w:rsid w:val="3F14754C"/>
    <w:rsid w:val="3F176456"/>
    <w:rsid w:val="3F177A97"/>
    <w:rsid w:val="3F185CE9"/>
    <w:rsid w:val="3F1C04F3"/>
    <w:rsid w:val="3F1E4982"/>
    <w:rsid w:val="3F2006FA"/>
    <w:rsid w:val="3F220916"/>
    <w:rsid w:val="3F264719"/>
    <w:rsid w:val="3F275F2C"/>
    <w:rsid w:val="3F276AC6"/>
    <w:rsid w:val="3F281CA4"/>
    <w:rsid w:val="3F2A77CA"/>
    <w:rsid w:val="3F2B6399"/>
    <w:rsid w:val="3F2D2E17"/>
    <w:rsid w:val="3F2F6B8F"/>
    <w:rsid w:val="3F2F702D"/>
    <w:rsid w:val="3F32667F"/>
    <w:rsid w:val="3F375A43"/>
    <w:rsid w:val="3F395C5F"/>
    <w:rsid w:val="3F3C12AC"/>
    <w:rsid w:val="3F492E6F"/>
    <w:rsid w:val="3F5900B0"/>
    <w:rsid w:val="3F5B3E28"/>
    <w:rsid w:val="3F5E1222"/>
    <w:rsid w:val="3F626F64"/>
    <w:rsid w:val="3F6525B0"/>
    <w:rsid w:val="3F710F55"/>
    <w:rsid w:val="3F724CCD"/>
    <w:rsid w:val="3F7942AE"/>
    <w:rsid w:val="3F850EA5"/>
    <w:rsid w:val="3F870779"/>
    <w:rsid w:val="3F8C3D33"/>
    <w:rsid w:val="3F975F98"/>
    <w:rsid w:val="3FA171C1"/>
    <w:rsid w:val="3FA532F5"/>
    <w:rsid w:val="3FA56E51"/>
    <w:rsid w:val="3FA70E1B"/>
    <w:rsid w:val="3FA87E8D"/>
    <w:rsid w:val="3FC76DC7"/>
    <w:rsid w:val="3FCB2D5B"/>
    <w:rsid w:val="3FDD0B17"/>
    <w:rsid w:val="3FED6C5E"/>
    <w:rsid w:val="3FF81676"/>
    <w:rsid w:val="3FFD0A3B"/>
    <w:rsid w:val="3FFD6C8D"/>
    <w:rsid w:val="3FFF1CCD"/>
    <w:rsid w:val="400D76D8"/>
    <w:rsid w:val="40112859"/>
    <w:rsid w:val="4012098A"/>
    <w:rsid w:val="401B7113"/>
    <w:rsid w:val="401E01D9"/>
    <w:rsid w:val="402266F3"/>
    <w:rsid w:val="4024246B"/>
    <w:rsid w:val="40363F4D"/>
    <w:rsid w:val="403925B8"/>
    <w:rsid w:val="403F1053"/>
    <w:rsid w:val="404605CF"/>
    <w:rsid w:val="404843AC"/>
    <w:rsid w:val="404937C3"/>
    <w:rsid w:val="40526FD9"/>
    <w:rsid w:val="40546462"/>
    <w:rsid w:val="405D597D"/>
    <w:rsid w:val="406E7A04"/>
    <w:rsid w:val="40703903"/>
    <w:rsid w:val="40730CFD"/>
    <w:rsid w:val="40736F4F"/>
    <w:rsid w:val="407A02DD"/>
    <w:rsid w:val="4091785C"/>
    <w:rsid w:val="409475F1"/>
    <w:rsid w:val="409D1225"/>
    <w:rsid w:val="40A35A86"/>
    <w:rsid w:val="40AF01C1"/>
    <w:rsid w:val="40B05AAD"/>
    <w:rsid w:val="40B557B9"/>
    <w:rsid w:val="40CD48B1"/>
    <w:rsid w:val="40D16D8B"/>
    <w:rsid w:val="40D479EE"/>
    <w:rsid w:val="40D95004"/>
    <w:rsid w:val="40DB5220"/>
    <w:rsid w:val="40E44F98"/>
    <w:rsid w:val="40EC0EA3"/>
    <w:rsid w:val="40F57562"/>
    <w:rsid w:val="40FB31F5"/>
    <w:rsid w:val="41067DC3"/>
    <w:rsid w:val="410A1661"/>
    <w:rsid w:val="41120516"/>
    <w:rsid w:val="41140732"/>
    <w:rsid w:val="41173D7E"/>
    <w:rsid w:val="41265D6F"/>
    <w:rsid w:val="41285F8B"/>
    <w:rsid w:val="412D35A2"/>
    <w:rsid w:val="41320C5C"/>
    <w:rsid w:val="41326E0A"/>
    <w:rsid w:val="413448B4"/>
    <w:rsid w:val="41344930"/>
    <w:rsid w:val="413A3770"/>
    <w:rsid w:val="413B68D4"/>
    <w:rsid w:val="413C37E5"/>
    <w:rsid w:val="413D1A37"/>
    <w:rsid w:val="413E41A3"/>
    <w:rsid w:val="41466412"/>
    <w:rsid w:val="415154E2"/>
    <w:rsid w:val="41517A02"/>
    <w:rsid w:val="41594397"/>
    <w:rsid w:val="41676AB4"/>
    <w:rsid w:val="4168454F"/>
    <w:rsid w:val="416C1102"/>
    <w:rsid w:val="416C231C"/>
    <w:rsid w:val="416E7E42"/>
    <w:rsid w:val="41791FEC"/>
    <w:rsid w:val="417B7A55"/>
    <w:rsid w:val="417C1E33"/>
    <w:rsid w:val="418A50C0"/>
    <w:rsid w:val="419453CF"/>
    <w:rsid w:val="419B49AF"/>
    <w:rsid w:val="419D4283"/>
    <w:rsid w:val="41A30C47"/>
    <w:rsid w:val="41AA074E"/>
    <w:rsid w:val="41AA2E44"/>
    <w:rsid w:val="41B2453B"/>
    <w:rsid w:val="41B415CD"/>
    <w:rsid w:val="41B45A71"/>
    <w:rsid w:val="41B937DE"/>
    <w:rsid w:val="41C061C4"/>
    <w:rsid w:val="41C062D8"/>
    <w:rsid w:val="41CB02C1"/>
    <w:rsid w:val="41CF41E8"/>
    <w:rsid w:val="41DC011D"/>
    <w:rsid w:val="41E719A3"/>
    <w:rsid w:val="41F12821"/>
    <w:rsid w:val="41FD4695"/>
    <w:rsid w:val="42067F1B"/>
    <w:rsid w:val="420F7212"/>
    <w:rsid w:val="42135A7B"/>
    <w:rsid w:val="421502BE"/>
    <w:rsid w:val="42273558"/>
    <w:rsid w:val="422F3D3C"/>
    <w:rsid w:val="42440BA3"/>
    <w:rsid w:val="424566C9"/>
    <w:rsid w:val="424741EF"/>
    <w:rsid w:val="424B2375"/>
    <w:rsid w:val="424C7A58"/>
    <w:rsid w:val="424D3136"/>
    <w:rsid w:val="424F77F4"/>
    <w:rsid w:val="42562684"/>
    <w:rsid w:val="425D1C65"/>
    <w:rsid w:val="42642FF3"/>
    <w:rsid w:val="426B4382"/>
    <w:rsid w:val="426C6036"/>
    <w:rsid w:val="42776622"/>
    <w:rsid w:val="427940C2"/>
    <w:rsid w:val="428B354E"/>
    <w:rsid w:val="428E5903"/>
    <w:rsid w:val="429127FB"/>
    <w:rsid w:val="42991F95"/>
    <w:rsid w:val="429B3C85"/>
    <w:rsid w:val="42A55D82"/>
    <w:rsid w:val="42A96C58"/>
    <w:rsid w:val="42B15B0D"/>
    <w:rsid w:val="42B20202"/>
    <w:rsid w:val="42C10446"/>
    <w:rsid w:val="42C35F6C"/>
    <w:rsid w:val="42D02437"/>
    <w:rsid w:val="42DC527F"/>
    <w:rsid w:val="42DE2DA6"/>
    <w:rsid w:val="42E3660E"/>
    <w:rsid w:val="42EA174A"/>
    <w:rsid w:val="42FC147E"/>
    <w:rsid w:val="42FE51F6"/>
    <w:rsid w:val="43014CE6"/>
    <w:rsid w:val="43095949"/>
    <w:rsid w:val="430B346F"/>
    <w:rsid w:val="430F2159"/>
    <w:rsid w:val="43100A85"/>
    <w:rsid w:val="43150FF8"/>
    <w:rsid w:val="432664FB"/>
    <w:rsid w:val="43266633"/>
    <w:rsid w:val="432835F9"/>
    <w:rsid w:val="432A5FEB"/>
    <w:rsid w:val="43302ED5"/>
    <w:rsid w:val="43371E54"/>
    <w:rsid w:val="433E1A96"/>
    <w:rsid w:val="434A21E9"/>
    <w:rsid w:val="434D6E53"/>
    <w:rsid w:val="434F2450"/>
    <w:rsid w:val="435A033A"/>
    <w:rsid w:val="43635059"/>
    <w:rsid w:val="4366315A"/>
    <w:rsid w:val="436F550E"/>
    <w:rsid w:val="43707776"/>
    <w:rsid w:val="43730F1B"/>
    <w:rsid w:val="43754D8C"/>
    <w:rsid w:val="43805C0B"/>
    <w:rsid w:val="43806636"/>
    <w:rsid w:val="438A6A89"/>
    <w:rsid w:val="438D657A"/>
    <w:rsid w:val="439D2871"/>
    <w:rsid w:val="439D67BD"/>
    <w:rsid w:val="43A63197"/>
    <w:rsid w:val="43A833B4"/>
    <w:rsid w:val="43AC4C52"/>
    <w:rsid w:val="43B21C1C"/>
    <w:rsid w:val="43B35E9F"/>
    <w:rsid w:val="43B6162D"/>
    <w:rsid w:val="43B908FD"/>
    <w:rsid w:val="43C006FD"/>
    <w:rsid w:val="43C058D0"/>
    <w:rsid w:val="43C7383A"/>
    <w:rsid w:val="43CE1D9C"/>
    <w:rsid w:val="43CE3691"/>
    <w:rsid w:val="43CF0940"/>
    <w:rsid w:val="43DB72E5"/>
    <w:rsid w:val="43E02704"/>
    <w:rsid w:val="43E4263E"/>
    <w:rsid w:val="43E62A51"/>
    <w:rsid w:val="43E837B0"/>
    <w:rsid w:val="43EE526A"/>
    <w:rsid w:val="440305EA"/>
    <w:rsid w:val="44030A1A"/>
    <w:rsid w:val="44191BBB"/>
    <w:rsid w:val="441D5B50"/>
    <w:rsid w:val="44250560"/>
    <w:rsid w:val="442A3DC9"/>
    <w:rsid w:val="443561AE"/>
    <w:rsid w:val="443F5AC6"/>
    <w:rsid w:val="444020F3"/>
    <w:rsid w:val="444255B6"/>
    <w:rsid w:val="444924A1"/>
    <w:rsid w:val="4449710E"/>
    <w:rsid w:val="444A6219"/>
    <w:rsid w:val="445350CD"/>
    <w:rsid w:val="44564BBE"/>
    <w:rsid w:val="4456696C"/>
    <w:rsid w:val="445F3A72"/>
    <w:rsid w:val="44615A3C"/>
    <w:rsid w:val="446217B4"/>
    <w:rsid w:val="44692B43"/>
    <w:rsid w:val="446948F1"/>
    <w:rsid w:val="446B0669"/>
    <w:rsid w:val="447137A5"/>
    <w:rsid w:val="447339C1"/>
    <w:rsid w:val="44780FD8"/>
    <w:rsid w:val="4478334A"/>
    <w:rsid w:val="44785A77"/>
    <w:rsid w:val="447F4114"/>
    <w:rsid w:val="448434D9"/>
    <w:rsid w:val="44870FFE"/>
    <w:rsid w:val="4487121B"/>
    <w:rsid w:val="449556E6"/>
    <w:rsid w:val="449A0F4E"/>
    <w:rsid w:val="449B0822"/>
    <w:rsid w:val="449C4978"/>
    <w:rsid w:val="44B10046"/>
    <w:rsid w:val="44B85878"/>
    <w:rsid w:val="44C10289"/>
    <w:rsid w:val="44C366CD"/>
    <w:rsid w:val="44C90306"/>
    <w:rsid w:val="44D53D34"/>
    <w:rsid w:val="44DC3315"/>
    <w:rsid w:val="44E1092B"/>
    <w:rsid w:val="44E346A3"/>
    <w:rsid w:val="44EE129A"/>
    <w:rsid w:val="44F93EC7"/>
    <w:rsid w:val="45110B6F"/>
    <w:rsid w:val="45126D36"/>
    <w:rsid w:val="45181E73"/>
    <w:rsid w:val="451D704F"/>
    <w:rsid w:val="45294080"/>
    <w:rsid w:val="452D1DC2"/>
    <w:rsid w:val="45513D03"/>
    <w:rsid w:val="455410FD"/>
    <w:rsid w:val="455671E0"/>
    <w:rsid w:val="4557299B"/>
    <w:rsid w:val="455E1F7C"/>
    <w:rsid w:val="456E7B7F"/>
    <w:rsid w:val="4574354D"/>
    <w:rsid w:val="4577128F"/>
    <w:rsid w:val="457E43CC"/>
    <w:rsid w:val="45837C34"/>
    <w:rsid w:val="458529A2"/>
    <w:rsid w:val="458A0FC3"/>
    <w:rsid w:val="458F6464"/>
    <w:rsid w:val="45A55DFD"/>
    <w:rsid w:val="45A65905"/>
    <w:rsid w:val="45A73923"/>
    <w:rsid w:val="45AA51C1"/>
    <w:rsid w:val="45AB5629"/>
    <w:rsid w:val="45AF27D7"/>
    <w:rsid w:val="45B47DEE"/>
    <w:rsid w:val="45B765BF"/>
    <w:rsid w:val="45B85B30"/>
    <w:rsid w:val="45BE2A1A"/>
    <w:rsid w:val="45CD7101"/>
    <w:rsid w:val="45D40490"/>
    <w:rsid w:val="45D73ADC"/>
    <w:rsid w:val="45D93CF8"/>
    <w:rsid w:val="45DF26BA"/>
    <w:rsid w:val="45E2495B"/>
    <w:rsid w:val="45E62938"/>
    <w:rsid w:val="45E701C3"/>
    <w:rsid w:val="45E71F71"/>
    <w:rsid w:val="45E85CE9"/>
    <w:rsid w:val="45ED3300"/>
    <w:rsid w:val="45EE77A4"/>
    <w:rsid w:val="45FB77CB"/>
    <w:rsid w:val="46040D75"/>
    <w:rsid w:val="461D777A"/>
    <w:rsid w:val="461F36AB"/>
    <w:rsid w:val="46204886"/>
    <w:rsid w:val="46205483"/>
    <w:rsid w:val="462140AB"/>
    <w:rsid w:val="4624159C"/>
    <w:rsid w:val="462C7812"/>
    <w:rsid w:val="462E7BA0"/>
    <w:rsid w:val="46314C93"/>
    <w:rsid w:val="463F7FFF"/>
    <w:rsid w:val="46405B25"/>
    <w:rsid w:val="464B0ECD"/>
    <w:rsid w:val="464C0026"/>
    <w:rsid w:val="46560EA5"/>
    <w:rsid w:val="465D2233"/>
    <w:rsid w:val="465D66D7"/>
    <w:rsid w:val="4660622F"/>
    <w:rsid w:val="46715CDF"/>
    <w:rsid w:val="4678706D"/>
    <w:rsid w:val="4686357E"/>
    <w:rsid w:val="468C4D43"/>
    <w:rsid w:val="468F446C"/>
    <w:rsid w:val="46956108"/>
    <w:rsid w:val="469C1EF7"/>
    <w:rsid w:val="469F284C"/>
    <w:rsid w:val="46A169D1"/>
    <w:rsid w:val="46A55988"/>
    <w:rsid w:val="46AB382E"/>
    <w:rsid w:val="46AE0CE1"/>
    <w:rsid w:val="46B02CAB"/>
    <w:rsid w:val="46B11CD5"/>
    <w:rsid w:val="46B213EB"/>
    <w:rsid w:val="46B219B1"/>
    <w:rsid w:val="46B300A5"/>
    <w:rsid w:val="46B56CE2"/>
    <w:rsid w:val="46BA7686"/>
    <w:rsid w:val="46BC1650"/>
    <w:rsid w:val="46C40504"/>
    <w:rsid w:val="46C93D6D"/>
    <w:rsid w:val="46CD3E5D"/>
    <w:rsid w:val="46CE3131"/>
    <w:rsid w:val="46D36999"/>
    <w:rsid w:val="46E110B6"/>
    <w:rsid w:val="46E45B07"/>
    <w:rsid w:val="46E46CF4"/>
    <w:rsid w:val="46E5200E"/>
    <w:rsid w:val="46E76ED6"/>
    <w:rsid w:val="46F30DEA"/>
    <w:rsid w:val="46F96400"/>
    <w:rsid w:val="46FD7572"/>
    <w:rsid w:val="47007645"/>
    <w:rsid w:val="470152B5"/>
    <w:rsid w:val="47022DDB"/>
    <w:rsid w:val="470D3C59"/>
    <w:rsid w:val="47135006"/>
    <w:rsid w:val="47170634"/>
    <w:rsid w:val="47176886"/>
    <w:rsid w:val="471E7C15"/>
    <w:rsid w:val="472114B3"/>
    <w:rsid w:val="4729480B"/>
    <w:rsid w:val="472E3BD0"/>
    <w:rsid w:val="47332D0D"/>
    <w:rsid w:val="473965AC"/>
    <w:rsid w:val="473A4323"/>
    <w:rsid w:val="473C62ED"/>
    <w:rsid w:val="47413903"/>
    <w:rsid w:val="47451645"/>
    <w:rsid w:val="47484C91"/>
    <w:rsid w:val="47486A40"/>
    <w:rsid w:val="474D609A"/>
    <w:rsid w:val="475310A4"/>
    <w:rsid w:val="47571378"/>
    <w:rsid w:val="475A49C5"/>
    <w:rsid w:val="475C24EB"/>
    <w:rsid w:val="47617B01"/>
    <w:rsid w:val="47655843"/>
    <w:rsid w:val="477F61D9"/>
    <w:rsid w:val="4783216D"/>
    <w:rsid w:val="478C7274"/>
    <w:rsid w:val="47941C85"/>
    <w:rsid w:val="479B1265"/>
    <w:rsid w:val="47A04ACD"/>
    <w:rsid w:val="47A53E92"/>
    <w:rsid w:val="47A619B8"/>
    <w:rsid w:val="47B1557B"/>
    <w:rsid w:val="47B440D5"/>
    <w:rsid w:val="47C84024"/>
    <w:rsid w:val="47C87B80"/>
    <w:rsid w:val="47CF53B3"/>
    <w:rsid w:val="47D77DC3"/>
    <w:rsid w:val="47D957D9"/>
    <w:rsid w:val="47DB78B4"/>
    <w:rsid w:val="47DD2AE2"/>
    <w:rsid w:val="47E86474"/>
    <w:rsid w:val="47F15329"/>
    <w:rsid w:val="47F941DE"/>
    <w:rsid w:val="48084421"/>
    <w:rsid w:val="481D7ECC"/>
    <w:rsid w:val="48205C0E"/>
    <w:rsid w:val="48275E38"/>
    <w:rsid w:val="482D3E87"/>
    <w:rsid w:val="48396CD0"/>
    <w:rsid w:val="48593CB8"/>
    <w:rsid w:val="485B09F4"/>
    <w:rsid w:val="48691363"/>
    <w:rsid w:val="48695BB6"/>
    <w:rsid w:val="486E3CC0"/>
    <w:rsid w:val="48704B63"/>
    <w:rsid w:val="48741AB6"/>
    <w:rsid w:val="48783354"/>
    <w:rsid w:val="487B1097"/>
    <w:rsid w:val="488066AD"/>
    <w:rsid w:val="488132AE"/>
    <w:rsid w:val="4887756F"/>
    <w:rsid w:val="489511B7"/>
    <w:rsid w:val="48967C7F"/>
    <w:rsid w:val="489D100D"/>
    <w:rsid w:val="48A31080"/>
    <w:rsid w:val="48A73C3A"/>
    <w:rsid w:val="48A95C04"/>
    <w:rsid w:val="48B12D0A"/>
    <w:rsid w:val="48B325DE"/>
    <w:rsid w:val="48B3438D"/>
    <w:rsid w:val="48B56357"/>
    <w:rsid w:val="48C72974"/>
    <w:rsid w:val="48C87DC6"/>
    <w:rsid w:val="48CB3DCC"/>
    <w:rsid w:val="48CC52C9"/>
    <w:rsid w:val="48D22655"/>
    <w:rsid w:val="48D507A7"/>
    <w:rsid w:val="48E179B5"/>
    <w:rsid w:val="48EC3D42"/>
    <w:rsid w:val="48ED5C27"/>
    <w:rsid w:val="48EE1869"/>
    <w:rsid w:val="48F0064E"/>
    <w:rsid w:val="48F50E49"/>
    <w:rsid w:val="48FD1AAC"/>
    <w:rsid w:val="48FF5824"/>
    <w:rsid w:val="49025314"/>
    <w:rsid w:val="491312CF"/>
    <w:rsid w:val="49153B3D"/>
    <w:rsid w:val="49155F87"/>
    <w:rsid w:val="491C63D6"/>
    <w:rsid w:val="491D3EFC"/>
    <w:rsid w:val="49211C3E"/>
    <w:rsid w:val="49213B85"/>
    <w:rsid w:val="49261002"/>
    <w:rsid w:val="49262DB0"/>
    <w:rsid w:val="493B29F8"/>
    <w:rsid w:val="493B7D34"/>
    <w:rsid w:val="493C4382"/>
    <w:rsid w:val="49431BB4"/>
    <w:rsid w:val="49492F43"/>
    <w:rsid w:val="49493E2D"/>
    <w:rsid w:val="49543DC1"/>
    <w:rsid w:val="49575660"/>
    <w:rsid w:val="49627B61"/>
    <w:rsid w:val="49635DB3"/>
    <w:rsid w:val="49663AF5"/>
    <w:rsid w:val="496930A0"/>
    <w:rsid w:val="4970227E"/>
    <w:rsid w:val="49753D38"/>
    <w:rsid w:val="49776998"/>
    <w:rsid w:val="49804BB7"/>
    <w:rsid w:val="498521CD"/>
    <w:rsid w:val="49891591"/>
    <w:rsid w:val="498941CE"/>
    <w:rsid w:val="49900B72"/>
    <w:rsid w:val="49902920"/>
    <w:rsid w:val="49983D15"/>
    <w:rsid w:val="49986FEF"/>
    <w:rsid w:val="499B66D1"/>
    <w:rsid w:val="49A602B1"/>
    <w:rsid w:val="49A60395"/>
    <w:rsid w:val="49A62143"/>
    <w:rsid w:val="49AD1A74"/>
    <w:rsid w:val="49AD7151"/>
    <w:rsid w:val="49AF724A"/>
    <w:rsid w:val="49B26D3A"/>
    <w:rsid w:val="49B669D0"/>
    <w:rsid w:val="49B900C8"/>
    <w:rsid w:val="49BB5BEF"/>
    <w:rsid w:val="49BC54C3"/>
    <w:rsid w:val="49C16F7D"/>
    <w:rsid w:val="49C27BC8"/>
    <w:rsid w:val="49C528B7"/>
    <w:rsid w:val="49D56585"/>
    <w:rsid w:val="49D62A28"/>
    <w:rsid w:val="49EE2079"/>
    <w:rsid w:val="49EE3C02"/>
    <w:rsid w:val="49F44C5D"/>
    <w:rsid w:val="49F7474D"/>
    <w:rsid w:val="49FE3D2D"/>
    <w:rsid w:val="49FE7E9D"/>
    <w:rsid w:val="4A007AA5"/>
    <w:rsid w:val="4A051A53"/>
    <w:rsid w:val="4A0A26D2"/>
    <w:rsid w:val="4A0D3F70"/>
    <w:rsid w:val="4A164F1E"/>
    <w:rsid w:val="4A1777A5"/>
    <w:rsid w:val="4A1E7312"/>
    <w:rsid w:val="4A411F8A"/>
    <w:rsid w:val="4A484FA8"/>
    <w:rsid w:val="4A4D20C8"/>
    <w:rsid w:val="4A4D7683"/>
    <w:rsid w:val="4A4F27DB"/>
    <w:rsid w:val="4A4F6337"/>
    <w:rsid w:val="4A510301"/>
    <w:rsid w:val="4A5120AF"/>
    <w:rsid w:val="4A563B69"/>
    <w:rsid w:val="4A58343D"/>
    <w:rsid w:val="4A590F64"/>
    <w:rsid w:val="4A595408"/>
    <w:rsid w:val="4A6022F2"/>
    <w:rsid w:val="4A677B24"/>
    <w:rsid w:val="4A6A13C3"/>
    <w:rsid w:val="4A6A3171"/>
    <w:rsid w:val="4A78588E"/>
    <w:rsid w:val="4A8C178D"/>
    <w:rsid w:val="4A954692"/>
    <w:rsid w:val="4A957EA7"/>
    <w:rsid w:val="4A987CDE"/>
    <w:rsid w:val="4A9B157C"/>
    <w:rsid w:val="4AA743C5"/>
    <w:rsid w:val="4AA77F21"/>
    <w:rsid w:val="4AAC469A"/>
    <w:rsid w:val="4AAE0207"/>
    <w:rsid w:val="4AB50890"/>
    <w:rsid w:val="4ACE54AE"/>
    <w:rsid w:val="4AD30D16"/>
    <w:rsid w:val="4AD36F68"/>
    <w:rsid w:val="4AD4683C"/>
    <w:rsid w:val="4ADA6548"/>
    <w:rsid w:val="4ADB5E1D"/>
    <w:rsid w:val="4AE253FD"/>
    <w:rsid w:val="4AE66C9B"/>
    <w:rsid w:val="4AE83105"/>
    <w:rsid w:val="4AE922E8"/>
    <w:rsid w:val="4AEC002A"/>
    <w:rsid w:val="4AEC627C"/>
    <w:rsid w:val="4AEE3DA2"/>
    <w:rsid w:val="4B005883"/>
    <w:rsid w:val="4B0210D9"/>
    <w:rsid w:val="4B03697B"/>
    <w:rsid w:val="4B0A0398"/>
    <w:rsid w:val="4B0D55E9"/>
    <w:rsid w:val="4B1120E0"/>
    <w:rsid w:val="4B112A5C"/>
    <w:rsid w:val="4B1650A7"/>
    <w:rsid w:val="4B1D01E3"/>
    <w:rsid w:val="4B1F03FF"/>
    <w:rsid w:val="4B245A16"/>
    <w:rsid w:val="4B26639E"/>
    <w:rsid w:val="4B3223A6"/>
    <w:rsid w:val="4B337A07"/>
    <w:rsid w:val="4B3C2D5F"/>
    <w:rsid w:val="4B4439C2"/>
    <w:rsid w:val="4B4B6FF5"/>
    <w:rsid w:val="4B4D4416"/>
    <w:rsid w:val="4B6202EC"/>
    <w:rsid w:val="4B644264"/>
    <w:rsid w:val="4B6B53F2"/>
    <w:rsid w:val="4B716A27"/>
    <w:rsid w:val="4B72052F"/>
    <w:rsid w:val="4B747624"/>
    <w:rsid w:val="4B83098E"/>
    <w:rsid w:val="4B8B15F1"/>
    <w:rsid w:val="4B9009B5"/>
    <w:rsid w:val="4BA40904"/>
    <w:rsid w:val="4BA426B2"/>
    <w:rsid w:val="4BA97D25"/>
    <w:rsid w:val="4BAB3A41"/>
    <w:rsid w:val="4BAD77B9"/>
    <w:rsid w:val="4BB74194"/>
    <w:rsid w:val="4BC15012"/>
    <w:rsid w:val="4BC36FDC"/>
    <w:rsid w:val="4BC62629"/>
    <w:rsid w:val="4BC82908"/>
    <w:rsid w:val="4BCF3BD3"/>
    <w:rsid w:val="4BD317B2"/>
    <w:rsid w:val="4BF70A34"/>
    <w:rsid w:val="4BF947AC"/>
    <w:rsid w:val="4BFE6267"/>
    <w:rsid w:val="4C011C05"/>
    <w:rsid w:val="4C013661"/>
    <w:rsid w:val="4C0C6E6A"/>
    <w:rsid w:val="4C0F5D7E"/>
    <w:rsid w:val="4C126492"/>
    <w:rsid w:val="4C1415E6"/>
    <w:rsid w:val="4C147838"/>
    <w:rsid w:val="4C181799"/>
    <w:rsid w:val="4C1E0043"/>
    <w:rsid w:val="4C1F5F28"/>
    <w:rsid w:val="4C213D03"/>
    <w:rsid w:val="4C263D61"/>
    <w:rsid w:val="4C26756B"/>
    <w:rsid w:val="4C286E44"/>
    <w:rsid w:val="4C2D08FA"/>
    <w:rsid w:val="4C2E0385"/>
    <w:rsid w:val="4C2F185F"/>
    <w:rsid w:val="4C3E6663"/>
    <w:rsid w:val="4C4023DB"/>
    <w:rsid w:val="4C430199"/>
    <w:rsid w:val="4C455DA5"/>
    <w:rsid w:val="4C585052"/>
    <w:rsid w:val="4C602A7D"/>
    <w:rsid w:val="4C65708E"/>
    <w:rsid w:val="4C6F4A6E"/>
    <w:rsid w:val="4C73584B"/>
    <w:rsid w:val="4C7402D7"/>
    <w:rsid w:val="4C742419"/>
    <w:rsid w:val="4C7434D7"/>
    <w:rsid w:val="4C7622A1"/>
    <w:rsid w:val="4C7D477D"/>
    <w:rsid w:val="4C7E73A7"/>
    <w:rsid w:val="4C8229F4"/>
    <w:rsid w:val="4C91638B"/>
    <w:rsid w:val="4C961625"/>
    <w:rsid w:val="4C983FC5"/>
    <w:rsid w:val="4C9A68E4"/>
    <w:rsid w:val="4C9E7102"/>
    <w:rsid w:val="4CA566E2"/>
    <w:rsid w:val="4CAA1F4A"/>
    <w:rsid w:val="4CBB224D"/>
    <w:rsid w:val="4CC56D84"/>
    <w:rsid w:val="4CD34FFD"/>
    <w:rsid w:val="4CD46FC7"/>
    <w:rsid w:val="4CE865CF"/>
    <w:rsid w:val="4CE94821"/>
    <w:rsid w:val="4CEC2563"/>
    <w:rsid w:val="4CF3569F"/>
    <w:rsid w:val="4CF936CC"/>
    <w:rsid w:val="4CFB4554"/>
    <w:rsid w:val="4CFB6302"/>
    <w:rsid w:val="4CFD5D25"/>
    <w:rsid w:val="4D0A29E9"/>
    <w:rsid w:val="4D0F6F83"/>
    <w:rsid w:val="4D40640B"/>
    <w:rsid w:val="4D41465D"/>
    <w:rsid w:val="4D4759EB"/>
    <w:rsid w:val="4D5123C6"/>
    <w:rsid w:val="4D53613E"/>
    <w:rsid w:val="4D5D3C89"/>
    <w:rsid w:val="4D64034B"/>
    <w:rsid w:val="4D6807A3"/>
    <w:rsid w:val="4D6B1638"/>
    <w:rsid w:val="4D6D4EF7"/>
    <w:rsid w:val="4D6E2F78"/>
    <w:rsid w:val="4D6E5660"/>
    <w:rsid w:val="4D73058E"/>
    <w:rsid w:val="4D747E13"/>
    <w:rsid w:val="4D7E0A21"/>
    <w:rsid w:val="4D8067BB"/>
    <w:rsid w:val="4D896004"/>
    <w:rsid w:val="4D930C30"/>
    <w:rsid w:val="4D9421C3"/>
    <w:rsid w:val="4D9724CF"/>
    <w:rsid w:val="4DA10E76"/>
    <w:rsid w:val="4DA30E74"/>
    <w:rsid w:val="4DA42E3E"/>
    <w:rsid w:val="4DA87C91"/>
    <w:rsid w:val="4DB017E2"/>
    <w:rsid w:val="4DB34E2F"/>
    <w:rsid w:val="4DB86EE9"/>
    <w:rsid w:val="4DB90697"/>
    <w:rsid w:val="4DD454D1"/>
    <w:rsid w:val="4DDC25D7"/>
    <w:rsid w:val="4DE4323A"/>
    <w:rsid w:val="4DEC4934"/>
    <w:rsid w:val="4DF06079"/>
    <w:rsid w:val="4E086F29"/>
    <w:rsid w:val="4E092CA1"/>
    <w:rsid w:val="4E0F02B7"/>
    <w:rsid w:val="4E11618F"/>
    <w:rsid w:val="4E121B55"/>
    <w:rsid w:val="4E191136"/>
    <w:rsid w:val="4E1A47DE"/>
    <w:rsid w:val="4E1C0C26"/>
    <w:rsid w:val="4E1D47A9"/>
    <w:rsid w:val="4E3917D8"/>
    <w:rsid w:val="4E3B5550"/>
    <w:rsid w:val="4E434405"/>
    <w:rsid w:val="4E4837C9"/>
    <w:rsid w:val="4E4F34B7"/>
    <w:rsid w:val="4E524648"/>
    <w:rsid w:val="4E555EE6"/>
    <w:rsid w:val="4E593C28"/>
    <w:rsid w:val="4E5C7274"/>
    <w:rsid w:val="4E5E4D9B"/>
    <w:rsid w:val="4E606D65"/>
    <w:rsid w:val="4E687D4E"/>
    <w:rsid w:val="4E6A1991"/>
    <w:rsid w:val="4E6B74B7"/>
    <w:rsid w:val="4E701E39"/>
    <w:rsid w:val="4E740A62"/>
    <w:rsid w:val="4E742810"/>
    <w:rsid w:val="4E8011B5"/>
    <w:rsid w:val="4E9E5ADF"/>
    <w:rsid w:val="4EA74993"/>
    <w:rsid w:val="4EA86364"/>
    <w:rsid w:val="4EB66461"/>
    <w:rsid w:val="4EB96475"/>
    <w:rsid w:val="4EBA2D91"/>
    <w:rsid w:val="4EBB3F9B"/>
    <w:rsid w:val="4EC24E6D"/>
    <w:rsid w:val="4EC512BE"/>
    <w:rsid w:val="4EC8490A"/>
    <w:rsid w:val="4ECF0930"/>
    <w:rsid w:val="4ED41501"/>
    <w:rsid w:val="4ED51B1C"/>
    <w:rsid w:val="4ED65279"/>
    <w:rsid w:val="4ED908C5"/>
    <w:rsid w:val="4EDD03B5"/>
    <w:rsid w:val="4EE71C25"/>
    <w:rsid w:val="4EEC23A6"/>
    <w:rsid w:val="4EEF3A26"/>
    <w:rsid w:val="4EF120B3"/>
    <w:rsid w:val="4EF15C0F"/>
    <w:rsid w:val="4EF33EF0"/>
    <w:rsid w:val="4EFB6A8D"/>
    <w:rsid w:val="4EFF3268"/>
    <w:rsid w:val="4F0A6CD0"/>
    <w:rsid w:val="4F1163D7"/>
    <w:rsid w:val="4F177C39"/>
    <w:rsid w:val="4F1D4C56"/>
    <w:rsid w:val="4F2225E9"/>
    <w:rsid w:val="4F286CEC"/>
    <w:rsid w:val="4F2935FA"/>
    <w:rsid w:val="4F343D4D"/>
    <w:rsid w:val="4F3501F1"/>
    <w:rsid w:val="4F3D2C02"/>
    <w:rsid w:val="4F3E6201"/>
    <w:rsid w:val="4F3E697A"/>
    <w:rsid w:val="4F520BAF"/>
    <w:rsid w:val="4F552641"/>
    <w:rsid w:val="4F5543EF"/>
    <w:rsid w:val="4F560168"/>
    <w:rsid w:val="4F5604D8"/>
    <w:rsid w:val="4F5D32A4"/>
    <w:rsid w:val="4F5E26CB"/>
    <w:rsid w:val="4F6B3C13"/>
    <w:rsid w:val="4F6B59C1"/>
    <w:rsid w:val="4F6F4D85"/>
    <w:rsid w:val="4F710AFD"/>
    <w:rsid w:val="4F766114"/>
    <w:rsid w:val="4F79281D"/>
    <w:rsid w:val="4F79544D"/>
    <w:rsid w:val="4F7D1B1A"/>
    <w:rsid w:val="4F8143C9"/>
    <w:rsid w:val="4F824AB9"/>
    <w:rsid w:val="4F860A4D"/>
    <w:rsid w:val="4F8B6063"/>
    <w:rsid w:val="4F8C5937"/>
    <w:rsid w:val="4F8E75F4"/>
    <w:rsid w:val="4F8F7D9A"/>
    <w:rsid w:val="4F9071D6"/>
    <w:rsid w:val="4F9860D3"/>
    <w:rsid w:val="4F9F4AC8"/>
    <w:rsid w:val="4FAB19F7"/>
    <w:rsid w:val="4FB12D0A"/>
    <w:rsid w:val="4FB21842"/>
    <w:rsid w:val="4FB70C06"/>
    <w:rsid w:val="4FBA22D4"/>
    <w:rsid w:val="4FC21359"/>
    <w:rsid w:val="4FCB17F0"/>
    <w:rsid w:val="4FD51FF0"/>
    <w:rsid w:val="4FD62CD7"/>
    <w:rsid w:val="4FD657AD"/>
    <w:rsid w:val="4FDA2B47"/>
    <w:rsid w:val="4FDD43E5"/>
    <w:rsid w:val="4FDF63AF"/>
    <w:rsid w:val="4FE76DCB"/>
    <w:rsid w:val="4FEA6D37"/>
    <w:rsid w:val="4FEE256D"/>
    <w:rsid w:val="4FF77255"/>
    <w:rsid w:val="4FFF25AD"/>
    <w:rsid w:val="4FFF442F"/>
    <w:rsid w:val="50025BF9"/>
    <w:rsid w:val="50086D8C"/>
    <w:rsid w:val="50096F88"/>
    <w:rsid w:val="500B2D00"/>
    <w:rsid w:val="50131BB5"/>
    <w:rsid w:val="501716A5"/>
    <w:rsid w:val="501778F7"/>
    <w:rsid w:val="501871CB"/>
    <w:rsid w:val="5019541D"/>
    <w:rsid w:val="501A6C83"/>
    <w:rsid w:val="50210776"/>
    <w:rsid w:val="5023004A"/>
    <w:rsid w:val="502344EE"/>
    <w:rsid w:val="50317576"/>
    <w:rsid w:val="5032028D"/>
    <w:rsid w:val="50334005"/>
    <w:rsid w:val="50353782"/>
    <w:rsid w:val="50357D7D"/>
    <w:rsid w:val="503B1837"/>
    <w:rsid w:val="50422394"/>
    <w:rsid w:val="504306EC"/>
    <w:rsid w:val="504B57F2"/>
    <w:rsid w:val="504F0080"/>
    <w:rsid w:val="50501920"/>
    <w:rsid w:val="50526B81"/>
    <w:rsid w:val="50650662"/>
    <w:rsid w:val="50687CFD"/>
    <w:rsid w:val="506E3026"/>
    <w:rsid w:val="506F7733"/>
    <w:rsid w:val="50720FD1"/>
    <w:rsid w:val="50795EBC"/>
    <w:rsid w:val="50840AEA"/>
    <w:rsid w:val="50843944"/>
    <w:rsid w:val="50870B84"/>
    <w:rsid w:val="50900FB2"/>
    <w:rsid w:val="50926F7D"/>
    <w:rsid w:val="50962F12"/>
    <w:rsid w:val="509E5922"/>
    <w:rsid w:val="50AC2B38"/>
    <w:rsid w:val="50AC5CBB"/>
    <w:rsid w:val="50AF7B2F"/>
    <w:rsid w:val="50B11AF9"/>
    <w:rsid w:val="50B769E4"/>
    <w:rsid w:val="50BE7D72"/>
    <w:rsid w:val="50C1503F"/>
    <w:rsid w:val="50C64E79"/>
    <w:rsid w:val="50C80BF1"/>
    <w:rsid w:val="50CA443A"/>
    <w:rsid w:val="50CF01D2"/>
    <w:rsid w:val="50DD469C"/>
    <w:rsid w:val="50E023DF"/>
    <w:rsid w:val="50E05F3B"/>
    <w:rsid w:val="50E13A61"/>
    <w:rsid w:val="50E21CB3"/>
    <w:rsid w:val="50E579F5"/>
    <w:rsid w:val="50E772C9"/>
    <w:rsid w:val="50EF2CE6"/>
    <w:rsid w:val="50F33EC0"/>
    <w:rsid w:val="50F814D6"/>
    <w:rsid w:val="50FD4D3F"/>
    <w:rsid w:val="510C6D30"/>
    <w:rsid w:val="51136310"/>
    <w:rsid w:val="51143E36"/>
    <w:rsid w:val="511B51C5"/>
    <w:rsid w:val="511D7CE2"/>
    <w:rsid w:val="51201EC9"/>
    <w:rsid w:val="51256043"/>
    <w:rsid w:val="51273B6A"/>
    <w:rsid w:val="512C2F2E"/>
    <w:rsid w:val="512F2A1E"/>
    <w:rsid w:val="51355910"/>
    <w:rsid w:val="51385D77"/>
    <w:rsid w:val="513C2BDE"/>
    <w:rsid w:val="51426BF5"/>
    <w:rsid w:val="5147420C"/>
    <w:rsid w:val="515058A2"/>
    <w:rsid w:val="51510BE7"/>
    <w:rsid w:val="51537E33"/>
    <w:rsid w:val="515406D7"/>
    <w:rsid w:val="51586419"/>
    <w:rsid w:val="51623281"/>
    <w:rsid w:val="51626A1E"/>
    <w:rsid w:val="516C77CE"/>
    <w:rsid w:val="517171CD"/>
    <w:rsid w:val="51764AF1"/>
    <w:rsid w:val="51773E85"/>
    <w:rsid w:val="51786173"/>
    <w:rsid w:val="517A638F"/>
    <w:rsid w:val="5180629F"/>
    <w:rsid w:val="518A5EA7"/>
    <w:rsid w:val="518B7878"/>
    <w:rsid w:val="5198665F"/>
    <w:rsid w:val="51986815"/>
    <w:rsid w:val="519D3E2C"/>
    <w:rsid w:val="519D5BDA"/>
    <w:rsid w:val="519F0FD9"/>
    <w:rsid w:val="51A21442"/>
    <w:rsid w:val="51A67184"/>
    <w:rsid w:val="51A95109"/>
    <w:rsid w:val="51B00003"/>
    <w:rsid w:val="51B11685"/>
    <w:rsid w:val="51B91F39"/>
    <w:rsid w:val="51BB2504"/>
    <w:rsid w:val="51C1023B"/>
    <w:rsid w:val="51DB6702"/>
    <w:rsid w:val="51DC4954"/>
    <w:rsid w:val="51DF61F2"/>
    <w:rsid w:val="51E414C7"/>
    <w:rsid w:val="51E43809"/>
    <w:rsid w:val="51ED6B61"/>
    <w:rsid w:val="51F16466"/>
    <w:rsid w:val="51F24A63"/>
    <w:rsid w:val="51F37EF0"/>
    <w:rsid w:val="51FC0D1B"/>
    <w:rsid w:val="521560E2"/>
    <w:rsid w:val="522F77FB"/>
    <w:rsid w:val="5232558C"/>
    <w:rsid w:val="523742C0"/>
    <w:rsid w:val="523E0976"/>
    <w:rsid w:val="523F3135"/>
    <w:rsid w:val="52416EAD"/>
    <w:rsid w:val="524349D3"/>
    <w:rsid w:val="524650F1"/>
    <w:rsid w:val="52552958"/>
    <w:rsid w:val="52581974"/>
    <w:rsid w:val="525A2C8C"/>
    <w:rsid w:val="525A3ACB"/>
    <w:rsid w:val="52606411"/>
    <w:rsid w:val="526861E8"/>
    <w:rsid w:val="526A01B2"/>
    <w:rsid w:val="527252B8"/>
    <w:rsid w:val="527517B2"/>
    <w:rsid w:val="52903E3F"/>
    <w:rsid w:val="52943A98"/>
    <w:rsid w:val="529945F3"/>
    <w:rsid w:val="529E42FF"/>
    <w:rsid w:val="52AB4326"/>
    <w:rsid w:val="52AD009F"/>
    <w:rsid w:val="52B21B59"/>
    <w:rsid w:val="52B47467"/>
    <w:rsid w:val="52B80643"/>
    <w:rsid w:val="52BB6C5F"/>
    <w:rsid w:val="52BE405A"/>
    <w:rsid w:val="52C33D66"/>
    <w:rsid w:val="52C378C2"/>
    <w:rsid w:val="52D27B05"/>
    <w:rsid w:val="52D47D21"/>
    <w:rsid w:val="52D970E6"/>
    <w:rsid w:val="52E15F9A"/>
    <w:rsid w:val="52F15916"/>
    <w:rsid w:val="52F83A10"/>
    <w:rsid w:val="52FC2DD4"/>
    <w:rsid w:val="52FE4D9E"/>
    <w:rsid w:val="52FF1EA9"/>
    <w:rsid w:val="53000B16"/>
    <w:rsid w:val="53014F31"/>
    <w:rsid w:val="530952D0"/>
    <w:rsid w:val="530B789E"/>
    <w:rsid w:val="530F158E"/>
    <w:rsid w:val="5316198D"/>
    <w:rsid w:val="53165C44"/>
    <w:rsid w:val="53185E60"/>
    <w:rsid w:val="532115A8"/>
    <w:rsid w:val="532A16EF"/>
    <w:rsid w:val="532D4F9D"/>
    <w:rsid w:val="533129FB"/>
    <w:rsid w:val="53373E0C"/>
    <w:rsid w:val="534E7AD3"/>
    <w:rsid w:val="53572473"/>
    <w:rsid w:val="53656BCB"/>
    <w:rsid w:val="536E4C47"/>
    <w:rsid w:val="53740BBC"/>
    <w:rsid w:val="537A4A16"/>
    <w:rsid w:val="5382777D"/>
    <w:rsid w:val="5386726D"/>
    <w:rsid w:val="538708F0"/>
    <w:rsid w:val="538E7ED0"/>
    <w:rsid w:val="538F59F6"/>
    <w:rsid w:val="5394300C"/>
    <w:rsid w:val="539B083F"/>
    <w:rsid w:val="539F3E8B"/>
    <w:rsid w:val="53A616BE"/>
    <w:rsid w:val="53A70F92"/>
    <w:rsid w:val="53AE2320"/>
    <w:rsid w:val="53AE40CE"/>
    <w:rsid w:val="53B042EA"/>
    <w:rsid w:val="53B536AF"/>
    <w:rsid w:val="53B813F1"/>
    <w:rsid w:val="53BA01AB"/>
    <w:rsid w:val="53C47D96"/>
    <w:rsid w:val="53DC4967"/>
    <w:rsid w:val="53DF072C"/>
    <w:rsid w:val="53DF697E"/>
    <w:rsid w:val="53EE096F"/>
    <w:rsid w:val="53F00B8B"/>
    <w:rsid w:val="53F8129A"/>
    <w:rsid w:val="53FC12DE"/>
    <w:rsid w:val="54014B46"/>
    <w:rsid w:val="540208BE"/>
    <w:rsid w:val="540C5299"/>
    <w:rsid w:val="541C54DC"/>
    <w:rsid w:val="541F6D7A"/>
    <w:rsid w:val="54257FEE"/>
    <w:rsid w:val="542B531E"/>
    <w:rsid w:val="543F741C"/>
    <w:rsid w:val="54414F42"/>
    <w:rsid w:val="544D38E7"/>
    <w:rsid w:val="54557F4E"/>
    <w:rsid w:val="54596730"/>
    <w:rsid w:val="545A24A8"/>
    <w:rsid w:val="545D78A2"/>
    <w:rsid w:val="546155E5"/>
    <w:rsid w:val="546B6463"/>
    <w:rsid w:val="546D0228"/>
    <w:rsid w:val="546D5D37"/>
    <w:rsid w:val="547277F2"/>
    <w:rsid w:val="54774E08"/>
    <w:rsid w:val="54776BB6"/>
    <w:rsid w:val="547B3570"/>
    <w:rsid w:val="547C41CC"/>
    <w:rsid w:val="547E031E"/>
    <w:rsid w:val="54881C53"/>
    <w:rsid w:val="5492579E"/>
    <w:rsid w:val="54961B1B"/>
    <w:rsid w:val="549641D5"/>
    <w:rsid w:val="549F7EBB"/>
    <w:rsid w:val="54A656ED"/>
    <w:rsid w:val="54AA72A7"/>
    <w:rsid w:val="54AB4AB2"/>
    <w:rsid w:val="54AD25D8"/>
    <w:rsid w:val="54B003AC"/>
    <w:rsid w:val="54B020C8"/>
    <w:rsid w:val="54B95421"/>
    <w:rsid w:val="54BB2F47"/>
    <w:rsid w:val="54BF40B9"/>
    <w:rsid w:val="54CF69F2"/>
    <w:rsid w:val="54D44008"/>
    <w:rsid w:val="54D67D81"/>
    <w:rsid w:val="54D82240"/>
    <w:rsid w:val="54D933CD"/>
    <w:rsid w:val="54E0475B"/>
    <w:rsid w:val="54E57FC4"/>
    <w:rsid w:val="54E67A16"/>
    <w:rsid w:val="54EB4EAE"/>
    <w:rsid w:val="54EF4290"/>
    <w:rsid w:val="54F226E1"/>
    <w:rsid w:val="54F333CC"/>
    <w:rsid w:val="54F40207"/>
    <w:rsid w:val="54F72B40"/>
    <w:rsid w:val="55055F70"/>
    <w:rsid w:val="55061CE8"/>
    <w:rsid w:val="552503C0"/>
    <w:rsid w:val="552D3719"/>
    <w:rsid w:val="552F7491"/>
    <w:rsid w:val="55480552"/>
    <w:rsid w:val="55491271"/>
    <w:rsid w:val="555667CB"/>
    <w:rsid w:val="55594744"/>
    <w:rsid w:val="556709D9"/>
    <w:rsid w:val="55690BF5"/>
    <w:rsid w:val="556E7FB9"/>
    <w:rsid w:val="55733821"/>
    <w:rsid w:val="55807CEC"/>
    <w:rsid w:val="55872E29"/>
    <w:rsid w:val="55874B82"/>
    <w:rsid w:val="558863EB"/>
    <w:rsid w:val="558A6D4D"/>
    <w:rsid w:val="559E63C4"/>
    <w:rsid w:val="55A559A5"/>
    <w:rsid w:val="55AF2CD7"/>
    <w:rsid w:val="55BD684B"/>
    <w:rsid w:val="55BE2D74"/>
    <w:rsid w:val="55C80000"/>
    <w:rsid w:val="55CC49ED"/>
    <w:rsid w:val="55CD0132"/>
    <w:rsid w:val="55CE0A58"/>
    <w:rsid w:val="55D25DC0"/>
    <w:rsid w:val="55DA5AE4"/>
    <w:rsid w:val="55DB7A9A"/>
    <w:rsid w:val="55E62245"/>
    <w:rsid w:val="55E95892"/>
    <w:rsid w:val="55F06C20"/>
    <w:rsid w:val="55F54236"/>
    <w:rsid w:val="55F83D27"/>
    <w:rsid w:val="55FC1BE5"/>
    <w:rsid w:val="56097CE2"/>
    <w:rsid w:val="560E52F8"/>
    <w:rsid w:val="561548D9"/>
    <w:rsid w:val="56187D62"/>
    <w:rsid w:val="56226FF5"/>
    <w:rsid w:val="562661CB"/>
    <w:rsid w:val="562763BA"/>
    <w:rsid w:val="562C39D0"/>
    <w:rsid w:val="56352BBF"/>
    <w:rsid w:val="56360EAA"/>
    <w:rsid w:val="56382375"/>
    <w:rsid w:val="563B3C13"/>
    <w:rsid w:val="563D3E2F"/>
    <w:rsid w:val="566C201F"/>
    <w:rsid w:val="566E5D97"/>
    <w:rsid w:val="568455BA"/>
    <w:rsid w:val="56AB6FEB"/>
    <w:rsid w:val="56AF0889"/>
    <w:rsid w:val="56B05FF1"/>
    <w:rsid w:val="56B12842"/>
    <w:rsid w:val="56B22127"/>
    <w:rsid w:val="56B539C6"/>
    <w:rsid w:val="56B82115"/>
    <w:rsid w:val="56BA5480"/>
    <w:rsid w:val="56BC4D54"/>
    <w:rsid w:val="56C105BC"/>
    <w:rsid w:val="56C1236A"/>
    <w:rsid w:val="56C22086"/>
    <w:rsid w:val="56D57BC4"/>
    <w:rsid w:val="56D60142"/>
    <w:rsid w:val="56D93B58"/>
    <w:rsid w:val="56DE1C7D"/>
    <w:rsid w:val="56DE626B"/>
    <w:rsid w:val="56EA7B13"/>
    <w:rsid w:val="56EB388B"/>
    <w:rsid w:val="56ED4172"/>
    <w:rsid w:val="56F664B8"/>
    <w:rsid w:val="56FE536D"/>
    <w:rsid w:val="56FF2E93"/>
    <w:rsid w:val="57014E5D"/>
    <w:rsid w:val="57016C0B"/>
    <w:rsid w:val="57081D47"/>
    <w:rsid w:val="570A5ABF"/>
    <w:rsid w:val="570D3802"/>
    <w:rsid w:val="570D735E"/>
    <w:rsid w:val="5712706A"/>
    <w:rsid w:val="57174E90"/>
    <w:rsid w:val="5717642E"/>
    <w:rsid w:val="571C57F3"/>
    <w:rsid w:val="57233025"/>
    <w:rsid w:val="572C26F1"/>
    <w:rsid w:val="57435475"/>
    <w:rsid w:val="57437223"/>
    <w:rsid w:val="574F7976"/>
    <w:rsid w:val="57517B92"/>
    <w:rsid w:val="57574A7D"/>
    <w:rsid w:val="5765363E"/>
    <w:rsid w:val="57763155"/>
    <w:rsid w:val="577B69BD"/>
    <w:rsid w:val="577E46FF"/>
    <w:rsid w:val="57811AFA"/>
    <w:rsid w:val="57831D16"/>
    <w:rsid w:val="57853398"/>
    <w:rsid w:val="57875362"/>
    <w:rsid w:val="579932E7"/>
    <w:rsid w:val="57A11467"/>
    <w:rsid w:val="57A83C72"/>
    <w:rsid w:val="57AC301B"/>
    <w:rsid w:val="57B34948"/>
    <w:rsid w:val="57B91294"/>
    <w:rsid w:val="57BE55F9"/>
    <w:rsid w:val="57C7015C"/>
    <w:rsid w:val="57C71C02"/>
    <w:rsid w:val="57CC546B"/>
    <w:rsid w:val="57CC7219"/>
    <w:rsid w:val="57CF2865"/>
    <w:rsid w:val="57DC667B"/>
    <w:rsid w:val="57F624E8"/>
    <w:rsid w:val="57F81DBC"/>
    <w:rsid w:val="57FF75EE"/>
    <w:rsid w:val="580805D6"/>
    <w:rsid w:val="580E7831"/>
    <w:rsid w:val="581F1A3E"/>
    <w:rsid w:val="58240E03"/>
    <w:rsid w:val="582901C7"/>
    <w:rsid w:val="58293F10"/>
    <w:rsid w:val="582C10E4"/>
    <w:rsid w:val="582E3A30"/>
    <w:rsid w:val="5835393E"/>
    <w:rsid w:val="5838717D"/>
    <w:rsid w:val="58390195"/>
    <w:rsid w:val="5847689F"/>
    <w:rsid w:val="584A6390"/>
    <w:rsid w:val="585B234B"/>
    <w:rsid w:val="58613E05"/>
    <w:rsid w:val="58644EC9"/>
    <w:rsid w:val="58703ABC"/>
    <w:rsid w:val="58727DC0"/>
    <w:rsid w:val="5875165E"/>
    <w:rsid w:val="5886386C"/>
    <w:rsid w:val="58873140"/>
    <w:rsid w:val="58883F2F"/>
    <w:rsid w:val="58975A79"/>
    <w:rsid w:val="589921D9"/>
    <w:rsid w:val="58A75590"/>
    <w:rsid w:val="58AB32D2"/>
    <w:rsid w:val="58AE691E"/>
    <w:rsid w:val="58AF60A7"/>
    <w:rsid w:val="58B403D0"/>
    <w:rsid w:val="58B46148"/>
    <w:rsid w:val="58B77EC9"/>
    <w:rsid w:val="58C6010C"/>
    <w:rsid w:val="58C85C32"/>
    <w:rsid w:val="58C93758"/>
    <w:rsid w:val="58CA7BFC"/>
    <w:rsid w:val="58D04AE7"/>
    <w:rsid w:val="58D0677A"/>
    <w:rsid w:val="58D565A1"/>
    <w:rsid w:val="58D75E75"/>
    <w:rsid w:val="58D97E3F"/>
    <w:rsid w:val="58DC348C"/>
    <w:rsid w:val="58DE3C61"/>
    <w:rsid w:val="58E653B0"/>
    <w:rsid w:val="58E81E30"/>
    <w:rsid w:val="58E92C36"/>
    <w:rsid w:val="58E95BA9"/>
    <w:rsid w:val="58EA204C"/>
    <w:rsid w:val="58ED74D9"/>
    <w:rsid w:val="58FE4684"/>
    <w:rsid w:val="5900361E"/>
    <w:rsid w:val="5903310E"/>
    <w:rsid w:val="590C41D4"/>
    <w:rsid w:val="59103135"/>
    <w:rsid w:val="591E5852"/>
    <w:rsid w:val="59205A6E"/>
    <w:rsid w:val="592310BA"/>
    <w:rsid w:val="5931369D"/>
    <w:rsid w:val="593A6404"/>
    <w:rsid w:val="593F1600"/>
    <w:rsid w:val="59486D73"/>
    <w:rsid w:val="594A2AEB"/>
    <w:rsid w:val="594D6137"/>
    <w:rsid w:val="595207A9"/>
    <w:rsid w:val="5955323E"/>
    <w:rsid w:val="595A453E"/>
    <w:rsid w:val="595C281E"/>
    <w:rsid w:val="595E0345"/>
    <w:rsid w:val="59643FFD"/>
    <w:rsid w:val="59675F8A"/>
    <w:rsid w:val="59683F4D"/>
    <w:rsid w:val="596A0A97"/>
    <w:rsid w:val="597153D3"/>
    <w:rsid w:val="59725B9E"/>
    <w:rsid w:val="5975743C"/>
    <w:rsid w:val="59771406"/>
    <w:rsid w:val="597E2795"/>
    <w:rsid w:val="597E3DF0"/>
    <w:rsid w:val="5980475F"/>
    <w:rsid w:val="59831B59"/>
    <w:rsid w:val="59851D75"/>
    <w:rsid w:val="598C3104"/>
    <w:rsid w:val="59945B14"/>
    <w:rsid w:val="59967ADE"/>
    <w:rsid w:val="59A651BB"/>
    <w:rsid w:val="59A90FE7"/>
    <w:rsid w:val="59AA358A"/>
    <w:rsid w:val="59AD307A"/>
    <w:rsid w:val="59B166C6"/>
    <w:rsid w:val="59B44408"/>
    <w:rsid w:val="59BB7545"/>
    <w:rsid w:val="59BE36AB"/>
    <w:rsid w:val="59C97EB4"/>
    <w:rsid w:val="59CC3500"/>
    <w:rsid w:val="59D91D45"/>
    <w:rsid w:val="59DA71C6"/>
    <w:rsid w:val="59E00D5A"/>
    <w:rsid w:val="59EF5441"/>
    <w:rsid w:val="59F111B9"/>
    <w:rsid w:val="59FE7432"/>
    <w:rsid w:val="59FF1782"/>
    <w:rsid w:val="5A032C9A"/>
    <w:rsid w:val="5A0529AB"/>
    <w:rsid w:val="5A0A3C4C"/>
    <w:rsid w:val="5A0E3B19"/>
    <w:rsid w:val="5A137381"/>
    <w:rsid w:val="5A1629CD"/>
    <w:rsid w:val="5A20384C"/>
    <w:rsid w:val="5A307F33"/>
    <w:rsid w:val="5A3A2B60"/>
    <w:rsid w:val="5A3B0686"/>
    <w:rsid w:val="5A3B2A7A"/>
    <w:rsid w:val="5A427C66"/>
    <w:rsid w:val="5A5356C4"/>
    <w:rsid w:val="5A56101C"/>
    <w:rsid w:val="5A5B1143"/>
    <w:rsid w:val="5A5F5231"/>
    <w:rsid w:val="5A6D73EE"/>
    <w:rsid w:val="5A6E0A5B"/>
    <w:rsid w:val="5A755946"/>
    <w:rsid w:val="5A775A39"/>
    <w:rsid w:val="5A79768C"/>
    <w:rsid w:val="5A7B6CD4"/>
    <w:rsid w:val="5A7E49A3"/>
    <w:rsid w:val="5A821E11"/>
    <w:rsid w:val="5A902780"/>
    <w:rsid w:val="5A963B0E"/>
    <w:rsid w:val="5A9761F4"/>
    <w:rsid w:val="5A9868E8"/>
    <w:rsid w:val="5A9A53AC"/>
    <w:rsid w:val="5AA02F74"/>
    <w:rsid w:val="5AA47895"/>
    <w:rsid w:val="5AAD190B"/>
    <w:rsid w:val="5AB0697E"/>
    <w:rsid w:val="5AB44B55"/>
    <w:rsid w:val="5ABC17C7"/>
    <w:rsid w:val="5ABD553F"/>
    <w:rsid w:val="5AC10B8B"/>
    <w:rsid w:val="5AC93EE4"/>
    <w:rsid w:val="5AC97A40"/>
    <w:rsid w:val="5ACB37B8"/>
    <w:rsid w:val="5ACC7DEC"/>
    <w:rsid w:val="5ACE32A8"/>
    <w:rsid w:val="5AD13F57"/>
    <w:rsid w:val="5AD3266C"/>
    <w:rsid w:val="5AD85ED5"/>
    <w:rsid w:val="5ADA1C4D"/>
    <w:rsid w:val="5ADD173D"/>
    <w:rsid w:val="5ADD7E9F"/>
    <w:rsid w:val="5B04316E"/>
    <w:rsid w:val="5B060C94"/>
    <w:rsid w:val="5B0A0784"/>
    <w:rsid w:val="5B0B4120"/>
    <w:rsid w:val="5B182775"/>
    <w:rsid w:val="5B1A473F"/>
    <w:rsid w:val="5B1F3B03"/>
    <w:rsid w:val="5B231846"/>
    <w:rsid w:val="5B244E37"/>
    <w:rsid w:val="5B2829B8"/>
    <w:rsid w:val="5B294982"/>
    <w:rsid w:val="5B2A2BD4"/>
    <w:rsid w:val="5B2D6220"/>
    <w:rsid w:val="5B323837"/>
    <w:rsid w:val="5B33135D"/>
    <w:rsid w:val="5B336FCD"/>
    <w:rsid w:val="5B3A26EB"/>
    <w:rsid w:val="5B3C6463"/>
    <w:rsid w:val="5B3E50D0"/>
    <w:rsid w:val="5B44356A"/>
    <w:rsid w:val="5B4517BC"/>
    <w:rsid w:val="5B465534"/>
    <w:rsid w:val="5B57504B"/>
    <w:rsid w:val="5B5D51E5"/>
    <w:rsid w:val="5B682969"/>
    <w:rsid w:val="5B692E31"/>
    <w:rsid w:val="5B743E4F"/>
    <w:rsid w:val="5B751975"/>
    <w:rsid w:val="5B791466"/>
    <w:rsid w:val="5B8322E4"/>
    <w:rsid w:val="5B8A3673"/>
    <w:rsid w:val="5B960C23"/>
    <w:rsid w:val="5B975D90"/>
    <w:rsid w:val="5B991B08"/>
    <w:rsid w:val="5B991BA7"/>
    <w:rsid w:val="5BA81D4B"/>
    <w:rsid w:val="5BB029AE"/>
    <w:rsid w:val="5BC40E77"/>
    <w:rsid w:val="5BC6626E"/>
    <w:rsid w:val="5BC70423"/>
    <w:rsid w:val="5BC76675"/>
    <w:rsid w:val="5BD40D92"/>
    <w:rsid w:val="5BD65D9F"/>
    <w:rsid w:val="5BE014E5"/>
    <w:rsid w:val="5BE03293"/>
    <w:rsid w:val="5BE15DD7"/>
    <w:rsid w:val="5BE8081F"/>
    <w:rsid w:val="5BE80961"/>
    <w:rsid w:val="5BED08DD"/>
    <w:rsid w:val="5BF1724E"/>
    <w:rsid w:val="5BF26BAF"/>
    <w:rsid w:val="5BF40AEC"/>
    <w:rsid w:val="5BF60D08"/>
    <w:rsid w:val="5BF97A64"/>
    <w:rsid w:val="5C043425"/>
    <w:rsid w:val="5C074CC3"/>
    <w:rsid w:val="5C2018E1"/>
    <w:rsid w:val="5C251F15"/>
    <w:rsid w:val="5C2F7D76"/>
    <w:rsid w:val="5C313AEE"/>
    <w:rsid w:val="5C367357"/>
    <w:rsid w:val="5C3776A6"/>
    <w:rsid w:val="5C3E7D5D"/>
    <w:rsid w:val="5C403D31"/>
    <w:rsid w:val="5C4750C0"/>
    <w:rsid w:val="5C4952DC"/>
    <w:rsid w:val="5C4C0928"/>
    <w:rsid w:val="5C591625"/>
    <w:rsid w:val="5C5960FF"/>
    <w:rsid w:val="5C5E56D9"/>
    <w:rsid w:val="5C5F49BB"/>
    <w:rsid w:val="5C701A68"/>
    <w:rsid w:val="5C797243"/>
    <w:rsid w:val="5C7A36E7"/>
    <w:rsid w:val="5C7C7353"/>
    <w:rsid w:val="5C7F0CFE"/>
    <w:rsid w:val="5C871960"/>
    <w:rsid w:val="5C8C6F77"/>
    <w:rsid w:val="5C8E0F41"/>
    <w:rsid w:val="5CA22C3E"/>
    <w:rsid w:val="5CA26790"/>
    <w:rsid w:val="5CA571CC"/>
    <w:rsid w:val="5CAA564F"/>
    <w:rsid w:val="5CB07B52"/>
    <w:rsid w:val="5CB5471F"/>
    <w:rsid w:val="5CBC7F8E"/>
    <w:rsid w:val="5CC154D0"/>
    <w:rsid w:val="5CC74453"/>
    <w:rsid w:val="5CC76201"/>
    <w:rsid w:val="5CCA06F9"/>
    <w:rsid w:val="5CCB5CF1"/>
    <w:rsid w:val="5CD13F5C"/>
    <w:rsid w:val="5CE13766"/>
    <w:rsid w:val="5CE24DE9"/>
    <w:rsid w:val="5CEC4B35"/>
    <w:rsid w:val="5CEE378D"/>
    <w:rsid w:val="5CF52D6E"/>
    <w:rsid w:val="5CFC234E"/>
    <w:rsid w:val="5D011713"/>
    <w:rsid w:val="5D086F45"/>
    <w:rsid w:val="5D137698"/>
    <w:rsid w:val="5D1B7B11"/>
    <w:rsid w:val="5D1D4073"/>
    <w:rsid w:val="5D2C323C"/>
    <w:rsid w:val="5D2E6280"/>
    <w:rsid w:val="5D3354BA"/>
    <w:rsid w:val="5D347D3A"/>
    <w:rsid w:val="5D4A192A"/>
    <w:rsid w:val="5D4A4B91"/>
    <w:rsid w:val="5D5061F6"/>
    <w:rsid w:val="5D5B085B"/>
    <w:rsid w:val="5D635F29"/>
    <w:rsid w:val="5D6D0B56"/>
    <w:rsid w:val="5D6F5399"/>
    <w:rsid w:val="5D746389"/>
    <w:rsid w:val="5D753EAF"/>
    <w:rsid w:val="5D773EDA"/>
    <w:rsid w:val="5D777C27"/>
    <w:rsid w:val="5D804D2D"/>
    <w:rsid w:val="5D867E6A"/>
    <w:rsid w:val="5D882ABD"/>
    <w:rsid w:val="5D883BE2"/>
    <w:rsid w:val="5D8A5BAC"/>
    <w:rsid w:val="5D9562FF"/>
    <w:rsid w:val="5D9D1C68"/>
    <w:rsid w:val="5D9E51B4"/>
    <w:rsid w:val="5D9F2CDA"/>
    <w:rsid w:val="5DA01C22"/>
    <w:rsid w:val="5DAD3649"/>
    <w:rsid w:val="5DB90876"/>
    <w:rsid w:val="5DB9329D"/>
    <w:rsid w:val="5DBB3FB7"/>
    <w:rsid w:val="5DBC614A"/>
    <w:rsid w:val="5DCD5A99"/>
    <w:rsid w:val="5DCF1BBF"/>
    <w:rsid w:val="5DCF7A63"/>
    <w:rsid w:val="5DD40BD5"/>
    <w:rsid w:val="5DDC5CDC"/>
    <w:rsid w:val="5DDF310D"/>
    <w:rsid w:val="5DE559E5"/>
    <w:rsid w:val="5DE96B19"/>
    <w:rsid w:val="5DEF5A0F"/>
    <w:rsid w:val="5DF063D2"/>
    <w:rsid w:val="5DFC2AD9"/>
    <w:rsid w:val="5DFE20F6"/>
    <w:rsid w:val="5E033269"/>
    <w:rsid w:val="5E03770C"/>
    <w:rsid w:val="5E06123C"/>
    <w:rsid w:val="5E0A0A9B"/>
    <w:rsid w:val="5E0C65C1"/>
    <w:rsid w:val="5E10474E"/>
    <w:rsid w:val="5E1C257C"/>
    <w:rsid w:val="5E203E1A"/>
    <w:rsid w:val="5E2D4789"/>
    <w:rsid w:val="5E2F405E"/>
    <w:rsid w:val="5E2F61C8"/>
    <w:rsid w:val="5E3653EC"/>
    <w:rsid w:val="5E4E4E2C"/>
    <w:rsid w:val="5E4E6BDA"/>
    <w:rsid w:val="5E587764"/>
    <w:rsid w:val="5E5A37D0"/>
    <w:rsid w:val="5E6006BB"/>
    <w:rsid w:val="5E6D4B86"/>
    <w:rsid w:val="5E710B1A"/>
    <w:rsid w:val="5E714676"/>
    <w:rsid w:val="5E7D74BF"/>
    <w:rsid w:val="5E800D5D"/>
    <w:rsid w:val="5E84084D"/>
    <w:rsid w:val="5E8D218E"/>
    <w:rsid w:val="5E9071F2"/>
    <w:rsid w:val="5E9F11E3"/>
    <w:rsid w:val="5EA81963"/>
    <w:rsid w:val="5EA93E10"/>
    <w:rsid w:val="5EB34C8F"/>
    <w:rsid w:val="5EB6477F"/>
    <w:rsid w:val="5EB86749"/>
    <w:rsid w:val="5EBD281C"/>
    <w:rsid w:val="5EBD5B0D"/>
    <w:rsid w:val="5EC23124"/>
    <w:rsid w:val="5EC82C7F"/>
    <w:rsid w:val="5EC96260"/>
    <w:rsid w:val="5ECA3D86"/>
    <w:rsid w:val="5ED72537"/>
    <w:rsid w:val="5EDA221B"/>
    <w:rsid w:val="5EDD7F5D"/>
    <w:rsid w:val="5EE035AA"/>
    <w:rsid w:val="5EE8294B"/>
    <w:rsid w:val="5EEB44A8"/>
    <w:rsid w:val="5EEE4008"/>
    <w:rsid w:val="5EF13A09"/>
    <w:rsid w:val="5EF57055"/>
    <w:rsid w:val="5EF808F3"/>
    <w:rsid w:val="5EFB03E4"/>
    <w:rsid w:val="5EFF6126"/>
    <w:rsid w:val="5F04373C"/>
    <w:rsid w:val="5F0E0117"/>
    <w:rsid w:val="5F140A8B"/>
    <w:rsid w:val="5F216742"/>
    <w:rsid w:val="5F2E2567"/>
    <w:rsid w:val="5F2F459B"/>
    <w:rsid w:val="5F312917"/>
    <w:rsid w:val="5F357D99"/>
    <w:rsid w:val="5F4B3119"/>
    <w:rsid w:val="5F577D10"/>
    <w:rsid w:val="5F5A7800"/>
    <w:rsid w:val="5F5C70D4"/>
    <w:rsid w:val="5F5F4B0A"/>
    <w:rsid w:val="5F6366B5"/>
    <w:rsid w:val="5F6917F1"/>
    <w:rsid w:val="5F697A43"/>
    <w:rsid w:val="5F6D12E1"/>
    <w:rsid w:val="5F71212B"/>
    <w:rsid w:val="5F7206A6"/>
    <w:rsid w:val="5F7A1C50"/>
    <w:rsid w:val="5F7C7776"/>
    <w:rsid w:val="5F7F2538"/>
    <w:rsid w:val="5F8108E9"/>
    <w:rsid w:val="5F8D54E0"/>
    <w:rsid w:val="5F8E0944"/>
    <w:rsid w:val="5F8F6B36"/>
    <w:rsid w:val="5F9024A8"/>
    <w:rsid w:val="5F920D48"/>
    <w:rsid w:val="5F944AC0"/>
    <w:rsid w:val="5F954394"/>
    <w:rsid w:val="5FA1676C"/>
    <w:rsid w:val="5FA840C8"/>
    <w:rsid w:val="5FB235AC"/>
    <w:rsid w:val="5FB40CBE"/>
    <w:rsid w:val="5FB5737D"/>
    <w:rsid w:val="5FB9312A"/>
    <w:rsid w:val="5FBC5DC5"/>
    <w:rsid w:val="5FBE7D8F"/>
    <w:rsid w:val="5FC66C44"/>
    <w:rsid w:val="5FCB425A"/>
    <w:rsid w:val="5FD80C9E"/>
    <w:rsid w:val="5FD94ABC"/>
    <w:rsid w:val="5FE61094"/>
    <w:rsid w:val="5FF13CC0"/>
    <w:rsid w:val="5FF2089A"/>
    <w:rsid w:val="5FF21E3A"/>
    <w:rsid w:val="5FF27272"/>
    <w:rsid w:val="5FF441D9"/>
    <w:rsid w:val="5FFA2BA8"/>
    <w:rsid w:val="60017C7C"/>
    <w:rsid w:val="600503C7"/>
    <w:rsid w:val="60256CC9"/>
    <w:rsid w:val="602816AC"/>
    <w:rsid w:val="603942CD"/>
    <w:rsid w:val="604069F6"/>
    <w:rsid w:val="604162CA"/>
    <w:rsid w:val="60422A1C"/>
    <w:rsid w:val="604F6C39"/>
    <w:rsid w:val="60583D40"/>
    <w:rsid w:val="60593614"/>
    <w:rsid w:val="605B55DE"/>
    <w:rsid w:val="60716BAF"/>
    <w:rsid w:val="60732927"/>
    <w:rsid w:val="60744B26"/>
    <w:rsid w:val="60747F1B"/>
    <w:rsid w:val="60887974"/>
    <w:rsid w:val="608F34D9"/>
    <w:rsid w:val="60973465"/>
    <w:rsid w:val="609C36ED"/>
    <w:rsid w:val="609E371C"/>
    <w:rsid w:val="60A52CFD"/>
    <w:rsid w:val="60A56859"/>
    <w:rsid w:val="60B65D1D"/>
    <w:rsid w:val="60B847DE"/>
    <w:rsid w:val="60C50CA9"/>
    <w:rsid w:val="60CC2038"/>
    <w:rsid w:val="60CE35A7"/>
    <w:rsid w:val="60CE5DB0"/>
    <w:rsid w:val="60D3786A"/>
    <w:rsid w:val="60D809DC"/>
    <w:rsid w:val="60DB4C5E"/>
    <w:rsid w:val="60E12DAE"/>
    <w:rsid w:val="60E16920"/>
    <w:rsid w:val="60E43825"/>
    <w:rsid w:val="60EB4BB4"/>
    <w:rsid w:val="60F71A87"/>
    <w:rsid w:val="60FB0B6F"/>
    <w:rsid w:val="60FC2713"/>
    <w:rsid w:val="61084526"/>
    <w:rsid w:val="61112140"/>
    <w:rsid w:val="61131A15"/>
    <w:rsid w:val="61147259"/>
    <w:rsid w:val="61167757"/>
    <w:rsid w:val="611A5316"/>
    <w:rsid w:val="612260FC"/>
    <w:rsid w:val="61305AA9"/>
    <w:rsid w:val="61355E2F"/>
    <w:rsid w:val="61363955"/>
    <w:rsid w:val="613956DC"/>
    <w:rsid w:val="613F0A5C"/>
    <w:rsid w:val="614147D4"/>
    <w:rsid w:val="61462D93"/>
    <w:rsid w:val="61494D64"/>
    <w:rsid w:val="614B42D8"/>
    <w:rsid w:val="61504A17"/>
    <w:rsid w:val="615A19EE"/>
    <w:rsid w:val="615D7134"/>
    <w:rsid w:val="615F10FE"/>
    <w:rsid w:val="616C7772"/>
    <w:rsid w:val="61785D1C"/>
    <w:rsid w:val="617F354E"/>
    <w:rsid w:val="618B1EF3"/>
    <w:rsid w:val="619E1214"/>
    <w:rsid w:val="61AB60F1"/>
    <w:rsid w:val="61AC6EB4"/>
    <w:rsid w:val="61AF1F6F"/>
    <w:rsid w:val="61B07AC3"/>
    <w:rsid w:val="61B825BC"/>
    <w:rsid w:val="61C24BBB"/>
    <w:rsid w:val="61CB0541"/>
    <w:rsid w:val="61CD6067"/>
    <w:rsid w:val="61D30753"/>
    <w:rsid w:val="61D32128"/>
    <w:rsid w:val="61D373F6"/>
    <w:rsid w:val="61DC5078"/>
    <w:rsid w:val="61DE0274"/>
    <w:rsid w:val="61E67129"/>
    <w:rsid w:val="61E8214B"/>
    <w:rsid w:val="61EA7445"/>
    <w:rsid w:val="61EB0BE3"/>
    <w:rsid w:val="61ED3737"/>
    <w:rsid w:val="61ED495B"/>
    <w:rsid w:val="61F23D20"/>
    <w:rsid w:val="61F4647D"/>
    <w:rsid w:val="61F64F67"/>
    <w:rsid w:val="61F730E4"/>
    <w:rsid w:val="61FA4982"/>
    <w:rsid w:val="62051CA5"/>
    <w:rsid w:val="620D2908"/>
    <w:rsid w:val="620F0A32"/>
    <w:rsid w:val="6210259F"/>
    <w:rsid w:val="62175534"/>
    <w:rsid w:val="621831C9"/>
    <w:rsid w:val="621C6FEF"/>
    <w:rsid w:val="621E2D67"/>
    <w:rsid w:val="62256C9C"/>
    <w:rsid w:val="6247406C"/>
    <w:rsid w:val="62490FA4"/>
    <w:rsid w:val="62495E5B"/>
    <w:rsid w:val="624B4462"/>
    <w:rsid w:val="624F0BFB"/>
    <w:rsid w:val="625247BE"/>
    <w:rsid w:val="625356FA"/>
    <w:rsid w:val="62571663"/>
    <w:rsid w:val="625D388F"/>
    <w:rsid w:val="62634C1E"/>
    <w:rsid w:val="626764BC"/>
    <w:rsid w:val="627604AD"/>
    <w:rsid w:val="62787E6D"/>
    <w:rsid w:val="62797F9D"/>
    <w:rsid w:val="62913539"/>
    <w:rsid w:val="629B43B7"/>
    <w:rsid w:val="629D3C8C"/>
    <w:rsid w:val="629E410D"/>
    <w:rsid w:val="62A74B0A"/>
    <w:rsid w:val="62AC0373"/>
    <w:rsid w:val="62B15989"/>
    <w:rsid w:val="62B51A14"/>
    <w:rsid w:val="62B72874"/>
    <w:rsid w:val="62B80F58"/>
    <w:rsid w:val="62C236F2"/>
    <w:rsid w:val="62CE653B"/>
    <w:rsid w:val="62CF7BBD"/>
    <w:rsid w:val="62D022B3"/>
    <w:rsid w:val="62D11B87"/>
    <w:rsid w:val="62E573E1"/>
    <w:rsid w:val="62EA6888"/>
    <w:rsid w:val="62F51D1A"/>
    <w:rsid w:val="630B32EB"/>
    <w:rsid w:val="630E2DDB"/>
    <w:rsid w:val="6311467A"/>
    <w:rsid w:val="63155F18"/>
    <w:rsid w:val="632317BC"/>
    <w:rsid w:val="63316ACA"/>
    <w:rsid w:val="633D1364"/>
    <w:rsid w:val="634B661E"/>
    <w:rsid w:val="634B7B8C"/>
    <w:rsid w:val="63556314"/>
    <w:rsid w:val="635A12B4"/>
    <w:rsid w:val="6361115D"/>
    <w:rsid w:val="63676048"/>
    <w:rsid w:val="63690012"/>
    <w:rsid w:val="637149F7"/>
    <w:rsid w:val="6374265A"/>
    <w:rsid w:val="637B48FF"/>
    <w:rsid w:val="637F41CC"/>
    <w:rsid w:val="637F7835"/>
    <w:rsid w:val="63855718"/>
    <w:rsid w:val="63887BA4"/>
    <w:rsid w:val="638B7F88"/>
    <w:rsid w:val="638C3D00"/>
    <w:rsid w:val="63950E07"/>
    <w:rsid w:val="63A1155A"/>
    <w:rsid w:val="63A23524"/>
    <w:rsid w:val="63B55005"/>
    <w:rsid w:val="63B84AF5"/>
    <w:rsid w:val="63BE65AF"/>
    <w:rsid w:val="63C828CF"/>
    <w:rsid w:val="63CC0A85"/>
    <w:rsid w:val="63CD75B0"/>
    <w:rsid w:val="63D00091"/>
    <w:rsid w:val="63D86F45"/>
    <w:rsid w:val="63E1404C"/>
    <w:rsid w:val="63F57AF7"/>
    <w:rsid w:val="63FF67E2"/>
    <w:rsid w:val="64010B88"/>
    <w:rsid w:val="6408782B"/>
    <w:rsid w:val="64095516"/>
    <w:rsid w:val="640D6BEF"/>
    <w:rsid w:val="640E7B96"/>
    <w:rsid w:val="64195594"/>
    <w:rsid w:val="643E149E"/>
    <w:rsid w:val="64406FC4"/>
    <w:rsid w:val="64413718"/>
    <w:rsid w:val="644A7E43"/>
    <w:rsid w:val="645962D8"/>
    <w:rsid w:val="645E2921"/>
    <w:rsid w:val="645E569D"/>
    <w:rsid w:val="646709F5"/>
    <w:rsid w:val="646F1658"/>
    <w:rsid w:val="647A7046"/>
    <w:rsid w:val="64801AB7"/>
    <w:rsid w:val="64805613"/>
    <w:rsid w:val="648275DD"/>
    <w:rsid w:val="64835103"/>
    <w:rsid w:val="648669A1"/>
    <w:rsid w:val="648844C8"/>
    <w:rsid w:val="648A6492"/>
    <w:rsid w:val="648F3AA8"/>
    <w:rsid w:val="64925346"/>
    <w:rsid w:val="6493262A"/>
    <w:rsid w:val="64966BE4"/>
    <w:rsid w:val="64AD62C1"/>
    <w:rsid w:val="64AE4122"/>
    <w:rsid w:val="64AF414A"/>
    <w:rsid w:val="64B259E8"/>
    <w:rsid w:val="64B4350F"/>
    <w:rsid w:val="64B654D9"/>
    <w:rsid w:val="64C42D3C"/>
    <w:rsid w:val="64CF659A"/>
    <w:rsid w:val="64D21BE7"/>
    <w:rsid w:val="64D63485"/>
    <w:rsid w:val="64D64FBF"/>
    <w:rsid w:val="64D82C74"/>
    <w:rsid w:val="64D8544F"/>
    <w:rsid w:val="64DF35AC"/>
    <w:rsid w:val="64E72408"/>
    <w:rsid w:val="64E9376F"/>
    <w:rsid w:val="64EB7E43"/>
    <w:rsid w:val="64FB738F"/>
    <w:rsid w:val="64FD2F54"/>
    <w:rsid w:val="64FD4EB5"/>
    <w:rsid w:val="65053D6A"/>
    <w:rsid w:val="65077AE2"/>
    <w:rsid w:val="650A3BF1"/>
    <w:rsid w:val="65192A0E"/>
    <w:rsid w:val="65197815"/>
    <w:rsid w:val="651A5A67"/>
    <w:rsid w:val="651C6CD8"/>
    <w:rsid w:val="651D7306"/>
    <w:rsid w:val="651E1F69"/>
    <w:rsid w:val="65202952"/>
    <w:rsid w:val="6525440C"/>
    <w:rsid w:val="65295CAB"/>
    <w:rsid w:val="653463FD"/>
    <w:rsid w:val="653603C7"/>
    <w:rsid w:val="65384C64"/>
    <w:rsid w:val="653A7EB8"/>
    <w:rsid w:val="653B3C30"/>
    <w:rsid w:val="65406E7C"/>
    <w:rsid w:val="65534AD5"/>
    <w:rsid w:val="65562818"/>
    <w:rsid w:val="655D5954"/>
    <w:rsid w:val="656B62C3"/>
    <w:rsid w:val="656C5144"/>
    <w:rsid w:val="657D53CD"/>
    <w:rsid w:val="65864EAB"/>
    <w:rsid w:val="65883BF7"/>
    <w:rsid w:val="65A610A9"/>
    <w:rsid w:val="65A943E3"/>
    <w:rsid w:val="65AB2B63"/>
    <w:rsid w:val="65AB4E9E"/>
    <w:rsid w:val="65B43127"/>
    <w:rsid w:val="65B92A25"/>
    <w:rsid w:val="65BD4645"/>
    <w:rsid w:val="65C50B86"/>
    <w:rsid w:val="65C77271"/>
    <w:rsid w:val="65CB4FB4"/>
    <w:rsid w:val="65D06126"/>
    <w:rsid w:val="65D8322D"/>
    <w:rsid w:val="65DA6FA5"/>
    <w:rsid w:val="65E32D3B"/>
    <w:rsid w:val="65E87914"/>
    <w:rsid w:val="65EB2F60"/>
    <w:rsid w:val="65F067C8"/>
    <w:rsid w:val="65F630D2"/>
    <w:rsid w:val="660758C0"/>
    <w:rsid w:val="660E6C4E"/>
    <w:rsid w:val="66106E6A"/>
    <w:rsid w:val="661C0064"/>
    <w:rsid w:val="66291CDA"/>
    <w:rsid w:val="662B7800"/>
    <w:rsid w:val="664B1C51"/>
    <w:rsid w:val="664D3C1B"/>
    <w:rsid w:val="665135D2"/>
    <w:rsid w:val="66522FDF"/>
    <w:rsid w:val="6659611C"/>
    <w:rsid w:val="66675DB0"/>
    <w:rsid w:val="666845B1"/>
    <w:rsid w:val="666F1DE3"/>
    <w:rsid w:val="666F3B91"/>
    <w:rsid w:val="66754F1F"/>
    <w:rsid w:val="667B2536"/>
    <w:rsid w:val="667E1F70"/>
    <w:rsid w:val="66805D9E"/>
    <w:rsid w:val="668533B4"/>
    <w:rsid w:val="668C4743"/>
    <w:rsid w:val="66952ECC"/>
    <w:rsid w:val="6695530A"/>
    <w:rsid w:val="669930A9"/>
    <w:rsid w:val="669B4986"/>
    <w:rsid w:val="669E4476"/>
    <w:rsid w:val="66A17AC3"/>
    <w:rsid w:val="66AD63BC"/>
    <w:rsid w:val="66B21CD0"/>
    <w:rsid w:val="66B84102"/>
    <w:rsid w:val="66BC66AA"/>
    <w:rsid w:val="66BE4AA2"/>
    <w:rsid w:val="66C0619B"/>
    <w:rsid w:val="66C7577B"/>
    <w:rsid w:val="66CB2379"/>
    <w:rsid w:val="66DD0934"/>
    <w:rsid w:val="66E005EB"/>
    <w:rsid w:val="66E520A5"/>
    <w:rsid w:val="670544F5"/>
    <w:rsid w:val="670818F0"/>
    <w:rsid w:val="67091DC0"/>
    <w:rsid w:val="67185D60"/>
    <w:rsid w:val="67217455"/>
    <w:rsid w:val="67346B89"/>
    <w:rsid w:val="67376850"/>
    <w:rsid w:val="673B7F17"/>
    <w:rsid w:val="673C1934"/>
    <w:rsid w:val="673F69F4"/>
    <w:rsid w:val="674111B0"/>
    <w:rsid w:val="674A1F08"/>
    <w:rsid w:val="674F1458"/>
    <w:rsid w:val="67580AC9"/>
    <w:rsid w:val="676034DA"/>
    <w:rsid w:val="6764746E"/>
    <w:rsid w:val="677217CF"/>
    <w:rsid w:val="67760F4F"/>
    <w:rsid w:val="677671A1"/>
    <w:rsid w:val="678216A2"/>
    <w:rsid w:val="67851192"/>
    <w:rsid w:val="67A37BB7"/>
    <w:rsid w:val="67A511E0"/>
    <w:rsid w:val="67AD2C7E"/>
    <w:rsid w:val="67B53825"/>
    <w:rsid w:val="67BD7742"/>
    <w:rsid w:val="67C779FD"/>
    <w:rsid w:val="67D22629"/>
    <w:rsid w:val="67D958E5"/>
    <w:rsid w:val="67DF4D46"/>
    <w:rsid w:val="67E06114"/>
    <w:rsid w:val="67E8385E"/>
    <w:rsid w:val="67E84159"/>
    <w:rsid w:val="67EE6D37"/>
    <w:rsid w:val="67F24A7A"/>
    <w:rsid w:val="67F85E08"/>
    <w:rsid w:val="68014CBD"/>
    <w:rsid w:val="680622D3"/>
    <w:rsid w:val="68107911"/>
    <w:rsid w:val="6817003C"/>
    <w:rsid w:val="682054F9"/>
    <w:rsid w:val="68232E85"/>
    <w:rsid w:val="68264723"/>
    <w:rsid w:val="68297D70"/>
    <w:rsid w:val="682C160E"/>
    <w:rsid w:val="68354966"/>
    <w:rsid w:val="68394457"/>
    <w:rsid w:val="683C3F47"/>
    <w:rsid w:val="683C4EF7"/>
    <w:rsid w:val="683E7CBF"/>
    <w:rsid w:val="684136FE"/>
    <w:rsid w:val="6845631E"/>
    <w:rsid w:val="68490412"/>
    <w:rsid w:val="684921C0"/>
    <w:rsid w:val="68526547"/>
    <w:rsid w:val="685E70DC"/>
    <w:rsid w:val="685F018D"/>
    <w:rsid w:val="686267CE"/>
    <w:rsid w:val="686314D3"/>
    <w:rsid w:val="68665D41"/>
    <w:rsid w:val="68676447"/>
    <w:rsid w:val="68721717"/>
    <w:rsid w:val="68774F7F"/>
    <w:rsid w:val="68792AA5"/>
    <w:rsid w:val="687E3344"/>
    <w:rsid w:val="687F5BE1"/>
    <w:rsid w:val="68817BAC"/>
    <w:rsid w:val="689326E4"/>
    <w:rsid w:val="6897117D"/>
    <w:rsid w:val="68975621"/>
    <w:rsid w:val="68997D16"/>
    <w:rsid w:val="689B6EBF"/>
    <w:rsid w:val="68AA0ED1"/>
    <w:rsid w:val="68AD274F"/>
    <w:rsid w:val="68B03FED"/>
    <w:rsid w:val="68BE2BAE"/>
    <w:rsid w:val="68BE495C"/>
    <w:rsid w:val="68C006D4"/>
    <w:rsid w:val="68D0643D"/>
    <w:rsid w:val="68D45F2D"/>
    <w:rsid w:val="68D75A1D"/>
    <w:rsid w:val="68DB3760"/>
    <w:rsid w:val="68DB3ACF"/>
    <w:rsid w:val="68DC0F3F"/>
    <w:rsid w:val="68EB3277"/>
    <w:rsid w:val="68EE2324"/>
    <w:rsid w:val="68F77E6E"/>
    <w:rsid w:val="68FC0C0D"/>
    <w:rsid w:val="6908207B"/>
    <w:rsid w:val="690C3919"/>
    <w:rsid w:val="690F0DB1"/>
    <w:rsid w:val="690F3409"/>
    <w:rsid w:val="69132EFA"/>
    <w:rsid w:val="69160CB0"/>
    <w:rsid w:val="692078F3"/>
    <w:rsid w:val="69216C99"/>
    <w:rsid w:val="6922138F"/>
    <w:rsid w:val="692F7608"/>
    <w:rsid w:val="69321F89"/>
    <w:rsid w:val="6938470E"/>
    <w:rsid w:val="693F6A4B"/>
    <w:rsid w:val="69407A67"/>
    <w:rsid w:val="69486DFA"/>
    <w:rsid w:val="69561038"/>
    <w:rsid w:val="695B664F"/>
    <w:rsid w:val="69605A13"/>
    <w:rsid w:val="696E0130"/>
    <w:rsid w:val="69733998"/>
    <w:rsid w:val="697414BE"/>
    <w:rsid w:val="69763488"/>
    <w:rsid w:val="69765236"/>
    <w:rsid w:val="69796AD5"/>
    <w:rsid w:val="697B284D"/>
    <w:rsid w:val="697F4755"/>
    <w:rsid w:val="698536CB"/>
    <w:rsid w:val="698F6E13"/>
    <w:rsid w:val="6994133F"/>
    <w:rsid w:val="69A27DD9"/>
    <w:rsid w:val="69A8001A"/>
    <w:rsid w:val="69AA4EE0"/>
    <w:rsid w:val="69AB1384"/>
    <w:rsid w:val="69B0699A"/>
    <w:rsid w:val="69B23EF1"/>
    <w:rsid w:val="69B67CCE"/>
    <w:rsid w:val="69B67D29"/>
    <w:rsid w:val="69B714CD"/>
    <w:rsid w:val="69B813AB"/>
    <w:rsid w:val="69BA3375"/>
    <w:rsid w:val="69C51D1A"/>
    <w:rsid w:val="69C77840"/>
    <w:rsid w:val="69CD18E0"/>
    <w:rsid w:val="69D72179"/>
    <w:rsid w:val="69D81A4D"/>
    <w:rsid w:val="69D8306A"/>
    <w:rsid w:val="69DD5C4F"/>
    <w:rsid w:val="69DF2DDC"/>
    <w:rsid w:val="69E403F2"/>
    <w:rsid w:val="69EB1780"/>
    <w:rsid w:val="69ED735F"/>
    <w:rsid w:val="69F34AD9"/>
    <w:rsid w:val="69F66377"/>
    <w:rsid w:val="6A0445F0"/>
    <w:rsid w:val="6A1231B1"/>
    <w:rsid w:val="6A185492"/>
    <w:rsid w:val="6A266C5C"/>
    <w:rsid w:val="6A2B41BB"/>
    <w:rsid w:val="6A3550F2"/>
    <w:rsid w:val="6A3C1FDC"/>
    <w:rsid w:val="6A464C09"/>
    <w:rsid w:val="6A48521E"/>
    <w:rsid w:val="6A4E7F61"/>
    <w:rsid w:val="6A554E4C"/>
    <w:rsid w:val="6A5A7D27"/>
    <w:rsid w:val="6A5C442C"/>
    <w:rsid w:val="6A5E63F6"/>
    <w:rsid w:val="6A7F3DFB"/>
    <w:rsid w:val="6A7F45BF"/>
    <w:rsid w:val="6A8614A9"/>
    <w:rsid w:val="6A8A1A2E"/>
    <w:rsid w:val="6A99074F"/>
    <w:rsid w:val="6A9E7D95"/>
    <w:rsid w:val="6AA54FFF"/>
    <w:rsid w:val="6AA87672"/>
    <w:rsid w:val="6AAC4074"/>
    <w:rsid w:val="6AAF0A00"/>
    <w:rsid w:val="6AB728CA"/>
    <w:rsid w:val="6AC45F20"/>
    <w:rsid w:val="6AC83870"/>
    <w:rsid w:val="6ACB15B2"/>
    <w:rsid w:val="6ACD70D8"/>
    <w:rsid w:val="6ACE4BFE"/>
    <w:rsid w:val="6AD6251C"/>
    <w:rsid w:val="6AE07293"/>
    <w:rsid w:val="6AEA7C8A"/>
    <w:rsid w:val="6AEF52A0"/>
    <w:rsid w:val="6AF01018"/>
    <w:rsid w:val="6AF20074"/>
    <w:rsid w:val="6AF606B0"/>
    <w:rsid w:val="6AFD7E4E"/>
    <w:rsid w:val="6B0A032C"/>
    <w:rsid w:val="6B1D2941"/>
    <w:rsid w:val="6B20545A"/>
    <w:rsid w:val="6B2111D2"/>
    <w:rsid w:val="6B247251"/>
    <w:rsid w:val="6B2F38EF"/>
    <w:rsid w:val="6B301415"/>
    <w:rsid w:val="6B347157"/>
    <w:rsid w:val="6B431148"/>
    <w:rsid w:val="6B4F741B"/>
    <w:rsid w:val="6B513865"/>
    <w:rsid w:val="6B543355"/>
    <w:rsid w:val="6B5D6400"/>
    <w:rsid w:val="6B5E2426"/>
    <w:rsid w:val="6B67752D"/>
    <w:rsid w:val="6B76151E"/>
    <w:rsid w:val="6B772050"/>
    <w:rsid w:val="6B7D0AFE"/>
    <w:rsid w:val="6B7D1561"/>
    <w:rsid w:val="6B862C3A"/>
    <w:rsid w:val="6B8C2AEF"/>
    <w:rsid w:val="6B8E4AB9"/>
    <w:rsid w:val="6B930322"/>
    <w:rsid w:val="6BA02A3F"/>
    <w:rsid w:val="6BA240C1"/>
    <w:rsid w:val="6BAD7C7E"/>
    <w:rsid w:val="6BB71CD9"/>
    <w:rsid w:val="6BB9072A"/>
    <w:rsid w:val="6BBB33D4"/>
    <w:rsid w:val="6BBF1117"/>
    <w:rsid w:val="6BC009EB"/>
    <w:rsid w:val="6BC229B5"/>
    <w:rsid w:val="6BC77FCB"/>
    <w:rsid w:val="6BD36970"/>
    <w:rsid w:val="6BD526E8"/>
    <w:rsid w:val="6BDD159D"/>
    <w:rsid w:val="6BE2359D"/>
    <w:rsid w:val="6BE75F78"/>
    <w:rsid w:val="6BE91CF0"/>
    <w:rsid w:val="6BE96194"/>
    <w:rsid w:val="6BF30089"/>
    <w:rsid w:val="6BFA214F"/>
    <w:rsid w:val="6BFD1C3F"/>
    <w:rsid w:val="6C04024F"/>
    <w:rsid w:val="6C094140"/>
    <w:rsid w:val="6C101972"/>
    <w:rsid w:val="6C225202"/>
    <w:rsid w:val="6C270A6A"/>
    <w:rsid w:val="6C350CF1"/>
    <w:rsid w:val="6C3A079D"/>
    <w:rsid w:val="6C3C4515"/>
    <w:rsid w:val="6C423AF6"/>
    <w:rsid w:val="6C57134F"/>
    <w:rsid w:val="6C5C39F3"/>
    <w:rsid w:val="6C5F6456"/>
    <w:rsid w:val="6C661592"/>
    <w:rsid w:val="6C6D0B73"/>
    <w:rsid w:val="6C702411"/>
    <w:rsid w:val="6C727F37"/>
    <w:rsid w:val="6C7A3290"/>
    <w:rsid w:val="6C7B3D7F"/>
    <w:rsid w:val="6C7F08A6"/>
    <w:rsid w:val="6C895281"/>
    <w:rsid w:val="6C8958D0"/>
    <w:rsid w:val="6C8B0FF9"/>
    <w:rsid w:val="6C90660F"/>
    <w:rsid w:val="6C9854C4"/>
    <w:rsid w:val="6C9A123C"/>
    <w:rsid w:val="6CA62EAB"/>
    <w:rsid w:val="6CAA652D"/>
    <w:rsid w:val="6CAB51F7"/>
    <w:rsid w:val="6CB467A2"/>
    <w:rsid w:val="6CB56076"/>
    <w:rsid w:val="6CB95B66"/>
    <w:rsid w:val="6CB97B51"/>
    <w:rsid w:val="6CC72070"/>
    <w:rsid w:val="6CC8224D"/>
    <w:rsid w:val="6CCE7137"/>
    <w:rsid w:val="6CD01EDC"/>
    <w:rsid w:val="6CD429A0"/>
    <w:rsid w:val="6CD75FEC"/>
    <w:rsid w:val="6CEC68FA"/>
    <w:rsid w:val="6CED5810"/>
    <w:rsid w:val="6CFA7F2C"/>
    <w:rsid w:val="6CFD59CC"/>
    <w:rsid w:val="6D013069"/>
    <w:rsid w:val="6D050DAB"/>
    <w:rsid w:val="6D107750"/>
    <w:rsid w:val="6D140FA1"/>
    <w:rsid w:val="6D153790"/>
    <w:rsid w:val="6D1E1E6D"/>
    <w:rsid w:val="6D2B458A"/>
    <w:rsid w:val="6D317DF2"/>
    <w:rsid w:val="6D4713C4"/>
    <w:rsid w:val="6D480C98"/>
    <w:rsid w:val="6D4A0EB4"/>
    <w:rsid w:val="6D4A4A10"/>
    <w:rsid w:val="6D4C314B"/>
    <w:rsid w:val="6D4C4C2C"/>
    <w:rsid w:val="6D4D281A"/>
    <w:rsid w:val="6D521B17"/>
    <w:rsid w:val="6D553112"/>
    <w:rsid w:val="6D594C53"/>
    <w:rsid w:val="6D624790"/>
    <w:rsid w:val="6D645DE7"/>
    <w:rsid w:val="6D6C2536"/>
    <w:rsid w:val="6D704099"/>
    <w:rsid w:val="6D716C11"/>
    <w:rsid w:val="6D761CA9"/>
    <w:rsid w:val="6D7E290C"/>
    <w:rsid w:val="6D806684"/>
    <w:rsid w:val="6D877A12"/>
    <w:rsid w:val="6D8819DC"/>
    <w:rsid w:val="6D8C36B9"/>
    <w:rsid w:val="6D8C5028"/>
    <w:rsid w:val="6D8D5B32"/>
    <w:rsid w:val="6D961CAF"/>
    <w:rsid w:val="6D965EA7"/>
    <w:rsid w:val="6D970E1E"/>
    <w:rsid w:val="6D97577B"/>
    <w:rsid w:val="6D992BE2"/>
    <w:rsid w:val="6D9E2FAE"/>
    <w:rsid w:val="6DA06D26"/>
    <w:rsid w:val="6DB12CE1"/>
    <w:rsid w:val="6DB21D25"/>
    <w:rsid w:val="6DB36A59"/>
    <w:rsid w:val="6DB8406F"/>
    <w:rsid w:val="6DBD1686"/>
    <w:rsid w:val="6DBE0F5A"/>
    <w:rsid w:val="6DDD7632"/>
    <w:rsid w:val="6DE11D09"/>
    <w:rsid w:val="6DEE5CE3"/>
    <w:rsid w:val="6DF332FA"/>
    <w:rsid w:val="6DF37070"/>
    <w:rsid w:val="6DFC340E"/>
    <w:rsid w:val="6E005A16"/>
    <w:rsid w:val="6E080427"/>
    <w:rsid w:val="6E192634"/>
    <w:rsid w:val="6E224144"/>
    <w:rsid w:val="6E261D16"/>
    <w:rsid w:val="6E2A4841"/>
    <w:rsid w:val="6E340DE8"/>
    <w:rsid w:val="6E5A0717"/>
    <w:rsid w:val="6E5D0773"/>
    <w:rsid w:val="6E5D572C"/>
    <w:rsid w:val="6E661D1D"/>
    <w:rsid w:val="6E69536A"/>
    <w:rsid w:val="6E6B10E2"/>
    <w:rsid w:val="6E702E28"/>
    <w:rsid w:val="6E71421E"/>
    <w:rsid w:val="6E80153A"/>
    <w:rsid w:val="6E867CCA"/>
    <w:rsid w:val="6E881C94"/>
    <w:rsid w:val="6E9323E7"/>
    <w:rsid w:val="6E95615F"/>
    <w:rsid w:val="6EA75E92"/>
    <w:rsid w:val="6EAC5256"/>
    <w:rsid w:val="6EBA3E17"/>
    <w:rsid w:val="6ED70525"/>
    <w:rsid w:val="6EDF387E"/>
    <w:rsid w:val="6EE844E0"/>
    <w:rsid w:val="6EFB6198"/>
    <w:rsid w:val="6EFF5CCE"/>
    <w:rsid w:val="6F045092"/>
    <w:rsid w:val="6F056725"/>
    <w:rsid w:val="6F060E0B"/>
    <w:rsid w:val="6F062595"/>
    <w:rsid w:val="6F0626E6"/>
    <w:rsid w:val="6F11066A"/>
    <w:rsid w:val="6F125A01"/>
    <w:rsid w:val="6F1572A0"/>
    <w:rsid w:val="6F2017CE"/>
    <w:rsid w:val="6F255735"/>
    <w:rsid w:val="6F262186"/>
    <w:rsid w:val="6F286FD3"/>
    <w:rsid w:val="6F29088E"/>
    <w:rsid w:val="6F2E5B95"/>
    <w:rsid w:val="6F35349E"/>
    <w:rsid w:val="6F377216"/>
    <w:rsid w:val="6F3E2352"/>
    <w:rsid w:val="6F4A519B"/>
    <w:rsid w:val="6F4B2CC1"/>
    <w:rsid w:val="6F4C1E78"/>
    <w:rsid w:val="6F511295"/>
    <w:rsid w:val="6F591DC4"/>
    <w:rsid w:val="6F615975"/>
    <w:rsid w:val="6F63625D"/>
    <w:rsid w:val="6F653D83"/>
    <w:rsid w:val="6F6D0E8A"/>
    <w:rsid w:val="6F712728"/>
    <w:rsid w:val="6F7E4E45"/>
    <w:rsid w:val="6F7E6BF3"/>
    <w:rsid w:val="6F806E0F"/>
    <w:rsid w:val="6F8A763A"/>
    <w:rsid w:val="6FA10B33"/>
    <w:rsid w:val="6FA61EDA"/>
    <w:rsid w:val="6FB17851"/>
    <w:rsid w:val="6FB22D40"/>
    <w:rsid w:val="6FB35CCE"/>
    <w:rsid w:val="6FB940CF"/>
    <w:rsid w:val="6FBC6B6A"/>
    <w:rsid w:val="6FBD596D"/>
    <w:rsid w:val="6FBE3493"/>
    <w:rsid w:val="6FC0310B"/>
    <w:rsid w:val="6FC84312"/>
    <w:rsid w:val="6FCA008A"/>
    <w:rsid w:val="6FCA56FF"/>
    <w:rsid w:val="6FCF26C8"/>
    <w:rsid w:val="6FD76303"/>
    <w:rsid w:val="6FDB2297"/>
    <w:rsid w:val="6FDB5DF3"/>
    <w:rsid w:val="6FE117B7"/>
    <w:rsid w:val="6FE17B63"/>
    <w:rsid w:val="6FE729EA"/>
    <w:rsid w:val="6FEC0A99"/>
    <w:rsid w:val="6FEF6F6B"/>
    <w:rsid w:val="6FF6177C"/>
    <w:rsid w:val="6FFE7D34"/>
    <w:rsid w:val="70027824"/>
    <w:rsid w:val="70082960"/>
    <w:rsid w:val="70117DBC"/>
    <w:rsid w:val="70125E9D"/>
    <w:rsid w:val="70316E4B"/>
    <w:rsid w:val="70324DB5"/>
    <w:rsid w:val="70351797"/>
    <w:rsid w:val="70357BF9"/>
    <w:rsid w:val="70444E49"/>
    <w:rsid w:val="70500004"/>
    <w:rsid w:val="705362D1"/>
    <w:rsid w:val="70553DF8"/>
    <w:rsid w:val="70580FD2"/>
    <w:rsid w:val="705B0CE2"/>
    <w:rsid w:val="7064228D"/>
    <w:rsid w:val="70673B2B"/>
    <w:rsid w:val="706A7177"/>
    <w:rsid w:val="70700C31"/>
    <w:rsid w:val="707029DF"/>
    <w:rsid w:val="707B3B76"/>
    <w:rsid w:val="707D50FC"/>
    <w:rsid w:val="70810BBD"/>
    <w:rsid w:val="708244C1"/>
    <w:rsid w:val="708A15C7"/>
    <w:rsid w:val="70926DFA"/>
    <w:rsid w:val="70A64653"/>
    <w:rsid w:val="70AA4DD8"/>
    <w:rsid w:val="70AF133A"/>
    <w:rsid w:val="70B36D70"/>
    <w:rsid w:val="70B57499"/>
    <w:rsid w:val="70C2252D"/>
    <w:rsid w:val="70C426AE"/>
    <w:rsid w:val="70D24CB2"/>
    <w:rsid w:val="70D82149"/>
    <w:rsid w:val="70D82318"/>
    <w:rsid w:val="70EA5B0A"/>
    <w:rsid w:val="70F34CED"/>
    <w:rsid w:val="70F52EE5"/>
    <w:rsid w:val="70FC0717"/>
    <w:rsid w:val="70FF1FB5"/>
    <w:rsid w:val="70FF2622"/>
    <w:rsid w:val="71045574"/>
    <w:rsid w:val="71093FAF"/>
    <w:rsid w:val="711041C2"/>
    <w:rsid w:val="71170DE7"/>
    <w:rsid w:val="711A294B"/>
    <w:rsid w:val="711B1D67"/>
    <w:rsid w:val="71291388"/>
    <w:rsid w:val="712F289B"/>
    <w:rsid w:val="712F4EF8"/>
    <w:rsid w:val="712F66B1"/>
    <w:rsid w:val="71325EE7"/>
    <w:rsid w:val="7136234C"/>
    <w:rsid w:val="713734FD"/>
    <w:rsid w:val="713779A1"/>
    <w:rsid w:val="71386AE4"/>
    <w:rsid w:val="71467BE4"/>
    <w:rsid w:val="715440AF"/>
    <w:rsid w:val="7162598C"/>
    <w:rsid w:val="717007BD"/>
    <w:rsid w:val="717209D9"/>
    <w:rsid w:val="717464FF"/>
    <w:rsid w:val="71765292"/>
    <w:rsid w:val="717A3B7A"/>
    <w:rsid w:val="717B788E"/>
    <w:rsid w:val="71837D11"/>
    <w:rsid w:val="7185070D"/>
    <w:rsid w:val="71866233"/>
    <w:rsid w:val="71881FAB"/>
    <w:rsid w:val="718B7326"/>
    <w:rsid w:val="718F6E95"/>
    <w:rsid w:val="71995F66"/>
    <w:rsid w:val="719A55EB"/>
    <w:rsid w:val="719C15B2"/>
    <w:rsid w:val="719C7804"/>
    <w:rsid w:val="71A1306D"/>
    <w:rsid w:val="71A87F57"/>
    <w:rsid w:val="71AF6B64"/>
    <w:rsid w:val="71AF7537"/>
    <w:rsid w:val="71B608C6"/>
    <w:rsid w:val="71B66B18"/>
    <w:rsid w:val="71C11019"/>
    <w:rsid w:val="71C31235"/>
    <w:rsid w:val="71C805F9"/>
    <w:rsid w:val="71CB1E97"/>
    <w:rsid w:val="71CD3E62"/>
    <w:rsid w:val="71CF16F7"/>
    <w:rsid w:val="71D074AE"/>
    <w:rsid w:val="71DB032D"/>
    <w:rsid w:val="71DF7843"/>
    <w:rsid w:val="71E80C9B"/>
    <w:rsid w:val="71EA67C2"/>
    <w:rsid w:val="71F87130"/>
    <w:rsid w:val="72083FD5"/>
    <w:rsid w:val="72135D18"/>
    <w:rsid w:val="72165809"/>
    <w:rsid w:val="72225F5B"/>
    <w:rsid w:val="72233A82"/>
    <w:rsid w:val="722515A8"/>
    <w:rsid w:val="72304AE9"/>
    <w:rsid w:val="724063E2"/>
    <w:rsid w:val="724240AF"/>
    <w:rsid w:val="724C2FD8"/>
    <w:rsid w:val="7251239D"/>
    <w:rsid w:val="72550017"/>
    <w:rsid w:val="726C5429"/>
    <w:rsid w:val="726E67CB"/>
    <w:rsid w:val="727B395B"/>
    <w:rsid w:val="72830134"/>
    <w:rsid w:val="72842772"/>
    <w:rsid w:val="72893519"/>
    <w:rsid w:val="72966949"/>
    <w:rsid w:val="72971E6C"/>
    <w:rsid w:val="7298446F"/>
    <w:rsid w:val="7298621E"/>
    <w:rsid w:val="729D3834"/>
    <w:rsid w:val="72AC77B8"/>
    <w:rsid w:val="72AC7F1B"/>
    <w:rsid w:val="72AF11DE"/>
    <w:rsid w:val="72AF5315"/>
    <w:rsid w:val="72BD3ED6"/>
    <w:rsid w:val="72BF19FC"/>
    <w:rsid w:val="72C50343"/>
    <w:rsid w:val="72C60FDD"/>
    <w:rsid w:val="72C62E8F"/>
    <w:rsid w:val="72CC7058"/>
    <w:rsid w:val="72CD5ED6"/>
    <w:rsid w:val="72D07765"/>
    <w:rsid w:val="72DB7800"/>
    <w:rsid w:val="72DD00D4"/>
    <w:rsid w:val="72E17BC5"/>
    <w:rsid w:val="72E27499"/>
    <w:rsid w:val="72EC6569"/>
    <w:rsid w:val="72EE1AA5"/>
    <w:rsid w:val="72EE3AA0"/>
    <w:rsid w:val="72F21DD2"/>
    <w:rsid w:val="72F83160"/>
    <w:rsid w:val="7309711B"/>
    <w:rsid w:val="730B0266"/>
    <w:rsid w:val="73132FE3"/>
    <w:rsid w:val="731A30D6"/>
    <w:rsid w:val="731C6E4F"/>
    <w:rsid w:val="73214465"/>
    <w:rsid w:val="73247AB1"/>
    <w:rsid w:val="73277873"/>
    <w:rsid w:val="7329331A"/>
    <w:rsid w:val="732B52E4"/>
    <w:rsid w:val="732D4BB8"/>
    <w:rsid w:val="732E26DE"/>
    <w:rsid w:val="7332728E"/>
    <w:rsid w:val="734168B5"/>
    <w:rsid w:val="734B7734"/>
    <w:rsid w:val="734E792B"/>
    <w:rsid w:val="735272D8"/>
    <w:rsid w:val="7355410F"/>
    <w:rsid w:val="73571C35"/>
    <w:rsid w:val="735760D9"/>
    <w:rsid w:val="736507F6"/>
    <w:rsid w:val="73733BEB"/>
    <w:rsid w:val="7379430D"/>
    <w:rsid w:val="737E0695"/>
    <w:rsid w:val="737F435D"/>
    <w:rsid w:val="738549F4"/>
    <w:rsid w:val="73892A42"/>
    <w:rsid w:val="738B7B30"/>
    <w:rsid w:val="73970283"/>
    <w:rsid w:val="739704D6"/>
    <w:rsid w:val="73976F1E"/>
    <w:rsid w:val="73A0182E"/>
    <w:rsid w:val="73A86934"/>
    <w:rsid w:val="73A94CE3"/>
    <w:rsid w:val="73AB01D2"/>
    <w:rsid w:val="73AD7AA7"/>
    <w:rsid w:val="73AF7CC3"/>
    <w:rsid w:val="73BE1CB4"/>
    <w:rsid w:val="73C72F6F"/>
    <w:rsid w:val="73C81CF5"/>
    <w:rsid w:val="73CA68AB"/>
    <w:rsid w:val="73CF036D"/>
    <w:rsid w:val="73D12A69"/>
    <w:rsid w:val="73D2750D"/>
    <w:rsid w:val="73D85635"/>
    <w:rsid w:val="73DA4614"/>
    <w:rsid w:val="73DB0AB8"/>
    <w:rsid w:val="73E159A2"/>
    <w:rsid w:val="73E3796C"/>
    <w:rsid w:val="73E67E08"/>
    <w:rsid w:val="73ED4347"/>
    <w:rsid w:val="73F7186B"/>
    <w:rsid w:val="74026176"/>
    <w:rsid w:val="740A4B8B"/>
    <w:rsid w:val="74185891"/>
    <w:rsid w:val="741A4194"/>
    <w:rsid w:val="741C2EBF"/>
    <w:rsid w:val="74202B35"/>
    <w:rsid w:val="74213E3F"/>
    <w:rsid w:val="74257F85"/>
    <w:rsid w:val="74336F75"/>
    <w:rsid w:val="743B50B2"/>
    <w:rsid w:val="74452E4D"/>
    <w:rsid w:val="744A79EB"/>
    <w:rsid w:val="744F5002"/>
    <w:rsid w:val="74546174"/>
    <w:rsid w:val="7458144D"/>
    <w:rsid w:val="74597CAA"/>
    <w:rsid w:val="74600FBD"/>
    <w:rsid w:val="74626AE3"/>
    <w:rsid w:val="74654825"/>
    <w:rsid w:val="746A1E3C"/>
    <w:rsid w:val="746C1710"/>
    <w:rsid w:val="74716D26"/>
    <w:rsid w:val="74751C14"/>
    <w:rsid w:val="747800B5"/>
    <w:rsid w:val="74784559"/>
    <w:rsid w:val="747F7695"/>
    <w:rsid w:val="74844CAB"/>
    <w:rsid w:val="748922C2"/>
    <w:rsid w:val="748E7A24"/>
    <w:rsid w:val="749B3DA3"/>
    <w:rsid w:val="749F7D37"/>
    <w:rsid w:val="74A15EE3"/>
    <w:rsid w:val="74A25132"/>
    <w:rsid w:val="74A92964"/>
    <w:rsid w:val="74AA04E4"/>
    <w:rsid w:val="74AF784E"/>
    <w:rsid w:val="74B007C8"/>
    <w:rsid w:val="74B310ED"/>
    <w:rsid w:val="74B45308"/>
    <w:rsid w:val="74B60357"/>
    <w:rsid w:val="74BF3F35"/>
    <w:rsid w:val="74C27582"/>
    <w:rsid w:val="74CA6436"/>
    <w:rsid w:val="74CD7EB1"/>
    <w:rsid w:val="74CF1C9F"/>
    <w:rsid w:val="74D6302D"/>
    <w:rsid w:val="74DF6D8A"/>
    <w:rsid w:val="74E41BEE"/>
    <w:rsid w:val="74E94872"/>
    <w:rsid w:val="74E97204"/>
    <w:rsid w:val="74EB4D2A"/>
    <w:rsid w:val="74F0120D"/>
    <w:rsid w:val="74F160B9"/>
    <w:rsid w:val="74F51705"/>
    <w:rsid w:val="74F55BA9"/>
    <w:rsid w:val="74FF4332"/>
    <w:rsid w:val="750174DE"/>
    <w:rsid w:val="75033738"/>
    <w:rsid w:val="75041948"/>
    <w:rsid w:val="75053C12"/>
    <w:rsid w:val="750E27C7"/>
    <w:rsid w:val="75165E2B"/>
    <w:rsid w:val="751667A4"/>
    <w:rsid w:val="751E7EA9"/>
    <w:rsid w:val="75240788"/>
    <w:rsid w:val="75265D63"/>
    <w:rsid w:val="752913AF"/>
    <w:rsid w:val="75371D1E"/>
    <w:rsid w:val="753B3CE4"/>
    <w:rsid w:val="753C5586"/>
    <w:rsid w:val="753C7334"/>
    <w:rsid w:val="754B3A1B"/>
    <w:rsid w:val="754E52B9"/>
    <w:rsid w:val="755D067C"/>
    <w:rsid w:val="756248C1"/>
    <w:rsid w:val="75705230"/>
    <w:rsid w:val="757545F4"/>
    <w:rsid w:val="75842A89"/>
    <w:rsid w:val="759251A6"/>
    <w:rsid w:val="75970A0E"/>
    <w:rsid w:val="75AA6994"/>
    <w:rsid w:val="75AC5C2D"/>
    <w:rsid w:val="75B01AD0"/>
    <w:rsid w:val="75B5264E"/>
    <w:rsid w:val="75B90985"/>
    <w:rsid w:val="75CE1F56"/>
    <w:rsid w:val="75D67789"/>
    <w:rsid w:val="75E63FB9"/>
    <w:rsid w:val="75EC09C9"/>
    <w:rsid w:val="75F0011F"/>
    <w:rsid w:val="75F96FD3"/>
    <w:rsid w:val="76040816"/>
    <w:rsid w:val="760660B3"/>
    <w:rsid w:val="760F67F7"/>
    <w:rsid w:val="76120095"/>
    <w:rsid w:val="7616308C"/>
    <w:rsid w:val="761D53B8"/>
    <w:rsid w:val="7621477C"/>
    <w:rsid w:val="76220B2D"/>
    <w:rsid w:val="76285B0A"/>
    <w:rsid w:val="762B73A9"/>
    <w:rsid w:val="76310E01"/>
    <w:rsid w:val="76377AFB"/>
    <w:rsid w:val="763C15B6"/>
    <w:rsid w:val="763F6AF7"/>
    <w:rsid w:val="76407E59"/>
    <w:rsid w:val="764C17F9"/>
    <w:rsid w:val="76514E25"/>
    <w:rsid w:val="765468FF"/>
    <w:rsid w:val="76640BA3"/>
    <w:rsid w:val="76684159"/>
    <w:rsid w:val="766C36E9"/>
    <w:rsid w:val="766F3739"/>
    <w:rsid w:val="76766876"/>
    <w:rsid w:val="76872831"/>
    <w:rsid w:val="768F5B89"/>
    <w:rsid w:val="76915043"/>
    <w:rsid w:val="769211D6"/>
    <w:rsid w:val="7693567A"/>
    <w:rsid w:val="76962A74"/>
    <w:rsid w:val="769C643A"/>
    <w:rsid w:val="76A038F3"/>
    <w:rsid w:val="76A333E3"/>
    <w:rsid w:val="76AB5518"/>
    <w:rsid w:val="76AF3B36"/>
    <w:rsid w:val="76BF103C"/>
    <w:rsid w:val="76C515AB"/>
    <w:rsid w:val="76C75323"/>
    <w:rsid w:val="76CD24DB"/>
    <w:rsid w:val="76CE535E"/>
    <w:rsid w:val="76D36023"/>
    <w:rsid w:val="76DA5057"/>
    <w:rsid w:val="76DB0DCF"/>
    <w:rsid w:val="76DD072F"/>
    <w:rsid w:val="76E23F0B"/>
    <w:rsid w:val="76EC2FDC"/>
    <w:rsid w:val="76EF03D6"/>
    <w:rsid w:val="77004391"/>
    <w:rsid w:val="77032368"/>
    <w:rsid w:val="770515E2"/>
    <w:rsid w:val="770A5814"/>
    <w:rsid w:val="770D4555"/>
    <w:rsid w:val="7715608F"/>
    <w:rsid w:val="771C1FDE"/>
    <w:rsid w:val="771D190F"/>
    <w:rsid w:val="771F2A69"/>
    <w:rsid w:val="77204A34"/>
    <w:rsid w:val="772462D2"/>
    <w:rsid w:val="77271D0E"/>
    <w:rsid w:val="77297D8C"/>
    <w:rsid w:val="7730111A"/>
    <w:rsid w:val="77304063"/>
    <w:rsid w:val="77336515"/>
    <w:rsid w:val="77402F1E"/>
    <w:rsid w:val="77422EBA"/>
    <w:rsid w:val="7742417D"/>
    <w:rsid w:val="774626EC"/>
    <w:rsid w:val="77470212"/>
    <w:rsid w:val="77562203"/>
    <w:rsid w:val="77585F7B"/>
    <w:rsid w:val="775C1F10"/>
    <w:rsid w:val="775D3592"/>
    <w:rsid w:val="775F555C"/>
    <w:rsid w:val="77672662"/>
    <w:rsid w:val="776911FE"/>
    <w:rsid w:val="77692650"/>
    <w:rsid w:val="776E579F"/>
    <w:rsid w:val="777A05E8"/>
    <w:rsid w:val="777C1537"/>
    <w:rsid w:val="777C7EBC"/>
    <w:rsid w:val="777D5643"/>
    <w:rsid w:val="778B00FF"/>
    <w:rsid w:val="778E33FA"/>
    <w:rsid w:val="779B4D17"/>
    <w:rsid w:val="779F3850"/>
    <w:rsid w:val="779F3BAA"/>
    <w:rsid w:val="77AB69F3"/>
    <w:rsid w:val="77B51620"/>
    <w:rsid w:val="77B8087C"/>
    <w:rsid w:val="77C655DB"/>
    <w:rsid w:val="77C96E79"/>
    <w:rsid w:val="77CA50CB"/>
    <w:rsid w:val="77D45F4A"/>
    <w:rsid w:val="77DC01F8"/>
    <w:rsid w:val="77DC6BAC"/>
    <w:rsid w:val="77E23101"/>
    <w:rsid w:val="77E31CE9"/>
    <w:rsid w:val="77E43CB3"/>
    <w:rsid w:val="77FC60FC"/>
    <w:rsid w:val="780305DD"/>
    <w:rsid w:val="780455AE"/>
    <w:rsid w:val="78100B75"/>
    <w:rsid w:val="781A76D5"/>
    <w:rsid w:val="781C51FB"/>
    <w:rsid w:val="781C6803"/>
    <w:rsid w:val="78264642"/>
    <w:rsid w:val="78267E28"/>
    <w:rsid w:val="78282708"/>
    <w:rsid w:val="782D11B6"/>
    <w:rsid w:val="782D7408"/>
    <w:rsid w:val="7840538D"/>
    <w:rsid w:val="7840713B"/>
    <w:rsid w:val="7845018F"/>
    <w:rsid w:val="784B3700"/>
    <w:rsid w:val="784C3D32"/>
    <w:rsid w:val="786453D8"/>
    <w:rsid w:val="78711EA5"/>
    <w:rsid w:val="787768D5"/>
    <w:rsid w:val="78855BE3"/>
    <w:rsid w:val="788A2AAC"/>
    <w:rsid w:val="78915BE9"/>
    <w:rsid w:val="78931961"/>
    <w:rsid w:val="7898151B"/>
    <w:rsid w:val="78992CEF"/>
    <w:rsid w:val="78A31478"/>
    <w:rsid w:val="78AC273E"/>
    <w:rsid w:val="78AF42C1"/>
    <w:rsid w:val="78BB2C66"/>
    <w:rsid w:val="78BE4504"/>
    <w:rsid w:val="78CA10FB"/>
    <w:rsid w:val="78CF18F3"/>
    <w:rsid w:val="78D14237"/>
    <w:rsid w:val="78D427BB"/>
    <w:rsid w:val="78D87374"/>
    <w:rsid w:val="78E74C65"/>
    <w:rsid w:val="78E765DB"/>
    <w:rsid w:val="78EB1369"/>
    <w:rsid w:val="78EC1071"/>
    <w:rsid w:val="78EE303B"/>
    <w:rsid w:val="78EE5DE4"/>
    <w:rsid w:val="78F07CFF"/>
    <w:rsid w:val="78F10436"/>
    <w:rsid w:val="78F87A16"/>
    <w:rsid w:val="790463BB"/>
    <w:rsid w:val="790623B2"/>
    <w:rsid w:val="79076AF4"/>
    <w:rsid w:val="790A599B"/>
    <w:rsid w:val="790E7239"/>
    <w:rsid w:val="79153E8F"/>
    <w:rsid w:val="7919798C"/>
    <w:rsid w:val="791F1447"/>
    <w:rsid w:val="792F41EE"/>
    <w:rsid w:val="79312F28"/>
    <w:rsid w:val="793547C6"/>
    <w:rsid w:val="793842B6"/>
    <w:rsid w:val="79420C91"/>
    <w:rsid w:val="7950018C"/>
    <w:rsid w:val="795A422D"/>
    <w:rsid w:val="796343F3"/>
    <w:rsid w:val="796432FD"/>
    <w:rsid w:val="796C3F60"/>
    <w:rsid w:val="796E1A86"/>
    <w:rsid w:val="797572B9"/>
    <w:rsid w:val="79774418"/>
    <w:rsid w:val="7981580B"/>
    <w:rsid w:val="798219D5"/>
    <w:rsid w:val="798338A8"/>
    <w:rsid w:val="79893713"/>
    <w:rsid w:val="798E2128"/>
    <w:rsid w:val="79975481"/>
    <w:rsid w:val="799C46FE"/>
    <w:rsid w:val="79A27982"/>
    <w:rsid w:val="79A75DED"/>
    <w:rsid w:val="79B25E17"/>
    <w:rsid w:val="79BC6C95"/>
    <w:rsid w:val="79BF6786"/>
    <w:rsid w:val="79C142AC"/>
    <w:rsid w:val="79C45B4A"/>
    <w:rsid w:val="79CB3CB1"/>
    <w:rsid w:val="79CE69C9"/>
    <w:rsid w:val="79DD09BA"/>
    <w:rsid w:val="79DE4E5E"/>
    <w:rsid w:val="79E76D73"/>
    <w:rsid w:val="79FD2E0A"/>
    <w:rsid w:val="79FD49B1"/>
    <w:rsid w:val="7A010B4C"/>
    <w:rsid w:val="7A0423EA"/>
    <w:rsid w:val="7A076053"/>
    <w:rsid w:val="7A0E65CB"/>
    <w:rsid w:val="7A1E16FE"/>
    <w:rsid w:val="7A206B88"/>
    <w:rsid w:val="7A214D4A"/>
    <w:rsid w:val="7A232871"/>
    <w:rsid w:val="7A266805"/>
    <w:rsid w:val="7A291E51"/>
    <w:rsid w:val="7A2D7B93"/>
    <w:rsid w:val="7A310A9A"/>
    <w:rsid w:val="7A337702"/>
    <w:rsid w:val="7A344A7E"/>
    <w:rsid w:val="7A3A5E0C"/>
    <w:rsid w:val="7A410F49"/>
    <w:rsid w:val="7A41719B"/>
    <w:rsid w:val="7A4A42A1"/>
    <w:rsid w:val="7A5E5F9F"/>
    <w:rsid w:val="7A61783D"/>
    <w:rsid w:val="7A632BD2"/>
    <w:rsid w:val="7A637111"/>
    <w:rsid w:val="7A664E53"/>
    <w:rsid w:val="7A6A41B1"/>
    <w:rsid w:val="7A6B246A"/>
    <w:rsid w:val="7A7271B3"/>
    <w:rsid w:val="7A792DD8"/>
    <w:rsid w:val="7A8105BA"/>
    <w:rsid w:val="7A88301C"/>
    <w:rsid w:val="7A8F6158"/>
    <w:rsid w:val="7A9820D4"/>
    <w:rsid w:val="7A9F2AF1"/>
    <w:rsid w:val="7AA5772A"/>
    <w:rsid w:val="7AAA2F92"/>
    <w:rsid w:val="7AAB7C7F"/>
    <w:rsid w:val="7AAC0AB8"/>
    <w:rsid w:val="7AAF05A8"/>
    <w:rsid w:val="7AB124F9"/>
    <w:rsid w:val="7AB616DF"/>
    <w:rsid w:val="7AB931D5"/>
    <w:rsid w:val="7ABF2A91"/>
    <w:rsid w:val="7AC0190A"/>
    <w:rsid w:val="7AC01F9E"/>
    <w:rsid w:val="7ACC5D4D"/>
    <w:rsid w:val="7ACF47A6"/>
    <w:rsid w:val="7AD31EBB"/>
    <w:rsid w:val="7AD4000F"/>
    <w:rsid w:val="7AD60D06"/>
    <w:rsid w:val="7AD87AFF"/>
    <w:rsid w:val="7AD93877"/>
    <w:rsid w:val="7ADE2C3C"/>
    <w:rsid w:val="7AE00762"/>
    <w:rsid w:val="7AE077B3"/>
    <w:rsid w:val="7AE244DA"/>
    <w:rsid w:val="7AED2E7F"/>
    <w:rsid w:val="7AEF309B"/>
    <w:rsid w:val="7AF1296F"/>
    <w:rsid w:val="7AFD1845"/>
    <w:rsid w:val="7AFE6E3A"/>
    <w:rsid w:val="7B057619"/>
    <w:rsid w:val="7B080F8B"/>
    <w:rsid w:val="7B095F0A"/>
    <w:rsid w:val="7B0C1C63"/>
    <w:rsid w:val="7B0F54EB"/>
    <w:rsid w:val="7B141EB5"/>
    <w:rsid w:val="7B1867BE"/>
    <w:rsid w:val="7B193C74"/>
    <w:rsid w:val="7B1E128A"/>
    <w:rsid w:val="7B2528B4"/>
    <w:rsid w:val="7B28738D"/>
    <w:rsid w:val="7B2E5971"/>
    <w:rsid w:val="7B2E771F"/>
    <w:rsid w:val="7B2F16E9"/>
    <w:rsid w:val="7B315461"/>
    <w:rsid w:val="7B364826"/>
    <w:rsid w:val="7B3E36DA"/>
    <w:rsid w:val="7B3F7B7E"/>
    <w:rsid w:val="7B445194"/>
    <w:rsid w:val="7B542EFE"/>
    <w:rsid w:val="7B590472"/>
    <w:rsid w:val="7B5B24DE"/>
    <w:rsid w:val="7B5B603A"/>
    <w:rsid w:val="7B5E1D41"/>
    <w:rsid w:val="7B672C31"/>
    <w:rsid w:val="7B6E0463"/>
    <w:rsid w:val="7B6E3382"/>
    <w:rsid w:val="7B736704"/>
    <w:rsid w:val="7B747C5C"/>
    <w:rsid w:val="7B7507E2"/>
    <w:rsid w:val="7B7A2F80"/>
    <w:rsid w:val="7B7A6E08"/>
    <w:rsid w:val="7B7B66DC"/>
    <w:rsid w:val="7B7E62BE"/>
    <w:rsid w:val="7B811F45"/>
    <w:rsid w:val="7B8C08E9"/>
    <w:rsid w:val="7B8D6A5D"/>
    <w:rsid w:val="7B955782"/>
    <w:rsid w:val="7B9C70ED"/>
    <w:rsid w:val="7BAE45F5"/>
    <w:rsid w:val="7BB35E76"/>
    <w:rsid w:val="7BB37C24"/>
    <w:rsid w:val="7BBA7CF2"/>
    <w:rsid w:val="7BBD0AA3"/>
    <w:rsid w:val="7BC10593"/>
    <w:rsid w:val="7BC736D0"/>
    <w:rsid w:val="7BC77B74"/>
    <w:rsid w:val="7BCC6F38"/>
    <w:rsid w:val="7BCF0EA8"/>
    <w:rsid w:val="7BD32392"/>
    <w:rsid w:val="7BD55DED"/>
    <w:rsid w:val="7BDC361F"/>
    <w:rsid w:val="7BE10C35"/>
    <w:rsid w:val="7BE355C9"/>
    <w:rsid w:val="7BE81FC4"/>
    <w:rsid w:val="7BFE17E7"/>
    <w:rsid w:val="7BFF10BB"/>
    <w:rsid w:val="7C07182B"/>
    <w:rsid w:val="7C094F9C"/>
    <w:rsid w:val="7C1F350C"/>
    <w:rsid w:val="7C280612"/>
    <w:rsid w:val="7C29438A"/>
    <w:rsid w:val="7C2A25DC"/>
    <w:rsid w:val="7C2E374F"/>
    <w:rsid w:val="7C372603"/>
    <w:rsid w:val="7C3B7EB4"/>
    <w:rsid w:val="7C413125"/>
    <w:rsid w:val="7C4F3DF1"/>
    <w:rsid w:val="7C501917"/>
    <w:rsid w:val="7C5036C5"/>
    <w:rsid w:val="7C5043B4"/>
    <w:rsid w:val="7C611D76"/>
    <w:rsid w:val="7C631FD2"/>
    <w:rsid w:val="7C66738C"/>
    <w:rsid w:val="7C6929D9"/>
    <w:rsid w:val="7C695F8E"/>
    <w:rsid w:val="7C6B75C4"/>
    <w:rsid w:val="7C790E6E"/>
    <w:rsid w:val="7C7C44BA"/>
    <w:rsid w:val="7C803B0E"/>
    <w:rsid w:val="7C8D66C7"/>
    <w:rsid w:val="7C9F63FA"/>
    <w:rsid w:val="7CB023B6"/>
    <w:rsid w:val="7CB71996"/>
    <w:rsid w:val="7CB9570E"/>
    <w:rsid w:val="7CBA32DC"/>
    <w:rsid w:val="7CC209A0"/>
    <w:rsid w:val="7CC61BD9"/>
    <w:rsid w:val="7CDD6705"/>
    <w:rsid w:val="7CF77FE5"/>
    <w:rsid w:val="7CF91FAF"/>
    <w:rsid w:val="7D0050EB"/>
    <w:rsid w:val="7D080444"/>
    <w:rsid w:val="7D172435"/>
    <w:rsid w:val="7D1A3643"/>
    <w:rsid w:val="7D1D3EEF"/>
    <w:rsid w:val="7D331DEE"/>
    <w:rsid w:val="7D3F20B7"/>
    <w:rsid w:val="7D4130D2"/>
    <w:rsid w:val="7D425704"/>
    <w:rsid w:val="7D4C0330"/>
    <w:rsid w:val="7D4F5CE0"/>
    <w:rsid w:val="7D5E593D"/>
    <w:rsid w:val="7D60202E"/>
    <w:rsid w:val="7D6513F2"/>
    <w:rsid w:val="7D670130"/>
    <w:rsid w:val="7D6B43A4"/>
    <w:rsid w:val="7D6F6ABF"/>
    <w:rsid w:val="7D7143AA"/>
    <w:rsid w:val="7D7358BD"/>
    <w:rsid w:val="7D747887"/>
    <w:rsid w:val="7D781125"/>
    <w:rsid w:val="7D87580C"/>
    <w:rsid w:val="7D893333"/>
    <w:rsid w:val="7D8D31B8"/>
    <w:rsid w:val="7D975247"/>
    <w:rsid w:val="7DA939D5"/>
    <w:rsid w:val="7DB54128"/>
    <w:rsid w:val="7DC10D1E"/>
    <w:rsid w:val="7DC425BD"/>
    <w:rsid w:val="7DC64A9B"/>
    <w:rsid w:val="7DD2663D"/>
    <w:rsid w:val="7DDD71DA"/>
    <w:rsid w:val="7DDF11A4"/>
    <w:rsid w:val="7DE06543"/>
    <w:rsid w:val="7DE22A43"/>
    <w:rsid w:val="7DE44A0D"/>
    <w:rsid w:val="7DE7137D"/>
    <w:rsid w:val="7DEC566F"/>
    <w:rsid w:val="7DEE3DB1"/>
    <w:rsid w:val="7DF01848"/>
    <w:rsid w:val="7DF05160"/>
    <w:rsid w:val="7DF960D0"/>
    <w:rsid w:val="7E066643"/>
    <w:rsid w:val="7E0B3D48"/>
    <w:rsid w:val="7E0D45AB"/>
    <w:rsid w:val="7E21356B"/>
    <w:rsid w:val="7E2B43EA"/>
    <w:rsid w:val="7E2F26CA"/>
    <w:rsid w:val="7E33329E"/>
    <w:rsid w:val="7E3A462D"/>
    <w:rsid w:val="7E3E236F"/>
    <w:rsid w:val="7E4079AE"/>
    <w:rsid w:val="7E4330DC"/>
    <w:rsid w:val="7E490D14"/>
    <w:rsid w:val="7E505BFE"/>
    <w:rsid w:val="7E551467"/>
    <w:rsid w:val="7E552417"/>
    <w:rsid w:val="7E565F38"/>
    <w:rsid w:val="7E573431"/>
    <w:rsid w:val="7E576F8D"/>
    <w:rsid w:val="7E5E47BF"/>
    <w:rsid w:val="7E607F4D"/>
    <w:rsid w:val="7E611BB9"/>
    <w:rsid w:val="7E617E0B"/>
    <w:rsid w:val="7E6873EC"/>
    <w:rsid w:val="7E6B0C8A"/>
    <w:rsid w:val="7E6D6AFE"/>
    <w:rsid w:val="7E775881"/>
    <w:rsid w:val="7E786F03"/>
    <w:rsid w:val="7E7E276B"/>
    <w:rsid w:val="7E8104AE"/>
    <w:rsid w:val="7E867872"/>
    <w:rsid w:val="7E924469"/>
    <w:rsid w:val="7E966512"/>
    <w:rsid w:val="7E9C1DA5"/>
    <w:rsid w:val="7EAA17B2"/>
    <w:rsid w:val="7EB048EF"/>
    <w:rsid w:val="7EB42631"/>
    <w:rsid w:val="7EB4618D"/>
    <w:rsid w:val="7EB516FA"/>
    <w:rsid w:val="7EB73ECF"/>
    <w:rsid w:val="7EB7538D"/>
    <w:rsid w:val="7EB75C7D"/>
    <w:rsid w:val="7EB959EF"/>
    <w:rsid w:val="7EBB39C0"/>
    <w:rsid w:val="7EBE700C"/>
    <w:rsid w:val="7EC14D4E"/>
    <w:rsid w:val="7EC32874"/>
    <w:rsid w:val="7EC513D0"/>
    <w:rsid w:val="7EC565EC"/>
    <w:rsid w:val="7ECF1219"/>
    <w:rsid w:val="7ED00AED"/>
    <w:rsid w:val="7ED566F5"/>
    <w:rsid w:val="7ED83B5B"/>
    <w:rsid w:val="7EDB7BBE"/>
    <w:rsid w:val="7EE051D4"/>
    <w:rsid w:val="7EED169F"/>
    <w:rsid w:val="7EF649F8"/>
    <w:rsid w:val="7EF667A6"/>
    <w:rsid w:val="7EF70770"/>
    <w:rsid w:val="7EFE38AC"/>
    <w:rsid w:val="7F0069C7"/>
    <w:rsid w:val="7F007380"/>
    <w:rsid w:val="7F007624"/>
    <w:rsid w:val="7F01409C"/>
    <w:rsid w:val="7F0A2251"/>
    <w:rsid w:val="7F0A3FFF"/>
    <w:rsid w:val="7F1368B9"/>
    <w:rsid w:val="7F144E7E"/>
    <w:rsid w:val="7F1B620C"/>
    <w:rsid w:val="7F2676A5"/>
    <w:rsid w:val="7F286B7B"/>
    <w:rsid w:val="7F2A46A1"/>
    <w:rsid w:val="7F2F3A66"/>
    <w:rsid w:val="7F390D88"/>
    <w:rsid w:val="7F3D0030"/>
    <w:rsid w:val="7F467FEE"/>
    <w:rsid w:val="7F4A08A0"/>
    <w:rsid w:val="7F4F235A"/>
    <w:rsid w:val="7F4F4108"/>
    <w:rsid w:val="7F6000C3"/>
    <w:rsid w:val="7F613FBC"/>
    <w:rsid w:val="7F657780"/>
    <w:rsid w:val="7F686F78"/>
    <w:rsid w:val="7F710945"/>
    <w:rsid w:val="7F721393"/>
    <w:rsid w:val="7F724DD0"/>
    <w:rsid w:val="7F757771"/>
    <w:rsid w:val="7F762024"/>
    <w:rsid w:val="7F7678E7"/>
    <w:rsid w:val="7F7F2C3F"/>
    <w:rsid w:val="7F853FCE"/>
    <w:rsid w:val="7F912972"/>
    <w:rsid w:val="7F9B3821"/>
    <w:rsid w:val="7F9B734D"/>
    <w:rsid w:val="7F9C2254"/>
    <w:rsid w:val="7F9D17E6"/>
    <w:rsid w:val="7F9F6E3D"/>
    <w:rsid w:val="7FA2248A"/>
    <w:rsid w:val="7FA53D28"/>
    <w:rsid w:val="7FB00A6C"/>
    <w:rsid w:val="7FB977D3"/>
    <w:rsid w:val="7FC00B62"/>
    <w:rsid w:val="7FC13BE8"/>
    <w:rsid w:val="7FC93EBA"/>
    <w:rsid w:val="7FD60385"/>
    <w:rsid w:val="7FD64829"/>
    <w:rsid w:val="7FD83650"/>
    <w:rsid w:val="7FD91C23"/>
    <w:rsid w:val="7FDC6DE5"/>
    <w:rsid w:val="7FDD7966"/>
    <w:rsid w:val="7FE505C8"/>
    <w:rsid w:val="7FE63DCD"/>
    <w:rsid w:val="7FE9630A"/>
    <w:rsid w:val="7FF826CC"/>
    <w:rsid w:val="7FFF5B2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0" w:semiHidden="0"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iPriority="39" w:semiHidden="0"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0" w:semiHidden="0" w:name="annotation text" w:locked="1"/>
    <w:lsdException w:qFormat="1" w:unhideWhenUsed="0" w:uiPriority="99" w:semiHidden="0" w:name="header"/>
    <w:lsdException w:qFormat="1" w:unhideWhenUsed="0" w:uiPriority="99" w:semiHidden="0" w:name="footer"/>
    <w:lsdException w:qFormat="1" w:uiPriority="99" w:semiHidden="0" w:name="index heading" w:locked="1"/>
    <w:lsdException w:qFormat="1" w:unhideWhenUsed="0" w:uiPriority="0" w:semiHidden="0" w:name="caption" w:locked="1"/>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qFormat="1"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qFormat="1" w:unhideWhenUsed="0" w:uiPriority="0" w:semiHidden="0" w:name="Message Header" w:locked="1"/>
    <w:lsdException w:qFormat="1" w:unhideWhenUsed="0" w:uiPriority="99" w:semiHidden="0" w:name="Subtitle"/>
    <w:lsdException w:uiPriority="99" w:name="Salutation" w:locked="1"/>
    <w:lsdException w:qFormat="1" w:unhideWhenUsed="0" w:uiPriority="0" w:semiHidden="0" w:name="Date" w:locked="1"/>
    <w:lsdException w:qFormat="1" w:uiPriority="99" w:semiHidden="0" w:name="Body Text First Indent" w:locked="1"/>
    <w:lsdException w:qFormat="1" w:uiPriority="99" w:semiHidden="0"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ocked="1"/>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6"/>
    <w:next w:val="1"/>
    <w:link w:val="73"/>
    <w:qFormat/>
    <w:uiPriority w:val="99"/>
    <w:pPr>
      <w:keepNext/>
      <w:keepLines/>
      <w:spacing w:before="340" w:after="330" w:line="578" w:lineRule="atLeast"/>
      <w:ind w:left="1130" w:firstLine="288"/>
      <w:outlineLvl w:val="0"/>
    </w:pPr>
    <w:rPr>
      <w:kern w:val="44"/>
      <w:sz w:val="44"/>
    </w:rPr>
  </w:style>
  <w:style w:type="paragraph" w:styleId="7">
    <w:name w:val="heading 2"/>
    <w:basedOn w:val="1"/>
    <w:next w:val="1"/>
    <w:link w:val="48"/>
    <w:qFormat/>
    <w:uiPriority w:val="99"/>
    <w:pPr>
      <w:keepNext/>
      <w:keepLines/>
      <w:spacing w:before="260" w:after="260" w:line="416" w:lineRule="atLeast"/>
      <w:ind w:left="3" w:firstLine="177"/>
      <w:outlineLvl w:val="1"/>
    </w:pPr>
    <w:rPr>
      <w:rFonts w:ascii="Arial" w:hAnsi="Arial" w:eastAsia="黑体"/>
      <w:b/>
      <w:kern w:val="0"/>
      <w:sz w:val="32"/>
      <w:szCs w:val="20"/>
    </w:rPr>
  </w:style>
  <w:style w:type="paragraph" w:styleId="8">
    <w:name w:val="heading 3"/>
    <w:basedOn w:val="1"/>
    <w:next w:val="1"/>
    <w:link w:val="67"/>
    <w:unhideWhenUsed/>
    <w:qFormat/>
    <w:locked/>
    <w:uiPriority w:val="0"/>
    <w:pPr>
      <w:keepNext/>
      <w:keepLines/>
      <w:spacing w:before="260" w:after="260" w:line="416" w:lineRule="auto"/>
      <w:outlineLvl w:val="2"/>
    </w:pPr>
    <w:rPr>
      <w:rFonts w:cs="黑体"/>
      <w:b/>
      <w:bCs/>
      <w:sz w:val="32"/>
      <w:szCs w:val="32"/>
    </w:rPr>
  </w:style>
  <w:style w:type="paragraph" w:styleId="9">
    <w:name w:val="heading 4"/>
    <w:basedOn w:val="1"/>
    <w:next w:val="1"/>
    <w:link w:val="49"/>
    <w:qFormat/>
    <w:uiPriority w:val="99"/>
    <w:pPr>
      <w:keepNext/>
      <w:keepLines/>
      <w:spacing w:line="376" w:lineRule="auto"/>
      <w:outlineLvl w:val="3"/>
    </w:pPr>
    <w:rPr>
      <w:rFonts w:ascii="Arial" w:hAnsi="Arial" w:eastAsia="黑体"/>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locked/>
    <w:uiPriority w:val="99"/>
    <w:pPr>
      <w:ind w:firstLine="420" w:firstLineChars="200"/>
    </w:pPr>
  </w:style>
  <w:style w:type="paragraph" w:styleId="3">
    <w:name w:val="Body Text Indent"/>
    <w:basedOn w:val="1"/>
    <w:next w:val="4"/>
    <w:link w:val="50"/>
    <w:qFormat/>
    <w:uiPriority w:val="99"/>
    <w:pPr>
      <w:ind w:left="420" w:leftChars="200"/>
    </w:pPr>
  </w:style>
  <w:style w:type="paragraph" w:styleId="4">
    <w:name w:val="envelope return"/>
    <w:basedOn w:val="1"/>
    <w:qFormat/>
    <w:locked/>
    <w:uiPriority w:val="0"/>
    <w:pPr>
      <w:snapToGrid w:val="0"/>
    </w:pPr>
    <w:rPr>
      <w:rFonts w:ascii="Arial" w:hAnsi="Arial"/>
    </w:rPr>
  </w:style>
  <w:style w:type="paragraph" w:styleId="6">
    <w:name w:val="Title"/>
    <w:basedOn w:val="1"/>
    <w:next w:val="1"/>
    <w:link w:val="56"/>
    <w:qFormat/>
    <w:uiPriority w:val="99"/>
    <w:pPr>
      <w:spacing w:before="240" w:after="60"/>
      <w:jc w:val="center"/>
      <w:outlineLvl w:val="0"/>
    </w:pPr>
    <w:rPr>
      <w:rFonts w:ascii="Cambria" w:hAnsi="Cambria"/>
      <w:b/>
      <w:bCs/>
      <w:sz w:val="32"/>
      <w:szCs w:val="32"/>
    </w:rPr>
  </w:style>
  <w:style w:type="paragraph" w:styleId="10">
    <w:name w:val="table of authorities"/>
    <w:basedOn w:val="1"/>
    <w:next w:val="1"/>
    <w:semiHidden/>
    <w:unhideWhenUsed/>
    <w:qFormat/>
    <w:locked/>
    <w:uiPriority w:val="99"/>
    <w:pPr>
      <w:ind w:left="420" w:leftChars="200"/>
    </w:pPr>
  </w:style>
  <w:style w:type="paragraph" w:styleId="11">
    <w:name w:val="Normal Indent"/>
    <w:basedOn w:val="1"/>
    <w:qFormat/>
    <w:uiPriority w:val="99"/>
    <w:pPr>
      <w:adjustRightInd w:val="0"/>
      <w:spacing w:line="360" w:lineRule="atLeast"/>
      <w:ind w:firstLine="420"/>
      <w:jc w:val="left"/>
      <w:textAlignment w:val="baseline"/>
    </w:pPr>
    <w:rPr>
      <w:kern w:val="0"/>
      <w:sz w:val="24"/>
    </w:rPr>
  </w:style>
  <w:style w:type="paragraph" w:styleId="12">
    <w:name w:val="caption"/>
    <w:basedOn w:val="1"/>
    <w:next w:val="1"/>
    <w:qFormat/>
    <w:locked/>
    <w:uiPriority w:val="0"/>
    <w:rPr>
      <w:rFonts w:ascii="Cambria" w:hAnsi="Cambria" w:eastAsia="黑体"/>
      <w:sz w:val="20"/>
      <w:szCs w:val="20"/>
    </w:rPr>
  </w:style>
  <w:style w:type="paragraph" w:styleId="13">
    <w:name w:val="annotation text"/>
    <w:basedOn w:val="1"/>
    <w:qFormat/>
    <w:locked/>
    <w:uiPriority w:val="0"/>
    <w:pPr>
      <w:jc w:val="left"/>
    </w:pPr>
  </w:style>
  <w:style w:type="paragraph" w:styleId="14">
    <w:name w:val="Body Text"/>
    <w:basedOn w:val="1"/>
    <w:next w:val="15"/>
    <w:link w:val="65"/>
    <w:unhideWhenUsed/>
    <w:qFormat/>
    <w:locked/>
    <w:uiPriority w:val="99"/>
    <w:pPr>
      <w:spacing w:after="120"/>
    </w:pPr>
  </w:style>
  <w:style w:type="paragraph" w:styleId="15">
    <w:name w:val="Body Text 2"/>
    <w:basedOn w:val="1"/>
    <w:next w:val="14"/>
    <w:link w:val="55"/>
    <w:qFormat/>
    <w:uiPriority w:val="99"/>
    <w:pPr>
      <w:spacing w:line="480" w:lineRule="auto"/>
    </w:pPr>
  </w:style>
  <w:style w:type="paragraph" w:styleId="16">
    <w:name w:val="toc 3"/>
    <w:basedOn w:val="1"/>
    <w:next w:val="1"/>
    <w:unhideWhenUsed/>
    <w:qFormat/>
    <w:locked/>
    <w:uiPriority w:val="39"/>
    <w:pPr>
      <w:ind w:left="840" w:leftChars="400"/>
    </w:pPr>
  </w:style>
  <w:style w:type="paragraph" w:styleId="17">
    <w:name w:val="Plain Text"/>
    <w:basedOn w:val="1"/>
    <w:link w:val="51"/>
    <w:qFormat/>
    <w:uiPriority w:val="99"/>
    <w:rPr>
      <w:rFonts w:ascii="宋体" w:hAnsi="Courier New" w:cs="Courier New"/>
      <w:szCs w:val="21"/>
    </w:rPr>
  </w:style>
  <w:style w:type="paragraph" w:styleId="18">
    <w:name w:val="Date"/>
    <w:basedOn w:val="1"/>
    <w:next w:val="1"/>
    <w:qFormat/>
    <w:locked/>
    <w:uiPriority w:val="0"/>
    <w:pPr>
      <w:ind w:left="100" w:leftChars="2500"/>
    </w:pPr>
  </w:style>
  <w:style w:type="paragraph" w:styleId="19">
    <w:name w:val="Balloon Text"/>
    <w:basedOn w:val="1"/>
    <w:link w:val="68"/>
    <w:unhideWhenUsed/>
    <w:qFormat/>
    <w:locked/>
    <w:uiPriority w:val="99"/>
    <w:rPr>
      <w:sz w:val="18"/>
      <w:szCs w:val="18"/>
    </w:rPr>
  </w:style>
  <w:style w:type="paragraph" w:styleId="20">
    <w:name w:val="footer"/>
    <w:basedOn w:val="1"/>
    <w:link w:val="52"/>
    <w:qFormat/>
    <w:uiPriority w:val="99"/>
    <w:pPr>
      <w:tabs>
        <w:tab w:val="center" w:pos="4153"/>
        <w:tab w:val="right" w:pos="8306"/>
      </w:tabs>
      <w:snapToGrid w:val="0"/>
      <w:jc w:val="left"/>
    </w:pPr>
    <w:rPr>
      <w:sz w:val="18"/>
    </w:rPr>
  </w:style>
  <w:style w:type="paragraph" w:styleId="21">
    <w:name w:val="header"/>
    <w:basedOn w:val="1"/>
    <w:link w:val="5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2">
    <w:name w:val="toc 1"/>
    <w:basedOn w:val="1"/>
    <w:next w:val="1"/>
    <w:qFormat/>
    <w:uiPriority w:val="39"/>
  </w:style>
  <w:style w:type="paragraph" w:styleId="23">
    <w:name w:val="index heading"/>
    <w:basedOn w:val="1"/>
    <w:next w:val="24"/>
    <w:unhideWhenUsed/>
    <w:qFormat/>
    <w:locked/>
    <w:uiPriority w:val="99"/>
    <w:rPr>
      <w:rFonts w:ascii="Cambria" w:hAnsi="Cambria" w:eastAsia="宋体" w:cs="Times New Roman"/>
      <w:b/>
      <w:bCs/>
    </w:rPr>
  </w:style>
  <w:style w:type="paragraph" w:styleId="24">
    <w:name w:val="index 1"/>
    <w:basedOn w:val="1"/>
    <w:next w:val="1"/>
    <w:qFormat/>
    <w:locked/>
    <w:uiPriority w:val="0"/>
    <w:pPr>
      <w:spacing w:line="220" w:lineRule="exact"/>
      <w:jc w:val="center"/>
    </w:pPr>
    <w:rPr>
      <w:rFonts w:ascii="仿宋_GB2312" w:eastAsia="仿宋_GB2312"/>
      <w:szCs w:val="21"/>
    </w:rPr>
  </w:style>
  <w:style w:type="paragraph" w:styleId="25">
    <w:name w:val="Subtitle"/>
    <w:basedOn w:val="1"/>
    <w:next w:val="1"/>
    <w:link w:val="54"/>
    <w:qFormat/>
    <w:uiPriority w:val="99"/>
    <w:pPr>
      <w:spacing w:before="240" w:after="60" w:line="312" w:lineRule="auto"/>
      <w:jc w:val="center"/>
      <w:outlineLvl w:val="1"/>
    </w:pPr>
    <w:rPr>
      <w:rFonts w:ascii="Cambria" w:hAnsi="Cambria"/>
      <w:b/>
      <w:bCs/>
      <w:kern w:val="28"/>
      <w:sz w:val="32"/>
      <w:szCs w:val="32"/>
    </w:rPr>
  </w:style>
  <w:style w:type="paragraph" w:styleId="26">
    <w:name w:val="toc 2"/>
    <w:basedOn w:val="1"/>
    <w:next w:val="1"/>
    <w:qFormat/>
    <w:uiPriority w:val="39"/>
    <w:pPr>
      <w:ind w:left="420" w:leftChars="200"/>
    </w:pPr>
  </w:style>
  <w:style w:type="paragraph" w:styleId="27">
    <w:name w:val="Message Header"/>
    <w:basedOn w:val="1"/>
    <w:qFormat/>
    <w:locked/>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9">
    <w:name w:val="Body Text First Indent"/>
    <w:basedOn w:val="14"/>
    <w:next w:val="2"/>
    <w:link w:val="66"/>
    <w:unhideWhenUsed/>
    <w:qFormat/>
    <w:locked/>
    <w:uiPriority w:val="99"/>
    <w:pPr>
      <w:ind w:firstLine="420" w:firstLineChars="100"/>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locked/>
    <w:uiPriority w:val="22"/>
    <w:rPr>
      <w:b/>
    </w:rPr>
  </w:style>
  <w:style w:type="character" w:styleId="34">
    <w:name w:val="page number"/>
    <w:basedOn w:val="32"/>
    <w:qFormat/>
    <w:locked/>
    <w:uiPriority w:val="0"/>
  </w:style>
  <w:style w:type="character" w:styleId="35">
    <w:name w:val="Hyperlink"/>
    <w:basedOn w:val="32"/>
    <w:unhideWhenUsed/>
    <w:qFormat/>
    <w:locked/>
    <w:uiPriority w:val="99"/>
    <w:rPr>
      <w:color w:val="0000FF"/>
      <w:u w:val="single"/>
    </w:rPr>
  </w:style>
  <w:style w:type="paragraph" w:customStyle="1" w:styleId="36">
    <w:name w:val="列表 21"/>
    <w:basedOn w:val="1"/>
    <w:qFormat/>
    <w:uiPriority w:val="0"/>
    <w:pPr>
      <w:suppressAutoHyphens/>
      <w:ind w:left="100" w:hanging="200"/>
    </w:pPr>
    <w:rPr>
      <w:kern w:val="1"/>
    </w:rPr>
  </w:style>
  <w:style w:type="paragraph" w:customStyle="1" w:styleId="37">
    <w:name w:val="无间隔1"/>
    <w:basedOn w:val="1"/>
    <w:next w:val="12"/>
    <w:qFormat/>
    <w:uiPriority w:val="0"/>
    <w:pPr>
      <w:spacing w:line="400" w:lineRule="exact"/>
    </w:pPr>
    <w:rPr>
      <w:sz w:val="24"/>
    </w:rPr>
  </w:style>
  <w:style w:type="paragraph" w:customStyle="1" w:styleId="38">
    <w:name w:val="Default"/>
    <w:basedOn w:val="1"/>
    <w:next w:val="1"/>
    <w:qFormat/>
    <w:uiPriority w:val="0"/>
    <w:pPr>
      <w:autoSpaceDE w:val="0"/>
      <w:autoSpaceDN w:val="0"/>
      <w:adjustRightInd w:val="0"/>
      <w:jc w:val="left"/>
    </w:pPr>
    <w:rPr>
      <w:rFonts w:ascii="宋体" w:hAnsi="Times New Roman" w:cs="宋体"/>
      <w:color w:val="000000"/>
      <w:kern w:val="0"/>
      <w:sz w:val="24"/>
      <w:szCs w:val="24"/>
    </w:rPr>
  </w:style>
  <w:style w:type="paragraph" w:customStyle="1" w:styleId="39">
    <w:name w:val="样式 正文缩进 + 首行缩进:  2 字符"/>
    <w:basedOn w:val="11"/>
    <w:qFormat/>
    <w:uiPriority w:val="0"/>
    <w:pPr>
      <w:widowControl/>
      <w:spacing w:line="360" w:lineRule="auto"/>
      <w:ind w:firstLine="200"/>
      <w:jc w:val="left"/>
    </w:pPr>
    <w:rPr>
      <w:rFonts w:ascii="宋体" w:hAnsi="宋体" w:cs="宋体"/>
      <w:kern w:val="0"/>
      <w:sz w:val="24"/>
      <w:szCs w:val="20"/>
      <w:lang w:val="zh-CN"/>
    </w:rPr>
  </w:style>
  <w:style w:type="paragraph" w:customStyle="1" w:styleId="40">
    <w:name w:val="表格文字"/>
    <w:basedOn w:val="1"/>
    <w:next w:val="14"/>
    <w:qFormat/>
    <w:uiPriority w:val="99"/>
    <w:pPr>
      <w:adjustRightInd w:val="0"/>
      <w:spacing w:line="420" w:lineRule="atLeast"/>
      <w:jc w:val="left"/>
      <w:textAlignment w:val="baseline"/>
    </w:pPr>
    <w:rPr>
      <w:rFonts w:ascii="Times New Roman" w:hAnsi="Times New Roman"/>
      <w:szCs w:val="20"/>
    </w:rPr>
  </w:style>
  <w:style w:type="paragraph" w:customStyle="1" w:styleId="41">
    <w:name w:val="目录 51"/>
    <w:next w:val="1"/>
    <w:qFormat/>
    <w:uiPriority w:val="0"/>
    <w:pPr>
      <w:wordWrap w:val="0"/>
      <w:ind w:left="1700"/>
      <w:jc w:val="both"/>
    </w:pPr>
    <w:rPr>
      <w:rFonts w:ascii="Times New Roman" w:hAnsi="Times New Roman" w:eastAsia="Calibri" w:cs="Times New Roman"/>
      <w:sz w:val="21"/>
      <w:lang w:val="en-US" w:eastAsia="zh-CN" w:bidi="ar-SA"/>
    </w:rPr>
  </w:style>
  <w:style w:type="paragraph" w:customStyle="1" w:styleId="42">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43">
    <w:name w:val="文档正文5"/>
    <w:basedOn w:val="11"/>
    <w:qFormat/>
    <w:uiPriority w:val="0"/>
    <w:pPr>
      <w:autoSpaceDE w:val="0"/>
      <w:autoSpaceDN w:val="0"/>
      <w:snapToGrid w:val="0"/>
      <w:spacing w:line="440" w:lineRule="exact"/>
      <w:ind w:firstLine="505"/>
    </w:pPr>
    <w:rPr>
      <w:spacing w:val="4"/>
      <w:sz w:val="24"/>
    </w:rPr>
  </w:style>
  <w:style w:type="paragraph" w:customStyle="1" w:styleId="44">
    <w:name w:val="p0"/>
    <w:basedOn w:val="1"/>
    <w:qFormat/>
    <w:uiPriority w:val="99"/>
    <w:pPr>
      <w:widowControl/>
      <w:snapToGrid w:val="0"/>
    </w:pPr>
    <w:rPr>
      <w:szCs w:val="24"/>
    </w:rPr>
  </w:style>
  <w:style w:type="paragraph" w:customStyle="1" w:styleId="45">
    <w:name w:val="文档正文"/>
    <w:basedOn w:val="1"/>
    <w:qFormat/>
    <w:uiPriority w:val="99"/>
    <w:pPr>
      <w:adjustRightInd w:val="0"/>
      <w:spacing w:line="480" w:lineRule="atLeast"/>
      <w:ind w:firstLine="567"/>
    </w:pPr>
    <w:rPr>
      <w:rFonts w:ascii="仿宋_GB2312" w:hAnsi="Times New Roman" w:eastAsia="仿宋_GB2312"/>
      <w:kern w:val="0"/>
      <w:sz w:val="28"/>
      <w:szCs w:val="20"/>
    </w:rPr>
  </w:style>
  <w:style w:type="paragraph" w:customStyle="1" w:styleId="46">
    <w:name w:val="列出段落1"/>
    <w:basedOn w:val="1"/>
    <w:unhideWhenUsed/>
    <w:qFormat/>
    <w:uiPriority w:val="99"/>
    <w:pPr>
      <w:ind w:firstLine="420" w:firstLineChars="200"/>
    </w:pPr>
  </w:style>
  <w:style w:type="character" w:customStyle="1" w:styleId="47">
    <w:name w:val="标题 1 Char"/>
    <w:basedOn w:val="32"/>
    <w:link w:val="5"/>
    <w:qFormat/>
    <w:uiPriority w:val="99"/>
    <w:rPr>
      <w:rFonts w:ascii="Calibri" w:hAnsi="Calibri" w:cs="Times New Roman"/>
      <w:b/>
      <w:bCs/>
      <w:kern w:val="44"/>
      <w:sz w:val="44"/>
      <w:szCs w:val="44"/>
    </w:rPr>
  </w:style>
  <w:style w:type="character" w:customStyle="1" w:styleId="48">
    <w:name w:val="标题 2 Char"/>
    <w:basedOn w:val="32"/>
    <w:link w:val="7"/>
    <w:qFormat/>
    <w:uiPriority w:val="99"/>
    <w:rPr>
      <w:rFonts w:ascii="Arial" w:hAnsi="Arial" w:eastAsia="黑体" w:cs="Times New Roman"/>
      <w:b/>
      <w:kern w:val="0"/>
      <w:sz w:val="32"/>
    </w:rPr>
  </w:style>
  <w:style w:type="character" w:customStyle="1" w:styleId="49">
    <w:name w:val="标题 4 Char"/>
    <w:basedOn w:val="32"/>
    <w:link w:val="9"/>
    <w:qFormat/>
    <w:uiPriority w:val="99"/>
    <w:rPr>
      <w:rFonts w:ascii="Cambria" w:hAnsi="Cambria" w:eastAsia="宋体" w:cs="Times New Roman"/>
      <w:b/>
      <w:bCs/>
      <w:sz w:val="28"/>
      <w:szCs w:val="28"/>
    </w:rPr>
  </w:style>
  <w:style w:type="character" w:customStyle="1" w:styleId="50">
    <w:name w:val="正文文本缩进 Char"/>
    <w:basedOn w:val="32"/>
    <w:link w:val="3"/>
    <w:qFormat/>
    <w:uiPriority w:val="99"/>
    <w:rPr>
      <w:rFonts w:ascii="Calibri" w:hAnsi="Calibri" w:cs="Times New Roman"/>
    </w:rPr>
  </w:style>
  <w:style w:type="character" w:customStyle="1" w:styleId="51">
    <w:name w:val="纯文本 Char"/>
    <w:basedOn w:val="32"/>
    <w:link w:val="17"/>
    <w:qFormat/>
    <w:uiPriority w:val="99"/>
    <w:rPr>
      <w:rFonts w:ascii="宋体" w:hAnsi="Courier New" w:cs="Courier New"/>
      <w:sz w:val="21"/>
      <w:szCs w:val="21"/>
    </w:rPr>
  </w:style>
  <w:style w:type="character" w:customStyle="1" w:styleId="52">
    <w:name w:val="页脚 Char"/>
    <w:basedOn w:val="32"/>
    <w:link w:val="20"/>
    <w:qFormat/>
    <w:uiPriority w:val="99"/>
    <w:rPr>
      <w:rFonts w:ascii="Calibri" w:hAnsi="Calibri" w:cs="Times New Roman"/>
      <w:sz w:val="18"/>
      <w:szCs w:val="18"/>
    </w:rPr>
  </w:style>
  <w:style w:type="character" w:customStyle="1" w:styleId="53">
    <w:name w:val="页眉 Char"/>
    <w:basedOn w:val="32"/>
    <w:link w:val="21"/>
    <w:qFormat/>
    <w:uiPriority w:val="99"/>
    <w:rPr>
      <w:rFonts w:ascii="Calibri" w:hAnsi="Calibri" w:cs="Times New Roman"/>
      <w:sz w:val="18"/>
      <w:szCs w:val="18"/>
    </w:rPr>
  </w:style>
  <w:style w:type="character" w:customStyle="1" w:styleId="54">
    <w:name w:val="副标题 Char"/>
    <w:basedOn w:val="32"/>
    <w:link w:val="25"/>
    <w:qFormat/>
    <w:uiPriority w:val="99"/>
    <w:rPr>
      <w:rFonts w:ascii="Cambria" w:hAnsi="Cambria" w:cs="Times New Roman"/>
      <w:b/>
      <w:bCs/>
      <w:kern w:val="28"/>
      <w:sz w:val="32"/>
      <w:szCs w:val="32"/>
    </w:rPr>
  </w:style>
  <w:style w:type="character" w:customStyle="1" w:styleId="55">
    <w:name w:val="正文文本 2 Char"/>
    <w:basedOn w:val="32"/>
    <w:link w:val="15"/>
    <w:qFormat/>
    <w:uiPriority w:val="99"/>
    <w:rPr>
      <w:rFonts w:ascii="Calibri" w:hAnsi="Calibri" w:cs="Times New Roman"/>
    </w:rPr>
  </w:style>
  <w:style w:type="character" w:customStyle="1" w:styleId="56">
    <w:name w:val="标题 Char"/>
    <w:basedOn w:val="32"/>
    <w:link w:val="6"/>
    <w:qFormat/>
    <w:uiPriority w:val="99"/>
    <w:rPr>
      <w:rFonts w:ascii="Cambria" w:hAnsi="Cambria" w:cs="Times New Roman"/>
      <w:b/>
      <w:bCs/>
      <w:sz w:val="32"/>
      <w:szCs w:val="32"/>
    </w:rPr>
  </w:style>
  <w:style w:type="character" w:customStyle="1" w:styleId="57">
    <w:name w:val="font31"/>
    <w:basedOn w:val="32"/>
    <w:qFormat/>
    <w:uiPriority w:val="99"/>
    <w:rPr>
      <w:rFonts w:ascii="宋体" w:hAnsi="宋体" w:eastAsia="宋体" w:cs="宋体"/>
      <w:color w:val="FF0000"/>
      <w:sz w:val="20"/>
      <w:szCs w:val="20"/>
      <w:u w:val="none"/>
    </w:rPr>
  </w:style>
  <w:style w:type="character" w:customStyle="1" w:styleId="58">
    <w:name w:val="font41"/>
    <w:basedOn w:val="32"/>
    <w:qFormat/>
    <w:uiPriority w:val="99"/>
    <w:rPr>
      <w:rFonts w:ascii="宋体" w:hAnsi="宋体" w:eastAsia="宋体" w:cs="宋体"/>
      <w:color w:val="000000"/>
      <w:sz w:val="18"/>
      <w:szCs w:val="18"/>
      <w:u w:val="none"/>
    </w:rPr>
  </w:style>
  <w:style w:type="character" w:customStyle="1" w:styleId="59">
    <w:name w:val="font11"/>
    <w:basedOn w:val="32"/>
    <w:qFormat/>
    <w:uiPriority w:val="99"/>
    <w:rPr>
      <w:rFonts w:ascii="宋体" w:hAnsi="宋体" w:eastAsia="宋体" w:cs="宋体"/>
      <w:color w:val="000000"/>
      <w:sz w:val="21"/>
      <w:szCs w:val="21"/>
      <w:u w:val="none"/>
    </w:rPr>
  </w:style>
  <w:style w:type="character" w:customStyle="1" w:styleId="60">
    <w:name w:val="font01"/>
    <w:basedOn w:val="32"/>
    <w:qFormat/>
    <w:uiPriority w:val="99"/>
    <w:rPr>
      <w:rFonts w:ascii="宋体" w:hAnsi="宋体" w:eastAsia="宋体" w:cs="宋体"/>
      <w:color w:val="000000"/>
      <w:sz w:val="24"/>
      <w:szCs w:val="24"/>
      <w:u w:val="none"/>
    </w:rPr>
  </w:style>
  <w:style w:type="character" w:customStyle="1" w:styleId="61">
    <w:name w:val="font81"/>
    <w:basedOn w:val="32"/>
    <w:qFormat/>
    <w:uiPriority w:val="99"/>
    <w:rPr>
      <w:rFonts w:ascii="宋体" w:hAnsi="宋体" w:eastAsia="宋体" w:cs="宋体"/>
      <w:color w:val="000000"/>
      <w:sz w:val="20"/>
      <w:szCs w:val="20"/>
      <w:u w:val="none"/>
    </w:rPr>
  </w:style>
  <w:style w:type="character" w:customStyle="1" w:styleId="62">
    <w:name w:val="font91"/>
    <w:basedOn w:val="32"/>
    <w:qFormat/>
    <w:uiPriority w:val="99"/>
    <w:rPr>
      <w:rFonts w:ascii="宋体" w:hAnsi="宋体" w:eastAsia="宋体" w:cs="宋体"/>
      <w:color w:val="000000"/>
      <w:sz w:val="52"/>
      <w:szCs w:val="52"/>
      <w:u w:val="none"/>
    </w:rPr>
  </w:style>
  <w:style w:type="character" w:customStyle="1" w:styleId="63">
    <w:name w:val="font51"/>
    <w:basedOn w:val="32"/>
    <w:qFormat/>
    <w:uiPriority w:val="99"/>
    <w:rPr>
      <w:rFonts w:ascii="宋体" w:hAnsi="宋体" w:eastAsia="宋体" w:cs="宋体"/>
      <w:b/>
      <w:color w:val="000000"/>
      <w:sz w:val="20"/>
      <w:szCs w:val="20"/>
      <w:u w:val="none"/>
    </w:rPr>
  </w:style>
  <w:style w:type="character" w:customStyle="1" w:styleId="64">
    <w:name w:val="font61"/>
    <w:basedOn w:val="32"/>
    <w:qFormat/>
    <w:uiPriority w:val="99"/>
    <w:rPr>
      <w:rFonts w:ascii="宋体" w:hAnsi="宋体" w:eastAsia="宋体" w:cs="宋体"/>
      <w:b/>
      <w:color w:val="000000"/>
      <w:sz w:val="52"/>
      <w:szCs w:val="52"/>
      <w:u w:val="none"/>
    </w:rPr>
  </w:style>
  <w:style w:type="character" w:customStyle="1" w:styleId="65">
    <w:name w:val="正文文本 Char"/>
    <w:basedOn w:val="32"/>
    <w:link w:val="14"/>
    <w:qFormat/>
    <w:uiPriority w:val="99"/>
    <w:rPr>
      <w:rFonts w:ascii="Calibri" w:hAnsi="Calibri"/>
      <w:kern w:val="2"/>
      <w:sz w:val="21"/>
      <w:szCs w:val="22"/>
    </w:rPr>
  </w:style>
  <w:style w:type="character" w:customStyle="1" w:styleId="66">
    <w:name w:val="正文首行缩进 Char"/>
    <w:basedOn w:val="65"/>
    <w:link w:val="29"/>
    <w:qFormat/>
    <w:uiPriority w:val="99"/>
    <w:rPr>
      <w:rFonts w:ascii="Calibri" w:hAnsi="Calibri"/>
      <w:kern w:val="2"/>
      <w:sz w:val="21"/>
      <w:szCs w:val="22"/>
    </w:rPr>
  </w:style>
  <w:style w:type="character" w:customStyle="1" w:styleId="67">
    <w:name w:val="标题 3 Char"/>
    <w:basedOn w:val="32"/>
    <w:link w:val="8"/>
    <w:qFormat/>
    <w:uiPriority w:val="0"/>
    <w:rPr>
      <w:rFonts w:ascii="Calibri" w:hAnsi="Calibri" w:eastAsia="宋体" w:cs="黑体"/>
      <w:b/>
      <w:bCs/>
      <w:kern w:val="2"/>
      <w:sz w:val="32"/>
      <w:szCs w:val="32"/>
    </w:rPr>
  </w:style>
  <w:style w:type="character" w:customStyle="1" w:styleId="68">
    <w:name w:val="批注框文本 Char"/>
    <w:basedOn w:val="32"/>
    <w:link w:val="19"/>
    <w:qFormat/>
    <w:uiPriority w:val="99"/>
    <w:rPr>
      <w:rFonts w:ascii="Calibri" w:hAnsi="Calibri"/>
      <w:kern w:val="2"/>
      <w:sz w:val="18"/>
      <w:szCs w:val="18"/>
    </w:rPr>
  </w:style>
  <w:style w:type="table" w:customStyle="1" w:styleId="69">
    <w:name w:val="Table Normal1"/>
    <w:semiHidden/>
    <w:unhideWhenUsed/>
    <w:qFormat/>
    <w:uiPriority w:val="0"/>
    <w:tblPr>
      <w:tblCellMar>
        <w:top w:w="0" w:type="dxa"/>
        <w:left w:w="0" w:type="dxa"/>
        <w:bottom w:w="0" w:type="dxa"/>
        <w:right w:w="0" w:type="dxa"/>
      </w:tblCellMar>
    </w:tblPr>
  </w:style>
  <w:style w:type="paragraph" w:customStyle="1" w:styleId="70">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71">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72">
    <w:name w:val="Table Normal"/>
    <w:semiHidden/>
    <w:unhideWhenUsed/>
    <w:qFormat/>
    <w:uiPriority w:val="0"/>
    <w:tblPr>
      <w:tblCellMar>
        <w:top w:w="0" w:type="dxa"/>
        <w:left w:w="0" w:type="dxa"/>
        <w:bottom w:w="0" w:type="dxa"/>
        <w:right w:w="0" w:type="dxa"/>
      </w:tblCellMar>
    </w:tblPr>
  </w:style>
  <w:style w:type="character" w:customStyle="1" w:styleId="73">
    <w:name w:val="标题 1 字符"/>
    <w:link w:val="5"/>
    <w:qFormat/>
    <w:uiPriority w:val="0"/>
    <w:rPr>
      <w:rFonts w:ascii="Times New Roman" w:hAnsi="Times New Roman" w:eastAsia="宋体" w:cs="Times New Roman"/>
      <w:kern w:val="44"/>
      <w:sz w:val="32"/>
    </w:rPr>
  </w:style>
  <w:style w:type="paragraph" w:customStyle="1" w:styleId="74">
    <w:name w:val="列出段落2"/>
    <w:basedOn w:val="1"/>
    <w:qFormat/>
    <w:uiPriority w:val="0"/>
    <w:pPr>
      <w:autoSpaceDE w:val="0"/>
      <w:autoSpaceDN w:val="0"/>
      <w:ind w:left="111" w:firstLine="42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57</Pages>
  <Words>24787</Words>
  <Characters>26175</Characters>
  <Lines>261</Lines>
  <Paragraphs>73</Paragraphs>
  <TotalTime>2</TotalTime>
  <ScaleCrop>false</ScaleCrop>
  <LinksUpToDate>false</LinksUpToDate>
  <CharactersWithSpaces>29183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2018-03-30T07:17:00Z</dcterms:created>
  <dc:creator>Administrator</dc:creator>
  <cp:lastModifiedBy>Administrator</cp:lastModifiedBy>
  <cp:lastPrinted>2023-06-27T02:40:00Z</cp:lastPrinted>
  <dcterms:modified xsi:type="dcterms:W3CDTF">2023-07-05T09:25:24Z</dcterms:modified>
  <dc:title>温县产业新城PPP项目咨询服务机构采购项目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7355891B2F554B869C41AB2F9EFFB628_13</vt:lpwstr>
  </property>
</Properties>
</file>