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0"/>
        </w:tabs>
        <w:spacing w:line="360" w:lineRule="auto"/>
        <w:jc w:val="center"/>
        <w:rPr>
          <w:rFonts w:hint="eastAsia" w:ascii="宋体" w:hAnsi="宋体" w:cs="宋体"/>
          <w:b/>
          <w:color w:val="000000"/>
          <w:sz w:val="52"/>
          <w:szCs w:val="52"/>
          <w:highlight w:val="none"/>
          <w:shd w:val="clear" w:color="auto" w:fill="FFFFFF"/>
          <w:lang w:val="en-US" w:eastAsia="zh-CN"/>
        </w:rPr>
      </w:pPr>
    </w:p>
    <w:p>
      <w:pPr>
        <w:tabs>
          <w:tab w:val="left" w:pos="4200"/>
        </w:tabs>
        <w:spacing w:line="360" w:lineRule="auto"/>
        <w:jc w:val="center"/>
        <w:rPr>
          <w:rFonts w:hint="eastAsia" w:ascii="宋体" w:hAnsi="宋体" w:cs="宋体"/>
          <w:b/>
          <w:color w:val="000000"/>
          <w:sz w:val="52"/>
          <w:szCs w:val="52"/>
          <w:highlight w:val="none"/>
          <w:shd w:val="clear" w:color="auto" w:fill="FFFFFF"/>
          <w:lang w:val="en-US" w:eastAsia="zh-CN"/>
        </w:rPr>
      </w:pPr>
      <w:r>
        <w:rPr>
          <w:rFonts w:hint="eastAsia" w:ascii="宋体" w:hAnsi="宋体" w:cs="宋体"/>
          <w:b/>
          <w:color w:val="000000"/>
          <w:sz w:val="52"/>
          <w:szCs w:val="52"/>
          <w:highlight w:val="none"/>
          <w:shd w:val="clear" w:color="auto" w:fill="FFFFFF"/>
          <w:lang w:val="en-US" w:eastAsia="zh-CN"/>
        </w:rPr>
        <w:t>温县赵堡镇赵堡村美丽乡村示范县</w:t>
      </w:r>
    </w:p>
    <w:p>
      <w:pPr>
        <w:tabs>
          <w:tab w:val="left" w:pos="4200"/>
        </w:tabs>
        <w:spacing w:line="360" w:lineRule="auto"/>
        <w:jc w:val="center"/>
        <w:rPr>
          <w:rFonts w:hint="eastAsia" w:ascii="宋体" w:hAnsi="宋体" w:cs="宋体"/>
          <w:b/>
          <w:color w:val="000000"/>
          <w:sz w:val="52"/>
          <w:szCs w:val="52"/>
          <w:highlight w:val="none"/>
          <w:shd w:val="clear" w:color="auto" w:fill="FFFFFF"/>
          <w:lang w:eastAsia="zh-CN"/>
        </w:rPr>
      </w:pPr>
      <w:r>
        <w:rPr>
          <w:rFonts w:hint="eastAsia" w:ascii="宋体" w:hAnsi="宋体" w:cs="宋体"/>
          <w:b/>
          <w:color w:val="000000"/>
          <w:sz w:val="52"/>
          <w:szCs w:val="52"/>
          <w:highlight w:val="none"/>
          <w:shd w:val="clear" w:color="auto" w:fill="FFFFFF"/>
          <w:lang w:val="en-US" w:eastAsia="zh-CN"/>
        </w:rPr>
        <w:t>试点项目（五标段）</w:t>
      </w:r>
    </w:p>
    <w:p>
      <w:pPr>
        <w:spacing w:line="360" w:lineRule="auto"/>
        <w:jc w:val="center"/>
        <w:rPr>
          <w:rFonts w:hint="eastAsia" w:ascii="宋体" w:hAnsi="宋体" w:cs="宋体"/>
          <w:b/>
          <w:color w:val="000000"/>
          <w:sz w:val="36"/>
          <w:szCs w:val="36"/>
          <w:highlight w:val="none"/>
          <w:shd w:val="clear" w:color="auto" w:fill="FFFFFF"/>
          <w:lang w:eastAsia="zh-CN"/>
        </w:rPr>
      </w:pPr>
    </w:p>
    <w:p>
      <w:pPr>
        <w:pStyle w:val="26"/>
        <w:rPr>
          <w:rFonts w:hint="eastAsia"/>
          <w:lang w:eastAsia="zh-CN"/>
        </w:rPr>
      </w:pPr>
    </w:p>
    <w:p>
      <w:pPr>
        <w:spacing w:line="360" w:lineRule="auto"/>
        <w:jc w:val="center"/>
        <w:rPr>
          <w:rFonts w:ascii="宋体" w:hAnsi="宋体" w:eastAsia="宋体" w:cs="宋体"/>
          <w:highlight w:val="none"/>
        </w:rPr>
      </w:pPr>
      <w:r>
        <w:rPr>
          <w:rFonts w:hint="eastAsia" w:ascii="宋体" w:hAnsi="宋体" w:eastAsia="宋体" w:cs="宋体"/>
          <w:b/>
          <w:bCs/>
          <w:color w:val="000000"/>
          <w:sz w:val="84"/>
          <w:szCs w:val="84"/>
          <w:highlight w:val="none"/>
          <w:lang w:val="zh-CN"/>
        </w:rPr>
        <w:t>招 标 文 件</w:t>
      </w:r>
    </w:p>
    <w:p>
      <w:pPr>
        <w:spacing w:line="600" w:lineRule="exact"/>
        <w:ind w:firstLine="2388" w:firstLineChars="796"/>
        <w:rPr>
          <w:rFonts w:ascii="宋体" w:hAnsi="宋体" w:eastAsia="宋体" w:cs="宋体"/>
          <w:b/>
          <w:color w:val="auto"/>
          <w:sz w:val="30"/>
          <w:szCs w:val="30"/>
          <w:highlight w:val="none"/>
        </w:rPr>
      </w:pPr>
      <w:bookmarkStart w:id="0" w:name="OLE_LINK1"/>
      <w:r>
        <w:rPr>
          <w:rFonts w:hint="eastAsia" w:ascii="宋体" w:hAnsi="宋体" w:eastAsia="宋体" w:cs="宋体"/>
          <w:b/>
          <w:color w:val="auto"/>
          <w:sz w:val="30"/>
          <w:szCs w:val="30"/>
          <w:highlight w:val="none"/>
        </w:rPr>
        <w:t>项目编号：温交易【201</w:t>
      </w:r>
      <w:r>
        <w:rPr>
          <w:rFonts w:hint="eastAsia" w:ascii="宋体" w:hAnsi="宋体" w:cs="宋体"/>
          <w:b/>
          <w:color w:val="auto"/>
          <w:sz w:val="30"/>
          <w:szCs w:val="30"/>
          <w:highlight w:val="none"/>
          <w:lang w:val="en-US" w:eastAsia="zh-CN"/>
        </w:rPr>
        <w:t>9</w:t>
      </w:r>
      <w:r>
        <w:rPr>
          <w:rFonts w:hint="eastAsia" w:ascii="宋体" w:hAnsi="宋体" w:eastAsia="宋体" w:cs="宋体"/>
          <w:b/>
          <w:color w:val="auto"/>
          <w:sz w:val="30"/>
          <w:szCs w:val="30"/>
          <w:highlight w:val="none"/>
        </w:rPr>
        <w:t>】</w:t>
      </w:r>
      <w:r>
        <w:rPr>
          <w:rFonts w:hint="eastAsia" w:ascii="宋体" w:hAnsi="宋体" w:cs="宋体"/>
          <w:b/>
          <w:color w:val="auto"/>
          <w:sz w:val="30"/>
          <w:szCs w:val="30"/>
          <w:highlight w:val="none"/>
          <w:lang w:val="en-US" w:eastAsia="zh-CN"/>
        </w:rPr>
        <w:t>95</w:t>
      </w:r>
      <w:r>
        <w:rPr>
          <w:rFonts w:hint="eastAsia" w:ascii="宋体" w:hAnsi="宋体" w:eastAsia="宋体" w:cs="宋体"/>
          <w:b/>
          <w:color w:val="auto"/>
          <w:sz w:val="30"/>
          <w:szCs w:val="30"/>
          <w:highlight w:val="none"/>
        </w:rPr>
        <w:t>号</w:t>
      </w:r>
      <w:bookmarkEnd w:id="0"/>
    </w:p>
    <w:p>
      <w:pPr>
        <w:spacing w:line="600" w:lineRule="exact"/>
        <w:ind w:firstLine="2388" w:firstLineChars="796"/>
        <w:rPr>
          <w:rFonts w:ascii="宋体" w:hAnsi="宋体" w:eastAsia="宋体" w:cs="宋体"/>
          <w:color w:val="auto"/>
          <w:highlight w:val="none"/>
        </w:rPr>
      </w:pPr>
      <w:r>
        <w:rPr>
          <w:rFonts w:hint="eastAsia" w:ascii="宋体" w:hAnsi="宋体" w:eastAsia="宋体" w:cs="宋体"/>
          <w:b/>
          <w:color w:val="auto"/>
          <w:sz w:val="30"/>
          <w:szCs w:val="30"/>
          <w:highlight w:val="none"/>
        </w:rPr>
        <w:t>采购编号：温政采【201</w:t>
      </w:r>
      <w:r>
        <w:rPr>
          <w:rFonts w:hint="eastAsia" w:ascii="宋体" w:hAnsi="宋体" w:cs="宋体"/>
          <w:b/>
          <w:color w:val="auto"/>
          <w:sz w:val="30"/>
          <w:szCs w:val="30"/>
          <w:highlight w:val="none"/>
          <w:lang w:val="en-US" w:eastAsia="zh-CN"/>
        </w:rPr>
        <w:t>9</w:t>
      </w:r>
      <w:r>
        <w:rPr>
          <w:rFonts w:hint="eastAsia" w:ascii="宋体" w:hAnsi="宋体" w:eastAsia="宋体" w:cs="宋体"/>
          <w:b/>
          <w:color w:val="auto"/>
          <w:sz w:val="30"/>
          <w:szCs w:val="30"/>
          <w:highlight w:val="none"/>
        </w:rPr>
        <w:t>】</w:t>
      </w:r>
      <w:r>
        <w:rPr>
          <w:rFonts w:hint="eastAsia" w:ascii="宋体" w:hAnsi="宋体" w:cs="宋体"/>
          <w:b/>
          <w:color w:val="auto"/>
          <w:sz w:val="30"/>
          <w:szCs w:val="30"/>
          <w:highlight w:val="none"/>
          <w:lang w:val="en-US" w:eastAsia="zh-CN"/>
        </w:rPr>
        <w:t>89</w:t>
      </w:r>
      <w:r>
        <w:rPr>
          <w:rFonts w:hint="eastAsia" w:ascii="宋体" w:hAnsi="宋体" w:eastAsia="宋体" w:cs="宋体"/>
          <w:b/>
          <w:color w:val="auto"/>
          <w:sz w:val="30"/>
          <w:szCs w:val="30"/>
          <w:highlight w:val="none"/>
        </w:rPr>
        <w:t>号</w:t>
      </w:r>
    </w:p>
    <w:p>
      <w:pPr>
        <w:pStyle w:val="26"/>
        <w:jc w:val="both"/>
        <w:rPr>
          <w:rFonts w:ascii="宋体" w:hAnsi="宋体" w:eastAsia="宋体" w:cs="宋体"/>
          <w:highlight w:val="none"/>
        </w:rPr>
      </w:pPr>
    </w:p>
    <w:p>
      <w:pPr>
        <w:pStyle w:val="26"/>
        <w:rPr>
          <w:rFonts w:ascii="宋体" w:hAnsi="宋体" w:eastAsia="宋体" w:cs="宋体"/>
          <w:highlight w:val="none"/>
        </w:rPr>
      </w:pPr>
    </w:p>
    <w:p>
      <w:pPr>
        <w:pStyle w:val="26"/>
        <w:rPr>
          <w:rFonts w:ascii="宋体" w:hAnsi="宋体" w:eastAsia="宋体" w:cs="宋体"/>
          <w:highlight w:val="none"/>
        </w:rPr>
      </w:pPr>
    </w:p>
    <w:p>
      <w:pPr>
        <w:pStyle w:val="26"/>
        <w:jc w:val="center"/>
        <w:rPr>
          <w:rFonts w:ascii="宋体" w:hAnsi="宋体" w:eastAsia="宋体" w:cs="宋体"/>
          <w:highlight w:val="none"/>
        </w:rPr>
      </w:pPr>
      <w:r>
        <w:rPr>
          <w:rFonts w:ascii="宋体" w:hAnsi="宋体" w:cs="宋体"/>
          <w:kern w:val="0"/>
          <w:sz w:val="24"/>
        </w:rPr>
        <w:fldChar w:fldCharType="begin"/>
      </w:r>
      <w:r>
        <w:rPr>
          <w:rFonts w:ascii="宋体" w:hAnsi="宋体" w:cs="宋体"/>
          <w:kern w:val="0"/>
          <w:sz w:val="24"/>
        </w:rPr>
        <w:instrText xml:space="preserve"> INCLUDEPICTURE "d:\\Documents\\Tencent Files\\397432210\\Image\\C2C\\L8$%OVA2])YAU77_$YD}LDT.gif" \* MERGEFORMATINET </w:instrText>
      </w:r>
      <w:r>
        <w:rPr>
          <w:rFonts w:ascii="宋体" w:hAnsi="宋体" w:cs="宋体"/>
          <w:kern w:val="0"/>
          <w:sz w:val="24"/>
        </w:rPr>
        <w:fldChar w:fldCharType="separate"/>
      </w:r>
      <w:r>
        <w:rPr>
          <w:rFonts w:ascii="宋体" w:hAnsi="宋体" w:cs="宋体"/>
          <w:kern w:val="0"/>
          <w:sz w:val="24"/>
        </w:rPr>
        <w:pict>
          <v:shape id="_x0000_i1025" o:spt="75" alt="L8$%OVA2])YAU77_$YD}LDT" type="#_x0000_t75" style="height:168.1pt;width:150.75pt;" filled="f" o:preferrelative="t" stroked="f" coordsize="21600,21600">
            <v:path/>
            <v:fill on="f" focussize="0,0"/>
            <v:stroke on="f"/>
            <v:imagedata r:id="rId6" o:title="L8$%OVA2])YAU77_$YD}LDT"/>
            <o:lock v:ext="edit" aspectratio="t"/>
            <w10:wrap type="none"/>
            <w10:anchorlock/>
          </v:shape>
        </w:pict>
      </w:r>
      <w:r>
        <w:rPr>
          <w:rFonts w:ascii="宋体" w:hAnsi="宋体" w:cs="宋体"/>
          <w:kern w:val="0"/>
          <w:sz w:val="24"/>
        </w:rPr>
        <w:fldChar w:fldCharType="end"/>
      </w:r>
    </w:p>
    <w:p>
      <w:pPr>
        <w:spacing w:line="400" w:lineRule="exact"/>
        <w:rPr>
          <w:rFonts w:ascii="宋体" w:hAnsi="宋体" w:eastAsia="宋体" w:cs="宋体"/>
          <w:highlight w:val="none"/>
        </w:rPr>
      </w:pPr>
    </w:p>
    <w:p>
      <w:pPr>
        <w:spacing w:line="400" w:lineRule="exact"/>
        <w:rPr>
          <w:rFonts w:ascii="宋体" w:hAnsi="宋体" w:eastAsia="宋体" w:cs="宋体"/>
          <w:highlight w:val="none"/>
        </w:rPr>
      </w:pPr>
    </w:p>
    <w:p>
      <w:pPr>
        <w:pStyle w:val="26"/>
      </w:pPr>
    </w:p>
    <w:p>
      <w:pPr>
        <w:spacing w:line="360" w:lineRule="auto"/>
        <w:rPr>
          <w:rFonts w:ascii="宋体" w:hAnsi="宋体" w:eastAsia="宋体" w:cs="宋体"/>
          <w:b/>
          <w:sz w:val="28"/>
          <w:szCs w:val="28"/>
          <w:highlight w:val="none"/>
          <w:u w:val="none"/>
        </w:rPr>
      </w:pPr>
      <w:r>
        <w:rPr>
          <w:rFonts w:hint="eastAsia" w:ascii="宋体" w:hAnsi="宋体" w:eastAsia="宋体" w:cs="宋体"/>
          <w:b/>
          <w:sz w:val="28"/>
          <w:szCs w:val="28"/>
          <w:highlight w:val="none"/>
        </w:rPr>
        <w:t xml:space="preserve">         </w:t>
      </w:r>
      <w:r>
        <w:rPr>
          <w:rFonts w:hint="eastAsia" w:ascii="宋体" w:hAnsi="宋体" w:cs="宋体"/>
          <w:b/>
          <w:sz w:val="28"/>
          <w:szCs w:val="28"/>
          <w:highlight w:val="none"/>
          <w:lang w:val="en-US" w:eastAsia="zh-CN"/>
        </w:rPr>
        <w:t xml:space="preserve">    </w:t>
      </w:r>
      <w:r>
        <w:rPr>
          <w:rFonts w:hint="eastAsia" w:ascii="宋体" w:hAnsi="宋体" w:eastAsia="宋体" w:cs="宋体"/>
          <w:b/>
          <w:sz w:val="28"/>
          <w:szCs w:val="28"/>
          <w:highlight w:val="none"/>
        </w:rPr>
        <w:t xml:space="preserve"> 招   标   人：</w:t>
      </w:r>
      <w:r>
        <w:rPr>
          <w:rFonts w:hint="eastAsia" w:ascii="宋体" w:hAnsi="宋体" w:cs="宋体"/>
          <w:b/>
          <w:sz w:val="28"/>
          <w:szCs w:val="28"/>
          <w:highlight w:val="none"/>
          <w:u w:val="single"/>
          <w:lang w:val="en-US" w:eastAsia="zh-CN"/>
        </w:rPr>
        <w:t xml:space="preserve">温县赵堡镇人民政府 </w:t>
      </w:r>
      <w:r>
        <w:rPr>
          <w:rFonts w:hint="eastAsia" w:ascii="宋体" w:hAnsi="宋体" w:cs="宋体"/>
          <w:b/>
          <w:sz w:val="28"/>
          <w:szCs w:val="28"/>
          <w:highlight w:val="none"/>
          <w:u w:val="none"/>
          <w:lang w:val="en-US" w:eastAsia="zh-CN"/>
        </w:rPr>
        <w:t xml:space="preserve">    </w:t>
      </w:r>
      <w:r>
        <w:rPr>
          <w:rFonts w:hint="eastAsia" w:ascii="宋体" w:hAnsi="宋体" w:eastAsia="宋体" w:cs="宋体"/>
          <w:b/>
          <w:sz w:val="30"/>
          <w:szCs w:val="30"/>
          <w:highlight w:val="none"/>
          <w:u w:val="none"/>
          <w:lang w:val="en-US" w:eastAsia="zh-CN"/>
        </w:rPr>
        <w:t xml:space="preserve"> </w:t>
      </w:r>
    </w:p>
    <w:p>
      <w:pPr>
        <w:spacing w:line="360" w:lineRule="auto"/>
        <w:ind w:firstLine="1960" w:firstLineChars="700"/>
        <w:rPr>
          <w:rFonts w:hint="eastAsia" w:ascii="宋体" w:hAnsi="宋体" w:eastAsia="宋体" w:cs="宋体"/>
          <w:b/>
          <w:sz w:val="28"/>
          <w:szCs w:val="28"/>
          <w:highlight w:val="none"/>
          <w:u w:val="none"/>
          <w:lang w:val="en-US" w:eastAsia="zh-CN"/>
        </w:rPr>
      </w:pPr>
      <w:r>
        <w:rPr>
          <w:rFonts w:hint="eastAsia" w:ascii="宋体" w:hAnsi="宋体" w:eastAsia="宋体" w:cs="宋体"/>
          <w:b/>
          <w:sz w:val="28"/>
          <w:szCs w:val="28"/>
          <w:highlight w:val="none"/>
          <w:u w:val="none"/>
        </w:rPr>
        <w:t>招标代理机构：</w:t>
      </w:r>
      <w:r>
        <w:rPr>
          <w:rFonts w:hint="eastAsia" w:ascii="宋体" w:hAnsi="宋体" w:cs="宋体"/>
          <w:b/>
          <w:sz w:val="28"/>
          <w:szCs w:val="28"/>
          <w:highlight w:val="none"/>
          <w:u w:val="single"/>
          <w:lang w:val="en-US" w:eastAsia="zh-CN"/>
        </w:rPr>
        <w:t>北京恒乐</w:t>
      </w:r>
      <w:r>
        <w:rPr>
          <w:rFonts w:hint="eastAsia" w:ascii="宋体" w:hAnsi="宋体" w:eastAsia="宋体" w:cs="宋体"/>
          <w:b/>
          <w:sz w:val="28"/>
          <w:szCs w:val="28"/>
          <w:highlight w:val="none"/>
          <w:u w:val="single"/>
          <w:lang w:val="en-US" w:eastAsia="zh-CN"/>
        </w:rPr>
        <w:t>工程管理有限公司</w:t>
      </w:r>
      <w:r>
        <w:rPr>
          <w:rFonts w:hint="eastAsia" w:ascii="宋体" w:hAnsi="宋体" w:eastAsia="宋体" w:cs="宋体"/>
          <w:b/>
          <w:sz w:val="28"/>
          <w:szCs w:val="28"/>
          <w:highlight w:val="none"/>
          <w:u w:val="none"/>
        </w:rPr>
        <w:t xml:space="preserve"> </w:t>
      </w:r>
      <w:r>
        <w:rPr>
          <w:rFonts w:hint="eastAsia" w:ascii="宋体" w:hAnsi="宋体" w:cs="宋体"/>
          <w:b/>
          <w:sz w:val="28"/>
          <w:szCs w:val="28"/>
          <w:highlight w:val="none"/>
          <w:u w:val="none"/>
          <w:lang w:val="en-US" w:eastAsia="zh-CN"/>
        </w:rPr>
        <w:t xml:space="preserve">   </w:t>
      </w:r>
    </w:p>
    <w:p>
      <w:pPr>
        <w:spacing w:line="360" w:lineRule="auto"/>
        <w:jc w:val="center"/>
        <w:rPr>
          <w:highlight w:val="none"/>
        </w:rPr>
      </w:pPr>
      <w:r>
        <w:rPr>
          <w:rFonts w:hint="eastAsia" w:ascii="宋体" w:hAnsi="宋体" w:cs="宋体"/>
          <w:b/>
          <w:sz w:val="28"/>
          <w:szCs w:val="28"/>
          <w:highlight w:val="none"/>
          <w:lang w:val="en-US" w:eastAsia="zh-CN"/>
        </w:rPr>
        <w:t xml:space="preserve"> </w:t>
      </w:r>
      <w:r>
        <w:rPr>
          <w:rFonts w:hint="eastAsia" w:ascii="宋体" w:hAnsi="宋体" w:eastAsia="宋体" w:cs="宋体"/>
          <w:b/>
          <w:sz w:val="28"/>
          <w:szCs w:val="28"/>
          <w:highlight w:val="none"/>
        </w:rPr>
        <w:t>二〇一</w:t>
      </w:r>
      <w:r>
        <w:rPr>
          <w:rFonts w:hint="eastAsia" w:ascii="宋体" w:hAnsi="宋体" w:cs="宋体"/>
          <w:b/>
          <w:sz w:val="28"/>
          <w:szCs w:val="28"/>
          <w:highlight w:val="none"/>
          <w:lang w:eastAsia="zh-CN"/>
        </w:rPr>
        <w:t>九</w:t>
      </w:r>
      <w:r>
        <w:rPr>
          <w:rFonts w:hint="eastAsia" w:ascii="宋体" w:hAnsi="宋体" w:eastAsia="宋体" w:cs="宋体"/>
          <w:b/>
          <w:sz w:val="28"/>
          <w:szCs w:val="28"/>
          <w:highlight w:val="none"/>
        </w:rPr>
        <w:t>年</w:t>
      </w:r>
      <w:r>
        <w:rPr>
          <w:rFonts w:hint="eastAsia" w:ascii="宋体" w:hAnsi="宋体" w:cs="宋体"/>
          <w:b/>
          <w:sz w:val="28"/>
          <w:szCs w:val="28"/>
          <w:highlight w:val="none"/>
          <w:lang w:eastAsia="zh-CN"/>
        </w:rPr>
        <w:t>四</w:t>
      </w:r>
      <w:r>
        <w:rPr>
          <w:rFonts w:hint="eastAsia" w:ascii="宋体" w:hAnsi="宋体" w:eastAsia="宋体" w:cs="宋体"/>
          <w:b/>
          <w:sz w:val="28"/>
          <w:szCs w:val="28"/>
          <w:highlight w:val="none"/>
        </w:rPr>
        <w:t>月</w:t>
      </w:r>
    </w:p>
    <w:p>
      <w:pPr>
        <w:spacing w:line="360" w:lineRule="exact"/>
        <w:jc w:val="center"/>
        <w:rPr>
          <w:rFonts w:hint="eastAsia" w:ascii="宋体" w:hAnsi="宋体" w:cs="宋体"/>
          <w:b/>
          <w:sz w:val="36"/>
          <w:szCs w:val="36"/>
          <w:highlight w:val="none"/>
        </w:rPr>
      </w:pPr>
    </w:p>
    <w:p>
      <w:pPr>
        <w:spacing w:line="360" w:lineRule="exact"/>
        <w:jc w:val="center"/>
        <w:rPr>
          <w:rFonts w:hint="eastAsia" w:ascii="宋体" w:hAnsi="宋体" w:cs="宋体"/>
          <w:b/>
          <w:sz w:val="36"/>
          <w:szCs w:val="36"/>
          <w:highlight w:val="none"/>
        </w:rPr>
      </w:pPr>
    </w:p>
    <w:p>
      <w:pPr>
        <w:spacing w:line="360" w:lineRule="exact"/>
        <w:jc w:val="center"/>
        <w:rPr>
          <w:rFonts w:ascii="宋体" w:hAnsi="宋体" w:cs="宋体"/>
          <w:b/>
          <w:sz w:val="36"/>
          <w:szCs w:val="36"/>
          <w:highlight w:val="none"/>
        </w:rPr>
      </w:pPr>
      <w:r>
        <w:rPr>
          <w:rFonts w:hint="eastAsia" w:ascii="宋体" w:hAnsi="宋体" w:cs="宋体"/>
          <w:b/>
          <w:sz w:val="36"/>
          <w:szCs w:val="36"/>
          <w:highlight w:val="none"/>
        </w:rPr>
        <w:t xml:space="preserve">目   录 </w:t>
      </w:r>
    </w:p>
    <w:p>
      <w:pPr>
        <w:spacing w:line="360" w:lineRule="exact"/>
        <w:jc w:val="center"/>
        <w:rPr>
          <w:rFonts w:ascii="宋体" w:hAnsi="宋体" w:cs="宋体"/>
          <w:b/>
          <w:szCs w:val="21"/>
          <w:highlight w:val="none"/>
        </w:rPr>
      </w:pPr>
    </w:p>
    <w:p>
      <w:pPr>
        <w:pStyle w:val="16"/>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rPr>
        <w:fldChar w:fldCharType="begin"/>
      </w:r>
      <w:r>
        <w:rPr>
          <w:rFonts w:hint="eastAsia" w:asciiTheme="minorEastAsia" w:hAnsiTheme="minorEastAsia" w:eastAsiaTheme="minorEastAsia" w:cstheme="minorEastAsia"/>
          <w:sz w:val="21"/>
          <w:szCs w:val="21"/>
          <w:highlight w:val="none"/>
        </w:rPr>
        <w:instrText xml:space="preserve">TOC \o "1-3" \h  \u </w:instrText>
      </w:r>
      <w:r>
        <w:rPr>
          <w:rFonts w:hint="eastAsia" w:asciiTheme="minorEastAsia" w:hAnsiTheme="minorEastAsia" w:eastAsiaTheme="minorEastAsia" w:cstheme="minorEastAsia"/>
          <w:sz w:val="21"/>
          <w:szCs w:val="21"/>
          <w:highlight w:val="none"/>
        </w:rPr>
        <w:fldChar w:fldCharType="separate"/>
      </w:r>
      <w:r>
        <w:rPr>
          <w:rFonts w:hint="eastAsia" w:asciiTheme="minorEastAsia" w:hAnsiTheme="minorEastAsia" w:eastAsiaTheme="minorEastAsia" w:cstheme="minorEastAsia"/>
          <w:sz w:val="21"/>
          <w:szCs w:val="21"/>
          <w:highlight w:val="none"/>
        </w:rPr>
        <w:fldChar w:fldCharType="begin"/>
      </w:r>
      <w:r>
        <w:rPr>
          <w:rFonts w:hint="eastAsia" w:asciiTheme="minorEastAsia" w:hAnsiTheme="minorEastAsia" w:eastAsiaTheme="minorEastAsia" w:cstheme="minorEastAsia"/>
          <w:sz w:val="21"/>
          <w:szCs w:val="21"/>
          <w:highlight w:val="none"/>
        </w:rPr>
        <w:instrText xml:space="preserve"> HYPERLINK \l _Toc1672 </w:instrText>
      </w:r>
      <w:r>
        <w:rPr>
          <w:rFonts w:hint="eastAsia" w:asciiTheme="minorEastAsia" w:hAnsiTheme="minorEastAsia" w:eastAsiaTheme="minorEastAsia" w:cstheme="minorEastAsia"/>
          <w:sz w:val="21"/>
          <w:szCs w:val="21"/>
          <w:highlight w:val="none"/>
        </w:rPr>
        <w:fldChar w:fldCharType="separate"/>
      </w:r>
      <w:r>
        <w:rPr>
          <w:rFonts w:hint="eastAsia" w:asciiTheme="minorEastAsia" w:hAnsiTheme="minorEastAsia" w:eastAsiaTheme="minorEastAsia" w:cstheme="minorEastAsia"/>
          <w:bCs/>
          <w:sz w:val="21"/>
          <w:szCs w:val="21"/>
          <w:highlight w:val="none"/>
        </w:rPr>
        <w:t>第一章  招标公告</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_Toc1672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- 3 -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rPr>
        <w:fldChar w:fldCharType="end"/>
      </w:r>
    </w:p>
    <w:p>
      <w:pPr>
        <w:pStyle w:val="16"/>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_Toc7671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bCs/>
          <w:sz w:val="21"/>
          <w:szCs w:val="21"/>
          <w:highlight w:val="none"/>
        </w:rPr>
        <w:t>第二章 投标人须知</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_Toc7671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- 6 -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_Toc5939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投标人须知前附表</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_Toc5939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- 6 -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_Toc15377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1. 总则</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_Toc15377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- 13 -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_Toc28209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2. 招标文件</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_Toc28209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- 15 -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_Toc15955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3. 投标文件</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_Toc15955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- 16 -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_Toc92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4. 投标</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_Toc92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- 18 -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_Toc12581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5. 开标</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_Toc12581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- 18 -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_Toc20359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6. 评标</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_Toc20359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- 19 -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_Toc25053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7. 合同授予</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_Toc25053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- 20 -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_Toc9049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8. 纪律和监督</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_Toc9049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- 20 -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_Toc29342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9. 需要补充的其他内容</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_Toc29342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- 22 -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6"/>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_Toc4632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bCs/>
          <w:sz w:val="21"/>
          <w:szCs w:val="21"/>
          <w:highlight w:val="none"/>
        </w:rPr>
        <w:t>第三章 评标办法</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_Toc4632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- 27 -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_Toc29306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rPr>
        <w:t>1. 评标方法</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_Toc29306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- 30 -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_Toc8397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rPr>
        <w:t>2. 评审标准</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_Toc8397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- 30 -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_Toc17304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rPr>
        <w:t>2.1 初步评审标准</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_Toc17304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- 30 -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_Toc15707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rPr>
        <w:t>3. 评标程序</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_Toc15707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- 30 -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6"/>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_Toc10072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bCs/>
          <w:sz w:val="21"/>
          <w:szCs w:val="21"/>
          <w:highlight w:val="none"/>
        </w:rPr>
        <w:t>第四章  合同条款及格式</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_Toc10072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- 32 -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6"/>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_Toc10882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rPr>
        <w:t xml:space="preserve">第五章 </w:t>
      </w:r>
      <w:r>
        <w:rPr>
          <w:rFonts w:hint="eastAsia" w:asciiTheme="minorEastAsia" w:hAnsiTheme="minorEastAsia" w:eastAsiaTheme="minorEastAsia" w:cstheme="minorEastAsia"/>
          <w:bCs/>
          <w:sz w:val="21"/>
          <w:szCs w:val="21"/>
          <w:highlight w:val="none"/>
        </w:rPr>
        <w:t>工程量清单</w:t>
      </w:r>
      <w:r>
        <w:rPr>
          <w:rFonts w:hint="eastAsia" w:asciiTheme="minorEastAsia" w:hAnsiTheme="minorEastAsia" w:eastAsiaTheme="minorEastAsia" w:cstheme="minorEastAsia"/>
          <w:sz w:val="21"/>
          <w:szCs w:val="21"/>
          <w:highlight w:val="none"/>
        </w:rPr>
        <w:t>（另附）</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_Toc10882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- 52 -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_Toc18640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rPr>
        <w:t>1. 工程量清单说明</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_Toc18640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- 52 -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_Toc29937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rPr>
        <w:t>2. 投标报价说明</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_Toc29937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- 52 -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_Toc8226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rPr>
        <w:t>3. 其他说明</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_Toc8226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- 52 -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6"/>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_Toc452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bCs/>
          <w:sz w:val="21"/>
          <w:szCs w:val="21"/>
          <w:lang w:eastAsia="zh-CN"/>
        </w:rPr>
        <w:t xml:space="preserve">第六章 </w:t>
      </w:r>
      <w:r>
        <w:rPr>
          <w:rFonts w:hint="eastAsia" w:asciiTheme="minorEastAsia" w:hAnsiTheme="minorEastAsia" w:eastAsiaTheme="minorEastAsia" w:cstheme="minorEastAsia"/>
          <w:bCs/>
          <w:sz w:val="21"/>
          <w:szCs w:val="21"/>
          <w:highlight w:val="none"/>
          <w:lang w:eastAsia="zh-CN"/>
        </w:rPr>
        <w:t>图纸（另附）</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_Toc452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- 53 -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6"/>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_Toc7535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bCs/>
          <w:sz w:val="21"/>
          <w:szCs w:val="21"/>
        </w:rPr>
        <w:t xml:space="preserve">第七章 </w:t>
      </w:r>
      <w:r>
        <w:rPr>
          <w:rFonts w:hint="eastAsia" w:asciiTheme="minorEastAsia" w:hAnsiTheme="minorEastAsia" w:eastAsiaTheme="minorEastAsia" w:cstheme="minorEastAsia"/>
          <w:bCs/>
          <w:sz w:val="21"/>
          <w:szCs w:val="21"/>
          <w:highlight w:val="none"/>
        </w:rPr>
        <w:t>技术标准和要求</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_Toc7535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- 54 -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6"/>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_Toc2602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bCs/>
          <w:sz w:val="21"/>
          <w:szCs w:val="21"/>
          <w:highlight w:val="none"/>
        </w:rPr>
        <w:t>第</w:t>
      </w:r>
      <w:r>
        <w:rPr>
          <w:rFonts w:hint="eastAsia" w:asciiTheme="minorEastAsia" w:hAnsiTheme="minorEastAsia" w:eastAsiaTheme="minorEastAsia" w:cstheme="minorEastAsia"/>
          <w:bCs/>
          <w:sz w:val="21"/>
          <w:szCs w:val="21"/>
          <w:highlight w:val="none"/>
          <w:lang w:eastAsia="zh-CN"/>
        </w:rPr>
        <w:t>八</w:t>
      </w:r>
      <w:r>
        <w:rPr>
          <w:rFonts w:hint="eastAsia" w:asciiTheme="minorEastAsia" w:hAnsiTheme="minorEastAsia" w:eastAsiaTheme="minorEastAsia" w:cstheme="minorEastAsia"/>
          <w:bCs/>
          <w:sz w:val="21"/>
          <w:szCs w:val="21"/>
          <w:highlight w:val="none"/>
        </w:rPr>
        <w:t>章  投标文件格式</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_Toc2602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- 56 -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_Toc16502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目    录</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_Toc16502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- 57 -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_Toc13576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一、投标函及投标函附录</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_Toc13576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- 58 -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_Toc10787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二、法定代表人身份证明</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_Toc10787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- 60 -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_Toc18123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三、授权委托书</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_Toc18123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- 61 -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_Toc24472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四、投标保证金</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_Toc24472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- 62 -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_Toc24786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五、已标价工程量清单</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_Toc24786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- 63 -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_Toc29300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六、施工组织设计</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_Toc29300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- 64 -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_Toc21775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七、项目管理机构</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_Toc21775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- 69 -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_Toc8296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sz w:val="21"/>
          <w:szCs w:val="21"/>
          <w:highlight w:val="none"/>
        </w:rPr>
        <w:t>八、资格审查资料</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_Toc8296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- 71 -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_Toc30677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bCs/>
          <w:sz w:val="21"/>
          <w:szCs w:val="21"/>
          <w:highlight w:val="none"/>
        </w:rPr>
        <w:t>九、投标承诺</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_Toc30677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- 76 -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_Toc19542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bCs/>
          <w:sz w:val="21"/>
          <w:szCs w:val="21"/>
          <w:highlight w:val="none"/>
        </w:rPr>
        <w:t>十、廉政建设承诺书</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_Toc19542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- 77 -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pStyle w:val="17"/>
        <w:tabs>
          <w:tab w:val="right" w:leader="dot" w:pos="9071"/>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bidi="ar-SA"/>
        </w:rPr>
        <w:fldChar w:fldCharType="begin"/>
      </w:r>
      <w:r>
        <w:rPr>
          <w:rFonts w:hint="eastAsia" w:asciiTheme="minorEastAsia" w:hAnsiTheme="minorEastAsia" w:eastAsiaTheme="minorEastAsia" w:cstheme="minorEastAsia"/>
          <w:sz w:val="21"/>
          <w:szCs w:val="21"/>
          <w:highlight w:val="none"/>
          <w:lang w:val="en-US" w:eastAsia="zh-CN" w:bidi="ar-SA"/>
        </w:rPr>
        <w:instrText xml:space="preserve"> HYPERLINK \l _Toc26859 </w:instrText>
      </w:r>
      <w:r>
        <w:rPr>
          <w:rFonts w:hint="eastAsia" w:asciiTheme="minorEastAsia" w:hAnsiTheme="minorEastAsia" w:eastAsiaTheme="minorEastAsia" w:cstheme="minorEastAsia"/>
          <w:sz w:val="21"/>
          <w:szCs w:val="21"/>
          <w:highlight w:val="none"/>
          <w:lang w:val="en-US" w:eastAsia="zh-CN" w:bidi="ar-SA"/>
        </w:rPr>
        <w:fldChar w:fldCharType="separate"/>
      </w:r>
      <w:r>
        <w:rPr>
          <w:rFonts w:hint="eastAsia" w:asciiTheme="minorEastAsia" w:hAnsiTheme="minorEastAsia" w:eastAsiaTheme="minorEastAsia" w:cstheme="minorEastAsia"/>
          <w:bCs/>
          <w:sz w:val="21"/>
          <w:szCs w:val="21"/>
          <w:highlight w:val="none"/>
        </w:rPr>
        <w:t>十</w:t>
      </w:r>
      <w:r>
        <w:rPr>
          <w:rFonts w:hint="eastAsia" w:asciiTheme="minorEastAsia" w:hAnsiTheme="minorEastAsia" w:eastAsiaTheme="minorEastAsia" w:cstheme="minorEastAsia"/>
          <w:bCs/>
          <w:sz w:val="21"/>
          <w:szCs w:val="21"/>
          <w:highlight w:val="none"/>
          <w:lang w:eastAsia="zh-CN"/>
        </w:rPr>
        <w:t>一</w:t>
      </w:r>
      <w:r>
        <w:rPr>
          <w:rFonts w:hint="eastAsia" w:asciiTheme="minorEastAsia" w:hAnsiTheme="minorEastAsia" w:eastAsiaTheme="minorEastAsia" w:cstheme="minorEastAsia"/>
          <w:bCs/>
          <w:sz w:val="21"/>
          <w:szCs w:val="21"/>
          <w:highlight w:val="none"/>
        </w:rPr>
        <w:t>、无行贿犯罪记录承诺书</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PAGEREF _Toc26859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- 78 -</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highlight w:val="none"/>
          <w:lang w:val="en-US" w:eastAsia="zh-CN" w:bidi="ar-SA"/>
        </w:rPr>
        <w:fldChar w:fldCharType="end"/>
      </w:r>
    </w:p>
    <w:p>
      <w:pPr>
        <w:widowControl w:val="0"/>
        <w:wordWrap/>
        <w:adjustRightInd/>
        <w:snapToGrid/>
        <w:spacing w:line="360" w:lineRule="exact"/>
        <w:textAlignment w:val="auto"/>
        <w:outlineLvl w:val="9"/>
        <w:rPr>
          <w:rFonts w:hint="eastAsia" w:asciiTheme="minorEastAsia" w:hAnsiTheme="minorEastAsia" w:eastAsiaTheme="minorEastAsia" w:cstheme="minorEastAsia"/>
          <w:sz w:val="21"/>
          <w:szCs w:val="21"/>
          <w:highlight w:val="none"/>
          <w:lang w:val="en-US" w:eastAsia="zh-CN" w:bidi="ar-SA"/>
        </w:rPr>
      </w:pPr>
      <w:r>
        <w:rPr>
          <w:rFonts w:hint="eastAsia" w:asciiTheme="minorEastAsia" w:hAnsiTheme="minorEastAsia" w:eastAsiaTheme="minorEastAsia" w:cstheme="minorEastAsia"/>
          <w:sz w:val="21"/>
          <w:szCs w:val="21"/>
          <w:highlight w:val="none"/>
          <w:lang w:val="en-US" w:eastAsia="zh-CN" w:bidi="ar-SA"/>
        </w:rPr>
        <w:fldChar w:fldCharType="end"/>
      </w:r>
    </w:p>
    <w:p>
      <w:pPr>
        <w:pStyle w:val="26"/>
        <w:rPr>
          <w:rFonts w:hint="eastAsia" w:ascii="宋体" w:hAnsi="宋体" w:eastAsia="宋体" w:cs="宋体"/>
          <w:szCs w:val="21"/>
          <w:highlight w:val="none"/>
          <w:lang w:val="en-US" w:eastAsia="zh-CN" w:bidi="ar-SA"/>
        </w:rPr>
      </w:pPr>
    </w:p>
    <w:p>
      <w:pPr>
        <w:pStyle w:val="26"/>
        <w:rPr>
          <w:rFonts w:hint="eastAsia" w:ascii="宋体" w:hAnsi="宋体" w:eastAsia="宋体" w:cs="宋体"/>
          <w:szCs w:val="21"/>
          <w:highlight w:val="none"/>
          <w:lang w:val="en-US" w:eastAsia="zh-CN" w:bidi="ar-SA"/>
        </w:rPr>
      </w:pPr>
    </w:p>
    <w:p>
      <w:pPr>
        <w:spacing w:line="600" w:lineRule="exact"/>
        <w:jc w:val="center"/>
        <w:outlineLvl w:val="0"/>
        <w:rPr>
          <w:b/>
          <w:bCs/>
          <w:sz w:val="36"/>
          <w:szCs w:val="36"/>
          <w:highlight w:val="none"/>
        </w:rPr>
      </w:pPr>
      <w:bookmarkStart w:id="1" w:name="_Toc1672"/>
      <w:r>
        <w:rPr>
          <w:rFonts w:hint="eastAsia"/>
          <w:b/>
          <w:bCs/>
          <w:sz w:val="36"/>
          <w:szCs w:val="36"/>
          <w:highlight w:val="none"/>
        </w:rPr>
        <w:t>第一章  招标公告</w:t>
      </w:r>
      <w:bookmarkEnd w:id="1"/>
    </w:p>
    <w:p>
      <w:pPr>
        <w:jc w:val="center"/>
        <w:rPr>
          <w:rFonts w:hint="eastAsia" w:ascii="宋体" w:hAnsi="宋体"/>
          <w:b/>
          <w:bCs/>
          <w:sz w:val="32"/>
          <w:szCs w:val="32"/>
          <w:highlight w:val="none"/>
        </w:rPr>
      </w:pPr>
      <w:bookmarkStart w:id="2" w:name="_Toc7168"/>
      <w:r>
        <w:rPr>
          <w:rFonts w:hint="eastAsia" w:ascii="宋体" w:hAnsi="宋体"/>
          <w:b/>
          <w:bCs/>
          <w:sz w:val="32"/>
          <w:szCs w:val="32"/>
          <w:highlight w:val="none"/>
          <w:lang w:val="en-US" w:eastAsia="zh-CN"/>
        </w:rPr>
        <w:t>温县赵堡镇赵堡村美丽乡村示范县试点项目</w:t>
      </w:r>
      <w:r>
        <w:rPr>
          <w:rFonts w:hint="eastAsia" w:ascii="宋体" w:hAnsi="宋体"/>
          <w:b/>
          <w:bCs/>
          <w:sz w:val="32"/>
          <w:szCs w:val="32"/>
          <w:highlight w:val="none"/>
        </w:rPr>
        <w:t>招标公告</w:t>
      </w:r>
    </w:p>
    <w:p>
      <w:pPr>
        <w:pStyle w:val="26"/>
      </w:pP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1、招标条件</w:t>
      </w:r>
    </w:p>
    <w:p>
      <w:pPr>
        <w:keepNext w:val="0"/>
        <w:keepLines w:val="0"/>
        <w:pageBreakBefore w:val="0"/>
        <w:kinsoku/>
        <w:overflowPunct/>
        <w:topLinePunct w:val="0"/>
        <w:bidi w:val="0"/>
        <w:adjustRightInd/>
        <w:spacing w:line="46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本招标项目</w:t>
      </w:r>
      <w:r>
        <w:rPr>
          <w:rFonts w:hint="eastAsia" w:asciiTheme="minorEastAsia" w:hAnsiTheme="minorEastAsia" w:eastAsiaTheme="minorEastAsia" w:cstheme="minorEastAsia"/>
          <w:sz w:val="21"/>
          <w:szCs w:val="21"/>
          <w:highlight w:val="none"/>
          <w:lang w:val="en-US" w:eastAsia="zh-CN"/>
        </w:rPr>
        <w:t>温县赵堡镇赵堡村美丽乡村示范县试点项目</w:t>
      </w:r>
      <w:r>
        <w:rPr>
          <w:rFonts w:hint="eastAsia" w:asciiTheme="minorEastAsia" w:hAnsiTheme="minorEastAsia" w:eastAsiaTheme="minorEastAsia" w:cstheme="minorEastAsia"/>
          <w:sz w:val="21"/>
          <w:szCs w:val="21"/>
          <w:highlight w:val="none"/>
        </w:rPr>
        <w:t>已由相关部门批准建设，</w:t>
      </w:r>
      <w:r>
        <w:rPr>
          <w:rFonts w:hint="eastAsia" w:asciiTheme="minorEastAsia" w:hAnsiTheme="minorEastAsia" w:eastAsiaTheme="minorEastAsia" w:cstheme="minorEastAsia"/>
          <w:sz w:val="21"/>
          <w:szCs w:val="21"/>
          <w:highlight w:val="none"/>
          <w:lang w:eastAsia="zh-CN"/>
        </w:rPr>
        <w:t>北京恒乐工程管理</w:t>
      </w:r>
      <w:r>
        <w:rPr>
          <w:rFonts w:hint="eastAsia" w:asciiTheme="minorEastAsia" w:hAnsiTheme="minorEastAsia" w:eastAsiaTheme="minorEastAsia" w:cstheme="minorEastAsia"/>
          <w:sz w:val="21"/>
          <w:szCs w:val="21"/>
          <w:highlight w:val="none"/>
        </w:rPr>
        <w:t>有限公司受</w:t>
      </w:r>
      <w:r>
        <w:rPr>
          <w:rFonts w:hint="eastAsia" w:asciiTheme="minorEastAsia" w:hAnsiTheme="minorEastAsia" w:eastAsiaTheme="minorEastAsia" w:cstheme="minorEastAsia"/>
          <w:sz w:val="21"/>
          <w:szCs w:val="21"/>
          <w:highlight w:val="none"/>
          <w:lang w:val="en-US" w:eastAsia="zh-CN"/>
        </w:rPr>
        <w:t>温县赵堡镇人民政府</w:t>
      </w:r>
      <w:r>
        <w:rPr>
          <w:rFonts w:hint="eastAsia" w:asciiTheme="minorEastAsia" w:hAnsiTheme="minorEastAsia" w:eastAsiaTheme="minorEastAsia" w:cstheme="minorEastAsia"/>
          <w:sz w:val="21"/>
          <w:szCs w:val="21"/>
          <w:highlight w:val="none"/>
        </w:rPr>
        <w:t>的委托，就</w:t>
      </w:r>
      <w:r>
        <w:rPr>
          <w:rFonts w:hint="eastAsia" w:asciiTheme="minorEastAsia" w:hAnsiTheme="minorEastAsia" w:eastAsiaTheme="minorEastAsia" w:cstheme="minorEastAsia"/>
          <w:sz w:val="21"/>
          <w:szCs w:val="21"/>
          <w:highlight w:val="none"/>
          <w:lang w:val="en-US" w:eastAsia="zh-CN"/>
        </w:rPr>
        <w:t>温县赵堡镇赵堡村美丽乡村示范县试点项目</w:t>
      </w:r>
      <w:r>
        <w:rPr>
          <w:rFonts w:hint="eastAsia" w:asciiTheme="minorEastAsia" w:hAnsiTheme="minorEastAsia" w:eastAsiaTheme="minorEastAsia" w:cstheme="minorEastAsia"/>
          <w:sz w:val="21"/>
          <w:szCs w:val="21"/>
          <w:highlight w:val="none"/>
        </w:rPr>
        <w:t xml:space="preserve">进行公开招标，现欢迎符合相关条件的投标人参加投标。 </w:t>
      </w:r>
    </w:p>
    <w:p>
      <w:pPr>
        <w:keepNext w:val="0"/>
        <w:keepLines w:val="0"/>
        <w:pageBreakBefore w:val="0"/>
        <w:kinsoku/>
        <w:wordWrap w:val="0"/>
        <w:overflowPunct/>
        <w:topLinePunct w:val="0"/>
        <w:bidi w:val="0"/>
        <w:adjustRightInd/>
        <w:snapToGrid w:val="0"/>
        <w:spacing w:line="460" w:lineRule="exact"/>
        <w:ind w:left="0" w:leftChars="0" w:right="0"/>
        <w:textAlignment w:val="auto"/>
        <w:outlineLvl w:val="9"/>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 xml:space="preserve">    2、项目概况与招标范围</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rPr>
        <w:t>2.1</w:t>
      </w:r>
      <w:r>
        <w:rPr>
          <w:rFonts w:hint="eastAsia" w:asciiTheme="minorEastAsia" w:hAnsiTheme="minorEastAsia" w:eastAsiaTheme="minorEastAsia" w:cstheme="minorEastAsia"/>
          <w:sz w:val="21"/>
          <w:szCs w:val="21"/>
          <w:highlight w:val="none"/>
          <w:lang w:eastAsia="zh-CN"/>
        </w:rPr>
        <w:t>项目名称：</w:t>
      </w:r>
      <w:r>
        <w:rPr>
          <w:rFonts w:hint="eastAsia" w:asciiTheme="minorEastAsia" w:hAnsiTheme="minorEastAsia" w:eastAsiaTheme="minorEastAsia" w:cstheme="minorEastAsia"/>
          <w:sz w:val="21"/>
          <w:szCs w:val="21"/>
          <w:highlight w:val="none"/>
          <w:lang w:val="en-US" w:eastAsia="zh-CN"/>
        </w:rPr>
        <w:t>温县赵堡镇赵堡村美丽乡村示范县试点项目</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 项目编号：温交易【201</w:t>
      </w:r>
      <w:r>
        <w:rPr>
          <w:rFonts w:hint="eastAsia" w:asciiTheme="minorEastAsia" w:hAnsiTheme="minorEastAsia" w:eastAsiaTheme="minorEastAsia" w:cstheme="minorEastAsia"/>
          <w:color w:val="auto"/>
          <w:sz w:val="21"/>
          <w:szCs w:val="21"/>
          <w:highlight w:val="none"/>
          <w:lang w:val="en-US" w:eastAsia="zh-CN"/>
        </w:rPr>
        <w:t>9</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 xml:space="preserve">95 </w:t>
      </w:r>
      <w:r>
        <w:rPr>
          <w:rFonts w:hint="eastAsia" w:asciiTheme="minorEastAsia" w:hAnsiTheme="minorEastAsia" w:eastAsiaTheme="minorEastAsia" w:cstheme="minorEastAsia"/>
          <w:color w:val="auto"/>
          <w:sz w:val="21"/>
          <w:szCs w:val="21"/>
          <w:highlight w:val="none"/>
        </w:rPr>
        <w:t>号      采购编号：温政采【201</w:t>
      </w:r>
      <w:r>
        <w:rPr>
          <w:rFonts w:hint="eastAsia" w:asciiTheme="minorEastAsia" w:hAnsiTheme="minorEastAsia" w:eastAsiaTheme="minorEastAsia" w:cstheme="minorEastAsia"/>
          <w:color w:val="auto"/>
          <w:sz w:val="21"/>
          <w:szCs w:val="21"/>
          <w:highlight w:val="none"/>
          <w:lang w:val="en-US" w:eastAsia="zh-CN"/>
        </w:rPr>
        <w:t>9</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89</w:t>
      </w:r>
      <w:r>
        <w:rPr>
          <w:rFonts w:hint="eastAsia" w:asciiTheme="minorEastAsia" w:hAnsiTheme="minorEastAsia" w:eastAsiaTheme="minorEastAsia" w:cstheme="minorEastAsia"/>
          <w:color w:val="auto"/>
          <w:sz w:val="21"/>
          <w:szCs w:val="21"/>
          <w:highlight w:val="none"/>
        </w:rPr>
        <w:t>号</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2.3 项目概况</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本项目为</w:t>
      </w:r>
      <w:r>
        <w:rPr>
          <w:rFonts w:hint="eastAsia" w:asciiTheme="minorEastAsia" w:hAnsiTheme="minorEastAsia" w:eastAsiaTheme="minorEastAsia" w:cstheme="minorEastAsia"/>
          <w:sz w:val="21"/>
          <w:szCs w:val="21"/>
          <w:highlight w:val="none"/>
          <w:lang w:val="en-US" w:eastAsia="zh-CN"/>
        </w:rPr>
        <w:t>温县赵堡镇赵堡村美丽乡村示范县试点项目</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该项目共分为六个标段，一标段：武孟路南侧人行道及排水工程、电力电信入地工程；二标段：武孟路北侧人行道及排水工程；三标段：2号、3号、4号、6号坑塘整治及村内支路工程；四标段：武孟路护栏工程、照明工程、镇政府大门、墙体美化及广告牌整治工程；五标段：绿化广场建设、环卫工程、村北环路排水、村委公厕及绿化广场工程建设；六标段：本项目全过程监理。（具体内容详见工程量清单及图纸）</w:t>
      </w:r>
      <w:r>
        <w:rPr>
          <w:rFonts w:hint="eastAsia" w:asciiTheme="minorEastAsia" w:hAnsiTheme="minorEastAsia" w:eastAsiaTheme="minorEastAsia" w:cstheme="minorEastAsia"/>
          <w:sz w:val="21"/>
          <w:szCs w:val="21"/>
          <w:highlight w:val="none"/>
        </w:rPr>
        <w:t>。</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2.4</w:t>
      </w:r>
      <w:r>
        <w:rPr>
          <w:rFonts w:hint="eastAsia" w:asciiTheme="minorEastAsia" w:hAnsiTheme="minorEastAsia" w:eastAsiaTheme="minorEastAsia" w:cstheme="minorEastAsia"/>
          <w:sz w:val="21"/>
          <w:szCs w:val="21"/>
          <w:highlight w:val="none"/>
          <w:lang w:eastAsia="zh-CN"/>
        </w:rPr>
        <w:t>项目</w:t>
      </w:r>
      <w:r>
        <w:rPr>
          <w:rFonts w:hint="eastAsia" w:asciiTheme="minorEastAsia" w:hAnsiTheme="minorEastAsia" w:eastAsiaTheme="minorEastAsia" w:cstheme="minorEastAsia"/>
          <w:sz w:val="21"/>
          <w:szCs w:val="21"/>
          <w:highlight w:val="none"/>
        </w:rPr>
        <w:t>地点：</w:t>
      </w:r>
      <w:r>
        <w:rPr>
          <w:rFonts w:hint="eastAsia" w:asciiTheme="minorEastAsia" w:hAnsiTheme="minorEastAsia" w:eastAsiaTheme="minorEastAsia" w:cstheme="minorEastAsia"/>
          <w:sz w:val="21"/>
          <w:szCs w:val="21"/>
          <w:highlight w:val="none"/>
          <w:lang w:val="en-US" w:eastAsia="zh-CN"/>
        </w:rPr>
        <w:t>温县赵堡镇</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 xml:space="preserve">2.5质量要求：合格 </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2.6</w:t>
      </w:r>
      <w:r>
        <w:rPr>
          <w:rFonts w:hint="eastAsia" w:asciiTheme="minorEastAsia" w:hAnsiTheme="minorEastAsia" w:eastAsiaTheme="minorEastAsia" w:cstheme="minorEastAsia"/>
          <w:sz w:val="21"/>
          <w:szCs w:val="21"/>
          <w:highlight w:val="none"/>
        </w:rPr>
        <w:t>工    期：</w:t>
      </w:r>
      <w:r>
        <w:rPr>
          <w:rFonts w:hint="eastAsia" w:asciiTheme="minorEastAsia" w:hAnsiTheme="minorEastAsia" w:eastAsiaTheme="minorEastAsia" w:cstheme="minorEastAsia"/>
          <w:sz w:val="21"/>
          <w:szCs w:val="21"/>
          <w:highlight w:val="none"/>
          <w:lang w:eastAsia="zh-CN"/>
        </w:rPr>
        <w:t>一至五标段：</w:t>
      </w:r>
      <w:r>
        <w:rPr>
          <w:rFonts w:hint="eastAsia" w:asciiTheme="minorEastAsia" w:hAnsiTheme="minorEastAsia" w:eastAsiaTheme="minorEastAsia" w:cstheme="minorEastAsia"/>
          <w:sz w:val="21"/>
          <w:szCs w:val="21"/>
          <w:highlight w:val="none"/>
          <w:lang w:val="en-US" w:eastAsia="zh-CN"/>
        </w:rPr>
        <w:t xml:space="preserve">120日历天   </w:t>
      </w:r>
    </w:p>
    <w:p>
      <w:pPr>
        <w:keepNext w:val="0"/>
        <w:keepLines w:val="0"/>
        <w:pageBreakBefore w:val="0"/>
        <w:kinsoku/>
        <w:wordWrap w:val="0"/>
        <w:overflowPunct/>
        <w:topLinePunct w:val="0"/>
        <w:bidi w:val="0"/>
        <w:adjustRightInd/>
        <w:snapToGrid w:val="0"/>
        <w:spacing w:line="460" w:lineRule="exact"/>
        <w:ind w:left="0" w:leftChars="0" w:right="0" w:firstLine="1890" w:firstLineChars="900"/>
        <w:textAlignment w:val="auto"/>
        <w:outlineLvl w:val="9"/>
        <w:rPr>
          <w:rFonts w:hint="eastAsia" w:asciiTheme="minorEastAsia" w:hAnsiTheme="minorEastAsia" w:eastAsiaTheme="minorEastAsia" w:cstheme="minorEastAsia"/>
          <w:sz w:val="21"/>
          <w:szCs w:val="21"/>
          <w:highlight w:val="none"/>
          <w:lang w:val="en-US"/>
        </w:rPr>
      </w:pPr>
      <w:r>
        <w:rPr>
          <w:rFonts w:hint="eastAsia" w:asciiTheme="minorEastAsia" w:hAnsiTheme="minorEastAsia" w:eastAsiaTheme="minorEastAsia" w:cstheme="minorEastAsia"/>
          <w:sz w:val="21"/>
          <w:szCs w:val="21"/>
          <w:highlight w:val="none"/>
          <w:lang w:val="en-US" w:eastAsia="zh-CN"/>
        </w:rPr>
        <w:t>六  标 段：同施工合同约定工期</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2.</w:t>
      </w:r>
      <w:r>
        <w:rPr>
          <w:rFonts w:hint="eastAsia" w:asciiTheme="minorEastAsia" w:hAnsiTheme="minorEastAsia" w:eastAsiaTheme="minorEastAsia" w:cstheme="minorEastAsia"/>
          <w:sz w:val="21"/>
          <w:szCs w:val="21"/>
          <w:highlight w:val="none"/>
          <w:lang w:val="en-US" w:eastAsia="zh-CN"/>
        </w:rPr>
        <w:t>7</w:t>
      </w:r>
      <w:r>
        <w:rPr>
          <w:rFonts w:hint="eastAsia" w:asciiTheme="minorEastAsia" w:hAnsiTheme="minorEastAsia" w:eastAsiaTheme="minorEastAsia" w:cstheme="minorEastAsia"/>
          <w:sz w:val="21"/>
          <w:szCs w:val="21"/>
          <w:highlight w:val="none"/>
        </w:rPr>
        <w:t xml:space="preserve"> 招标范围：</w:t>
      </w:r>
      <w:r>
        <w:rPr>
          <w:rFonts w:hint="eastAsia" w:asciiTheme="minorEastAsia" w:hAnsiTheme="minorEastAsia" w:eastAsiaTheme="minorEastAsia" w:cstheme="minorEastAsia"/>
          <w:sz w:val="21"/>
          <w:szCs w:val="21"/>
          <w:highlight w:val="none"/>
          <w:lang w:eastAsia="zh-CN"/>
        </w:rPr>
        <w:t>一至五标段：</w:t>
      </w:r>
      <w:r>
        <w:rPr>
          <w:rFonts w:hint="eastAsia" w:asciiTheme="minorEastAsia" w:hAnsiTheme="minorEastAsia" w:eastAsiaTheme="minorEastAsia" w:cstheme="minorEastAsia"/>
          <w:sz w:val="21"/>
          <w:szCs w:val="21"/>
          <w:highlight w:val="none"/>
        </w:rPr>
        <w:t>招标文件所有内容及工程量清单、施工图所包含的全部内容</w:t>
      </w:r>
      <w:r>
        <w:rPr>
          <w:rFonts w:hint="eastAsia" w:asciiTheme="minorEastAsia" w:hAnsiTheme="minorEastAsia" w:eastAsiaTheme="minorEastAsia" w:cstheme="minorEastAsia"/>
          <w:sz w:val="21"/>
          <w:szCs w:val="21"/>
          <w:highlight w:val="none"/>
          <w:lang w:eastAsia="zh-CN"/>
        </w:rPr>
        <w:t>。</w:t>
      </w:r>
    </w:p>
    <w:p>
      <w:pPr>
        <w:pStyle w:val="26"/>
        <w:keepNext w:val="0"/>
        <w:keepLines w:val="0"/>
        <w:pageBreakBefore w:val="0"/>
        <w:kinsoku/>
        <w:overflowPunct/>
        <w:topLinePunct w:val="0"/>
        <w:bidi w:val="0"/>
        <w:spacing w:line="460" w:lineRule="exac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highlight w:val="none"/>
          <w:lang w:val="en-US" w:eastAsia="zh-CN"/>
        </w:rPr>
        <w:t xml:space="preserve">                  六标段：该项目的施工准备和施工全过程及竣工验收、保修期等全过程的监理。      </w:t>
      </w:r>
    </w:p>
    <w:p>
      <w:pPr>
        <w:keepNext w:val="0"/>
        <w:keepLines w:val="0"/>
        <w:pageBreakBefore w:val="0"/>
        <w:kinsoku/>
        <w:wordWrap w:val="0"/>
        <w:overflowPunct/>
        <w:topLinePunct w:val="0"/>
        <w:bidi w:val="0"/>
        <w:adjustRightInd/>
        <w:snapToGrid w:val="0"/>
        <w:spacing w:line="460" w:lineRule="exact"/>
        <w:ind w:left="0" w:leftChars="0" w:right="0"/>
        <w:textAlignment w:val="auto"/>
        <w:outlineLvl w:val="9"/>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 xml:space="preserve">    3、投标人资格要求</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b w:val="0"/>
          <w:bCs w:val="0"/>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3.1</w:t>
      </w:r>
      <w:r>
        <w:rPr>
          <w:rFonts w:hint="eastAsia" w:asciiTheme="minorEastAsia" w:hAnsiTheme="minorEastAsia" w:eastAsiaTheme="minorEastAsia" w:cstheme="minorEastAsia"/>
          <w:b/>
          <w:bCs/>
          <w:color w:val="auto"/>
          <w:sz w:val="21"/>
          <w:szCs w:val="21"/>
        </w:rPr>
        <w:t>一</w:t>
      </w:r>
      <w:r>
        <w:rPr>
          <w:rFonts w:hint="eastAsia" w:asciiTheme="minorEastAsia" w:hAnsiTheme="minorEastAsia" w:eastAsiaTheme="minorEastAsia" w:cstheme="minorEastAsia"/>
          <w:b/>
          <w:bCs/>
          <w:color w:val="auto"/>
          <w:sz w:val="21"/>
          <w:szCs w:val="21"/>
          <w:lang w:eastAsia="zh-CN"/>
        </w:rPr>
        <w:t>至五</w:t>
      </w:r>
      <w:r>
        <w:rPr>
          <w:rFonts w:hint="eastAsia" w:asciiTheme="minorEastAsia" w:hAnsiTheme="minorEastAsia" w:eastAsiaTheme="minorEastAsia" w:cstheme="minorEastAsia"/>
          <w:b/>
          <w:bCs/>
          <w:color w:val="auto"/>
          <w:sz w:val="21"/>
          <w:szCs w:val="21"/>
        </w:rPr>
        <w:t>标段</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highlight w:val="none"/>
          <w:lang w:val="en-US" w:eastAsia="zh-CN"/>
        </w:rPr>
        <w:t>投标人须具有独立法人资格；同时具备市政公用工程施工总承包三级及以上资质；具有效的安全生产许可证，并在人员、设备、资金等方面具有相应的施工能力；拟派项目经理须具有市政公用工程专业注册建造师贰级及以上资格（不含临时），具有有效期内的安全生产考核合格证书（B证）；且未担任其他在建工程项目的项目经理</w:t>
      </w:r>
      <w:r>
        <w:rPr>
          <w:rFonts w:hint="eastAsia" w:asciiTheme="minorEastAsia" w:hAnsiTheme="minorEastAsia" w:eastAsiaTheme="minorEastAsia" w:cstheme="minorEastAsia"/>
          <w:sz w:val="21"/>
          <w:szCs w:val="21"/>
          <w:highlight w:val="none"/>
        </w:rPr>
        <w:t>(投标人出具加盖企业公章和法定代表人的印章的证明，如有在建，一经查实，取消其中标资格同时投标保证金不予退还。) 注：本文件所指“在建项目”是指:项目尚未竣工或已中标未开工。如果“在建项目”项目经理有变更情况的，须在投标文件中附变更证明材料，否则视为项目经理有“在建项目”。其认定及例外按照《河南省规范项目经理和项目总监任职行为的若干规定（试行）》执行；</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3.2</w:t>
      </w:r>
      <w:r>
        <w:rPr>
          <w:rFonts w:hint="eastAsia" w:asciiTheme="minorEastAsia" w:hAnsiTheme="minorEastAsia" w:eastAsiaTheme="minorEastAsia" w:cstheme="minorEastAsia"/>
          <w:b/>
          <w:bCs/>
          <w:sz w:val="21"/>
          <w:szCs w:val="21"/>
          <w:highlight w:val="none"/>
          <w:lang w:val="en-US" w:eastAsia="zh-CN"/>
        </w:rPr>
        <w:t>六标段：</w:t>
      </w:r>
      <w:r>
        <w:rPr>
          <w:rFonts w:hint="eastAsia" w:asciiTheme="minorEastAsia" w:hAnsiTheme="minorEastAsia" w:eastAsiaTheme="minorEastAsia" w:cstheme="minorEastAsia"/>
          <w:b w:val="0"/>
          <w:bCs w:val="0"/>
          <w:sz w:val="21"/>
          <w:szCs w:val="21"/>
          <w:highlight w:val="none"/>
          <w:lang w:val="en-US" w:eastAsia="zh-CN"/>
        </w:rPr>
        <w:t>须具有独立的法人资格并持有有效的营业执照，同时具备市政公用工程乙级及以上资质或监理综合资质，并在人员、设备、资金等方面具有相应的能力；拟派项目总监须具备市政工程国家注册监理工程师资格，</w:t>
      </w:r>
      <w:r>
        <w:rPr>
          <w:rFonts w:hint="eastAsia" w:asciiTheme="minorEastAsia" w:hAnsiTheme="minorEastAsia" w:eastAsiaTheme="minorEastAsia" w:cstheme="minorEastAsia"/>
          <w:sz w:val="21"/>
          <w:szCs w:val="21"/>
        </w:rPr>
        <w:t>且无其他在</w:t>
      </w:r>
      <w:r>
        <w:rPr>
          <w:rFonts w:hint="eastAsia" w:asciiTheme="minorEastAsia" w:hAnsiTheme="minorEastAsia" w:eastAsiaTheme="minorEastAsia" w:cstheme="minorEastAsia"/>
          <w:sz w:val="21"/>
          <w:szCs w:val="21"/>
          <w:lang w:eastAsia="zh-CN"/>
        </w:rPr>
        <w:t>监</w:t>
      </w:r>
      <w:r>
        <w:rPr>
          <w:rFonts w:hint="eastAsia" w:asciiTheme="minorEastAsia" w:hAnsiTheme="minorEastAsia" w:eastAsiaTheme="minorEastAsia" w:cstheme="minorEastAsia"/>
          <w:sz w:val="21"/>
          <w:szCs w:val="21"/>
        </w:rPr>
        <w:t>工程</w:t>
      </w:r>
      <w:r>
        <w:rPr>
          <w:rFonts w:hint="eastAsia" w:asciiTheme="minorEastAsia" w:hAnsiTheme="minorEastAsia" w:eastAsiaTheme="minorEastAsia" w:cstheme="minorEastAsia"/>
          <w:b w:val="0"/>
          <w:bCs w:val="0"/>
          <w:sz w:val="21"/>
          <w:szCs w:val="21"/>
          <w:highlight w:val="none"/>
          <w:lang w:val="en-US" w:eastAsia="zh-CN"/>
        </w:rPr>
        <w:t>。</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3.3投标人必须提供无行贿犯罪记录承诺书，(出具由“中国裁判文书网”网站查询近三年来法人、法定代表人、法定代表人委托人、项目经理（监理标段：项目总监理工程师）无行贿犯罪记录网页截图加盖企业公章证明)，若有行贿犯罪记录则取消其投标资格；</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pacing w:before="0" w:beforeAutospacing="0" w:after="0" w:afterAutospacing="0" w:line="460" w:lineRule="exact"/>
        <w:ind w:left="0" w:right="0" w:firstLine="420" w:firstLineChars="200"/>
        <w:jc w:val="left"/>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3.4本次招标不接受联合体投标。</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pacing w:before="0" w:beforeAutospacing="0" w:after="0" w:afterAutospacing="0" w:line="460" w:lineRule="exact"/>
        <w:ind w:left="0" w:right="0" w:firstLine="420" w:firstLineChars="200"/>
        <w:jc w:val="left"/>
        <w:textAlignment w:val="auto"/>
        <w:rPr>
          <w:rFonts w:hint="eastAsia" w:asciiTheme="minorEastAsia" w:hAnsiTheme="minorEastAsia" w:eastAsiaTheme="minorEastAsia" w:cstheme="minorEastAsia"/>
          <w:color w:val="FF0000"/>
          <w:sz w:val="21"/>
          <w:szCs w:val="21"/>
          <w:highlight w:val="none"/>
          <w:lang w:val="en-US" w:eastAsia="zh-CN"/>
        </w:rPr>
      </w:pPr>
      <w:r>
        <w:rPr>
          <w:rFonts w:hint="eastAsia" w:asciiTheme="minorEastAsia" w:hAnsiTheme="minorEastAsia" w:eastAsiaTheme="minorEastAsia" w:cstheme="minorEastAsia"/>
          <w:b/>
          <w:color w:val="FF0000"/>
          <w:kern w:val="2"/>
          <w:sz w:val="21"/>
          <w:szCs w:val="21"/>
          <w:lang w:val="en-US" w:eastAsia="zh-CN" w:bidi="ar"/>
        </w:rPr>
        <w:t>每个投标人只能投一个标段。</w:t>
      </w:r>
    </w:p>
    <w:p>
      <w:pPr>
        <w:keepNext w:val="0"/>
        <w:keepLines w:val="0"/>
        <w:pageBreakBefore w:val="0"/>
        <w:kinsoku/>
        <w:wordWrap w:val="0"/>
        <w:overflowPunct/>
        <w:topLinePunct w:val="0"/>
        <w:bidi w:val="0"/>
        <w:adjustRightInd/>
        <w:snapToGrid w:val="0"/>
        <w:spacing w:line="460" w:lineRule="exact"/>
        <w:ind w:left="0" w:leftChars="0" w:right="0"/>
        <w:textAlignment w:val="auto"/>
        <w:outlineLvl w:val="9"/>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 xml:space="preserve">    4、报名须知</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本项目采用网上报名，已入库且资质符合的企业可以直接网上报名，未入库企业进入温县公共资源交易中心网(http://www.wxggzy.com/)按照《温县公共资源交易中心关于面向全国征集电子招投标会员的公告》要求先网上提交信息经工作人员通过审核后，方可带原件来现场备案入库并办理CA数字证书后报名。</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bCs/>
          <w:sz w:val="21"/>
          <w:szCs w:val="21"/>
          <w:highlight w:val="none"/>
          <w:lang w:eastAsia="zh-CN"/>
        </w:rPr>
      </w:pPr>
      <w:r>
        <w:rPr>
          <w:rFonts w:hint="eastAsia" w:asciiTheme="minorEastAsia" w:hAnsiTheme="minorEastAsia" w:eastAsiaTheme="minorEastAsia" w:cstheme="minorEastAsia"/>
          <w:b/>
          <w:sz w:val="21"/>
          <w:szCs w:val="21"/>
          <w:highlight w:val="none"/>
        </w:rPr>
        <w:t>5、报名时间：</w:t>
      </w:r>
      <w:r>
        <w:rPr>
          <w:rFonts w:hint="eastAsia" w:asciiTheme="minorEastAsia" w:hAnsiTheme="minorEastAsia" w:eastAsiaTheme="minorEastAsia" w:cstheme="minorEastAsia"/>
          <w:color w:val="FF0000"/>
          <w:sz w:val="21"/>
          <w:szCs w:val="21"/>
          <w:highlight w:val="none"/>
          <w:u w:val="single"/>
        </w:rPr>
        <w:t>201</w:t>
      </w:r>
      <w:r>
        <w:rPr>
          <w:rFonts w:hint="eastAsia" w:asciiTheme="minorEastAsia" w:hAnsiTheme="minorEastAsia" w:eastAsiaTheme="minorEastAsia" w:cstheme="minorEastAsia"/>
          <w:color w:val="FF0000"/>
          <w:sz w:val="21"/>
          <w:szCs w:val="21"/>
          <w:highlight w:val="none"/>
          <w:u w:val="single"/>
          <w:lang w:val="en-US" w:eastAsia="zh-CN"/>
        </w:rPr>
        <w:t>9</w:t>
      </w:r>
      <w:r>
        <w:rPr>
          <w:rFonts w:hint="eastAsia" w:asciiTheme="minorEastAsia" w:hAnsiTheme="minorEastAsia" w:eastAsiaTheme="minorEastAsia" w:cstheme="minorEastAsia"/>
          <w:color w:val="FF0000"/>
          <w:sz w:val="21"/>
          <w:szCs w:val="21"/>
          <w:highlight w:val="none"/>
        </w:rPr>
        <w:t>年</w:t>
      </w:r>
      <w:r>
        <w:rPr>
          <w:rFonts w:hint="eastAsia" w:asciiTheme="minorEastAsia" w:hAnsiTheme="minorEastAsia" w:eastAsiaTheme="minorEastAsia" w:cstheme="minorEastAsia"/>
          <w:color w:val="FF0000"/>
          <w:sz w:val="21"/>
          <w:szCs w:val="21"/>
          <w:highlight w:val="none"/>
          <w:u w:val="single"/>
          <w:lang w:val="en-US" w:eastAsia="zh-CN"/>
        </w:rPr>
        <w:t xml:space="preserve">     </w:t>
      </w:r>
      <w:r>
        <w:rPr>
          <w:rFonts w:hint="eastAsia" w:asciiTheme="minorEastAsia" w:hAnsiTheme="minorEastAsia" w:eastAsiaTheme="minorEastAsia" w:cstheme="minorEastAsia"/>
          <w:color w:val="FF0000"/>
          <w:sz w:val="21"/>
          <w:szCs w:val="21"/>
          <w:highlight w:val="none"/>
        </w:rPr>
        <w:t>月</w:t>
      </w:r>
      <w:r>
        <w:rPr>
          <w:rFonts w:hint="eastAsia" w:asciiTheme="minorEastAsia" w:hAnsiTheme="minorEastAsia" w:eastAsiaTheme="minorEastAsia" w:cstheme="minorEastAsia"/>
          <w:color w:val="FF0000"/>
          <w:sz w:val="21"/>
          <w:szCs w:val="21"/>
          <w:highlight w:val="none"/>
          <w:u w:val="single"/>
          <w:lang w:val="en-US" w:eastAsia="zh-CN"/>
        </w:rPr>
        <w:t xml:space="preserve">     </w:t>
      </w:r>
      <w:r>
        <w:rPr>
          <w:rFonts w:hint="eastAsia" w:asciiTheme="minorEastAsia" w:hAnsiTheme="minorEastAsia" w:eastAsiaTheme="minorEastAsia" w:cstheme="minorEastAsia"/>
          <w:color w:val="FF0000"/>
          <w:sz w:val="21"/>
          <w:szCs w:val="21"/>
          <w:highlight w:val="none"/>
        </w:rPr>
        <w:t>日</w:t>
      </w:r>
      <w:r>
        <w:rPr>
          <w:rFonts w:hint="eastAsia" w:asciiTheme="minorEastAsia" w:hAnsiTheme="minorEastAsia" w:eastAsiaTheme="minorEastAsia" w:cstheme="minorEastAsia"/>
          <w:color w:val="FF0000"/>
          <w:sz w:val="21"/>
          <w:szCs w:val="21"/>
          <w:highlight w:val="none"/>
          <w:u w:val="single"/>
          <w:lang w:val="en-US" w:eastAsia="zh-CN"/>
        </w:rPr>
        <w:t xml:space="preserve"> 9 </w:t>
      </w:r>
      <w:r>
        <w:rPr>
          <w:rFonts w:hint="eastAsia" w:asciiTheme="minorEastAsia" w:hAnsiTheme="minorEastAsia" w:eastAsiaTheme="minorEastAsia" w:cstheme="minorEastAsia"/>
          <w:color w:val="FF0000"/>
          <w:sz w:val="21"/>
          <w:szCs w:val="21"/>
          <w:highlight w:val="none"/>
        </w:rPr>
        <w:t>时</w:t>
      </w:r>
      <w:r>
        <w:rPr>
          <w:rFonts w:hint="eastAsia" w:asciiTheme="minorEastAsia" w:hAnsiTheme="minorEastAsia" w:eastAsiaTheme="minorEastAsia" w:cstheme="minorEastAsia"/>
          <w:color w:val="FF0000"/>
          <w:sz w:val="21"/>
          <w:szCs w:val="21"/>
          <w:highlight w:val="none"/>
          <w:u w:val="single"/>
          <w:lang w:val="en-US" w:eastAsia="zh-CN"/>
        </w:rPr>
        <w:t xml:space="preserve"> 00 </w:t>
      </w:r>
      <w:r>
        <w:rPr>
          <w:rFonts w:hint="eastAsia" w:asciiTheme="minorEastAsia" w:hAnsiTheme="minorEastAsia" w:eastAsiaTheme="minorEastAsia" w:cstheme="minorEastAsia"/>
          <w:color w:val="FF0000"/>
          <w:sz w:val="21"/>
          <w:szCs w:val="21"/>
          <w:highlight w:val="none"/>
        </w:rPr>
        <w:t>分</w:t>
      </w:r>
      <w:r>
        <w:rPr>
          <w:rFonts w:hint="eastAsia" w:asciiTheme="minorEastAsia" w:hAnsiTheme="minorEastAsia" w:eastAsiaTheme="minorEastAsia" w:cstheme="minorEastAsia"/>
          <w:bCs/>
          <w:color w:val="FF0000"/>
          <w:sz w:val="21"/>
          <w:szCs w:val="21"/>
          <w:highlight w:val="none"/>
        </w:rPr>
        <w:t>—</w:t>
      </w:r>
      <w:r>
        <w:rPr>
          <w:rFonts w:hint="eastAsia" w:asciiTheme="minorEastAsia" w:hAnsiTheme="minorEastAsia" w:eastAsiaTheme="minorEastAsia" w:cstheme="minorEastAsia"/>
          <w:color w:val="FF0000"/>
          <w:sz w:val="21"/>
          <w:szCs w:val="21"/>
          <w:highlight w:val="none"/>
          <w:u w:val="single"/>
        </w:rPr>
        <w:t>201</w:t>
      </w:r>
      <w:r>
        <w:rPr>
          <w:rFonts w:hint="eastAsia" w:asciiTheme="minorEastAsia" w:hAnsiTheme="minorEastAsia" w:eastAsiaTheme="minorEastAsia" w:cstheme="minorEastAsia"/>
          <w:color w:val="FF0000"/>
          <w:sz w:val="21"/>
          <w:szCs w:val="21"/>
          <w:highlight w:val="none"/>
          <w:u w:val="single"/>
          <w:lang w:val="en-US" w:eastAsia="zh-CN"/>
        </w:rPr>
        <w:t>9</w:t>
      </w:r>
      <w:r>
        <w:rPr>
          <w:rFonts w:hint="eastAsia" w:asciiTheme="minorEastAsia" w:hAnsiTheme="minorEastAsia" w:eastAsiaTheme="minorEastAsia" w:cstheme="minorEastAsia"/>
          <w:color w:val="FF0000"/>
          <w:sz w:val="21"/>
          <w:szCs w:val="21"/>
          <w:highlight w:val="none"/>
        </w:rPr>
        <w:t>年</w:t>
      </w:r>
      <w:r>
        <w:rPr>
          <w:rFonts w:hint="eastAsia" w:asciiTheme="minorEastAsia" w:hAnsiTheme="minorEastAsia" w:eastAsiaTheme="minorEastAsia" w:cstheme="minorEastAsia"/>
          <w:color w:val="FF0000"/>
          <w:sz w:val="21"/>
          <w:szCs w:val="21"/>
          <w:highlight w:val="none"/>
          <w:u w:val="single"/>
          <w:lang w:val="en-US" w:eastAsia="zh-CN"/>
        </w:rPr>
        <w:t xml:space="preserve">     </w:t>
      </w:r>
      <w:r>
        <w:rPr>
          <w:rFonts w:hint="eastAsia" w:asciiTheme="minorEastAsia" w:hAnsiTheme="minorEastAsia" w:eastAsiaTheme="minorEastAsia" w:cstheme="minorEastAsia"/>
          <w:color w:val="FF0000"/>
          <w:sz w:val="21"/>
          <w:szCs w:val="21"/>
          <w:highlight w:val="none"/>
        </w:rPr>
        <w:t>月</w:t>
      </w:r>
      <w:r>
        <w:rPr>
          <w:rFonts w:hint="eastAsia" w:asciiTheme="minorEastAsia" w:hAnsiTheme="minorEastAsia" w:eastAsiaTheme="minorEastAsia" w:cstheme="minorEastAsia"/>
          <w:color w:val="FF0000"/>
          <w:sz w:val="21"/>
          <w:szCs w:val="21"/>
          <w:highlight w:val="none"/>
          <w:u w:val="single"/>
          <w:lang w:val="en-US" w:eastAsia="zh-CN"/>
        </w:rPr>
        <w:t xml:space="preserve">     </w:t>
      </w:r>
      <w:r>
        <w:rPr>
          <w:rFonts w:hint="eastAsia" w:asciiTheme="minorEastAsia" w:hAnsiTheme="minorEastAsia" w:eastAsiaTheme="minorEastAsia" w:cstheme="minorEastAsia"/>
          <w:color w:val="FF0000"/>
          <w:sz w:val="21"/>
          <w:szCs w:val="21"/>
          <w:highlight w:val="none"/>
        </w:rPr>
        <w:t>日</w:t>
      </w:r>
      <w:r>
        <w:rPr>
          <w:rFonts w:hint="eastAsia" w:asciiTheme="minorEastAsia" w:hAnsiTheme="minorEastAsia" w:eastAsiaTheme="minorEastAsia" w:cstheme="minorEastAsia"/>
          <w:color w:val="FF0000"/>
          <w:sz w:val="21"/>
          <w:szCs w:val="21"/>
          <w:highlight w:val="none"/>
          <w:u w:val="single"/>
          <w:lang w:val="en-US" w:eastAsia="zh-CN"/>
        </w:rPr>
        <w:t xml:space="preserve"> 18 </w:t>
      </w:r>
      <w:r>
        <w:rPr>
          <w:rFonts w:hint="eastAsia" w:asciiTheme="minorEastAsia" w:hAnsiTheme="minorEastAsia" w:eastAsiaTheme="minorEastAsia" w:cstheme="minorEastAsia"/>
          <w:color w:val="FF0000"/>
          <w:sz w:val="21"/>
          <w:szCs w:val="21"/>
          <w:highlight w:val="none"/>
        </w:rPr>
        <w:t>时</w:t>
      </w:r>
      <w:r>
        <w:rPr>
          <w:rFonts w:hint="eastAsia" w:asciiTheme="minorEastAsia" w:hAnsiTheme="minorEastAsia" w:eastAsiaTheme="minorEastAsia" w:cstheme="minorEastAsia"/>
          <w:color w:val="FF0000"/>
          <w:sz w:val="21"/>
          <w:szCs w:val="21"/>
          <w:highlight w:val="none"/>
          <w:u w:val="single"/>
          <w:lang w:val="en-US" w:eastAsia="zh-CN"/>
        </w:rPr>
        <w:t xml:space="preserve"> 00 </w:t>
      </w:r>
      <w:r>
        <w:rPr>
          <w:rFonts w:hint="eastAsia" w:asciiTheme="minorEastAsia" w:hAnsiTheme="minorEastAsia" w:eastAsiaTheme="minorEastAsia" w:cstheme="minorEastAsia"/>
          <w:color w:val="FF0000"/>
          <w:sz w:val="21"/>
          <w:szCs w:val="21"/>
          <w:highlight w:val="none"/>
        </w:rPr>
        <w:t>分</w:t>
      </w:r>
      <w:r>
        <w:rPr>
          <w:rFonts w:hint="eastAsia" w:asciiTheme="minorEastAsia" w:hAnsiTheme="minorEastAsia" w:eastAsiaTheme="minorEastAsia" w:cstheme="minorEastAsia"/>
          <w:bCs/>
          <w:sz w:val="21"/>
          <w:szCs w:val="21"/>
          <w:highlight w:val="none"/>
        </w:rPr>
        <w:t>（节假日除外）</w:t>
      </w:r>
      <w:r>
        <w:rPr>
          <w:rFonts w:hint="eastAsia" w:asciiTheme="minorEastAsia" w:hAnsiTheme="minorEastAsia" w:eastAsiaTheme="minorEastAsia" w:cstheme="minorEastAsia"/>
          <w:bCs/>
          <w:sz w:val="21"/>
          <w:szCs w:val="21"/>
          <w:highlight w:val="none"/>
          <w:lang w:eastAsia="zh-CN"/>
        </w:rPr>
        <w:t>。</w:t>
      </w:r>
    </w:p>
    <w:p>
      <w:pPr>
        <w:keepNext w:val="0"/>
        <w:keepLines w:val="0"/>
        <w:pageBreakBefore w:val="0"/>
        <w:kinsoku/>
        <w:overflowPunct/>
        <w:topLinePunct w:val="0"/>
        <w:bidi w:val="0"/>
        <w:adjustRightInd/>
        <w:snapToGrid w:val="0"/>
        <w:spacing w:line="460" w:lineRule="exact"/>
        <w:ind w:left="0" w:leftChars="0" w:right="0"/>
        <w:textAlignment w:val="auto"/>
        <w:outlineLvl w:val="9"/>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 xml:space="preserve">    6、招标文件的获取</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color w:val="FF0000"/>
          <w:sz w:val="21"/>
          <w:szCs w:val="21"/>
          <w:highlight w:val="none"/>
        </w:rPr>
      </w:pPr>
      <w:r>
        <w:rPr>
          <w:rFonts w:hint="eastAsia" w:asciiTheme="minorEastAsia" w:hAnsiTheme="minorEastAsia" w:eastAsiaTheme="minorEastAsia" w:cstheme="minorEastAsia"/>
          <w:bCs/>
          <w:sz w:val="21"/>
          <w:szCs w:val="21"/>
          <w:highlight w:val="none"/>
        </w:rPr>
        <w:t>6.1</w:t>
      </w:r>
      <w:r>
        <w:rPr>
          <w:rFonts w:hint="eastAsia" w:asciiTheme="minorEastAsia" w:hAnsiTheme="minorEastAsia" w:eastAsiaTheme="minorEastAsia" w:cstheme="minorEastAsia"/>
          <w:bCs/>
          <w:sz w:val="21"/>
          <w:szCs w:val="21"/>
          <w:highlight w:val="none"/>
          <w:lang w:val="en-US" w:eastAsia="zh-CN"/>
        </w:rPr>
        <w:t xml:space="preserve">  </w:t>
      </w:r>
      <w:r>
        <w:rPr>
          <w:rFonts w:hint="eastAsia" w:asciiTheme="minorEastAsia" w:hAnsiTheme="minorEastAsia" w:eastAsiaTheme="minorEastAsia" w:cstheme="minorEastAsia"/>
          <w:color w:val="FF0000"/>
          <w:sz w:val="21"/>
          <w:szCs w:val="21"/>
          <w:highlight w:val="none"/>
          <w:u w:val="single"/>
        </w:rPr>
        <w:t>201</w:t>
      </w:r>
      <w:r>
        <w:rPr>
          <w:rFonts w:hint="eastAsia" w:asciiTheme="minorEastAsia" w:hAnsiTheme="minorEastAsia" w:eastAsiaTheme="minorEastAsia" w:cstheme="minorEastAsia"/>
          <w:color w:val="FF0000"/>
          <w:sz w:val="21"/>
          <w:szCs w:val="21"/>
          <w:highlight w:val="none"/>
          <w:u w:val="single"/>
          <w:lang w:val="en-US" w:eastAsia="zh-CN"/>
        </w:rPr>
        <w:t>9</w:t>
      </w:r>
      <w:r>
        <w:rPr>
          <w:rFonts w:hint="eastAsia" w:asciiTheme="minorEastAsia" w:hAnsiTheme="minorEastAsia" w:eastAsiaTheme="minorEastAsia" w:cstheme="minorEastAsia"/>
          <w:color w:val="FF0000"/>
          <w:sz w:val="21"/>
          <w:szCs w:val="21"/>
          <w:highlight w:val="none"/>
        </w:rPr>
        <w:t>年</w:t>
      </w:r>
      <w:r>
        <w:rPr>
          <w:rFonts w:hint="eastAsia" w:asciiTheme="minorEastAsia" w:hAnsiTheme="minorEastAsia" w:eastAsiaTheme="minorEastAsia" w:cstheme="minorEastAsia"/>
          <w:color w:val="FF0000"/>
          <w:sz w:val="21"/>
          <w:szCs w:val="21"/>
          <w:highlight w:val="none"/>
          <w:u w:val="single"/>
          <w:lang w:val="en-US" w:eastAsia="zh-CN"/>
        </w:rPr>
        <w:t xml:space="preserve">   </w:t>
      </w:r>
      <w:r>
        <w:rPr>
          <w:rFonts w:hint="eastAsia" w:asciiTheme="minorEastAsia" w:hAnsiTheme="minorEastAsia" w:eastAsiaTheme="minorEastAsia" w:cstheme="minorEastAsia"/>
          <w:color w:val="FF0000"/>
          <w:sz w:val="21"/>
          <w:szCs w:val="21"/>
          <w:highlight w:val="none"/>
        </w:rPr>
        <w:t>月</w:t>
      </w:r>
      <w:r>
        <w:rPr>
          <w:rFonts w:hint="eastAsia" w:asciiTheme="minorEastAsia" w:hAnsiTheme="minorEastAsia" w:eastAsiaTheme="minorEastAsia" w:cstheme="minorEastAsia"/>
          <w:color w:val="FF0000"/>
          <w:sz w:val="21"/>
          <w:szCs w:val="21"/>
          <w:highlight w:val="none"/>
          <w:u w:val="single"/>
          <w:lang w:val="en-US" w:eastAsia="zh-CN"/>
        </w:rPr>
        <w:t xml:space="preserve">    </w:t>
      </w:r>
      <w:r>
        <w:rPr>
          <w:rFonts w:hint="eastAsia" w:asciiTheme="minorEastAsia" w:hAnsiTheme="minorEastAsia" w:eastAsiaTheme="minorEastAsia" w:cstheme="minorEastAsia"/>
          <w:color w:val="FF0000"/>
          <w:sz w:val="21"/>
          <w:szCs w:val="21"/>
          <w:highlight w:val="none"/>
        </w:rPr>
        <w:t>日</w:t>
      </w:r>
      <w:r>
        <w:rPr>
          <w:rFonts w:hint="eastAsia" w:asciiTheme="minorEastAsia" w:hAnsiTheme="minorEastAsia" w:eastAsiaTheme="minorEastAsia" w:cstheme="minorEastAsia"/>
          <w:color w:val="FF0000"/>
          <w:sz w:val="21"/>
          <w:szCs w:val="21"/>
          <w:highlight w:val="none"/>
          <w:u w:val="single"/>
          <w:lang w:val="en-US" w:eastAsia="zh-CN"/>
        </w:rPr>
        <w:t xml:space="preserve">     </w:t>
      </w:r>
      <w:r>
        <w:rPr>
          <w:rFonts w:hint="eastAsia" w:asciiTheme="minorEastAsia" w:hAnsiTheme="minorEastAsia" w:eastAsiaTheme="minorEastAsia" w:cstheme="minorEastAsia"/>
          <w:color w:val="FF0000"/>
          <w:sz w:val="21"/>
          <w:szCs w:val="21"/>
          <w:highlight w:val="none"/>
        </w:rPr>
        <w:t>时</w:t>
      </w:r>
      <w:r>
        <w:rPr>
          <w:rFonts w:hint="eastAsia" w:asciiTheme="minorEastAsia" w:hAnsiTheme="minorEastAsia" w:eastAsiaTheme="minorEastAsia" w:cstheme="minorEastAsia"/>
          <w:color w:val="FF0000"/>
          <w:sz w:val="21"/>
          <w:szCs w:val="21"/>
          <w:highlight w:val="none"/>
          <w:u w:val="single"/>
          <w:lang w:val="en-US" w:eastAsia="zh-CN"/>
        </w:rPr>
        <w:t xml:space="preserve"> 00 </w:t>
      </w:r>
      <w:r>
        <w:rPr>
          <w:rFonts w:hint="eastAsia" w:asciiTheme="minorEastAsia" w:hAnsiTheme="minorEastAsia" w:eastAsiaTheme="minorEastAsia" w:cstheme="minorEastAsia"/>
          <w:color w:val="FF0000"/>
          <w:sz w:val="21"/>
          <w:szCs w:val="21"/>
          <w:highlight w:val="none"/>
        </w:rPr>
        <w:t>分</w:t>
      </w:r>
      <w:r>
        <w:rPr>
          <w:rFonts w:hint="eastAsia" w:asciiTheme="minorEastAsia" w:hAnsiTheme="minorEastAsia" w:eastAsiaTheme="minorEastAsia" w:cstheme="minorEastAsia"/>
          <w:bCs/>
          <w:color w:val="FF0000"/>
          <w:sz w:val="21"/>
          <w:szCs w:val="21"/>
          <w:highlight w:val="none"/>
        </w:rPr>
        <w:t>—</w:t>
      </w:r>
      <w:r>
        <w:rPr>
          <w:rFonts w:hint="eastAsia" w:asciiTheme="minorEastAsia" w:hAnsiTheme="minorEastAsia" w:eastAsiaTheme="minorEastAsia" w:cstheme="minorEastAsia"/>
          <w:color w:val="FF0000"/>
          <w:sz w:val="21"/>
          <w:szCs w:val="21"/>
          <w:highlight w:val="none"/>
          <w:u w:val="single"/>
        </w:rPr>
        <w:t>201</w:t>
      </w:r>
      <w:r>
        <w:rPr>
          <w:rFonts w:hint="eastAsia" w:asciiTheme="minorEastAsia" w:hAnsiTheme="minorEastAsia" w:eastAsiaTheme="minorEastAsia" w:cstheme="minorEastAsia"/>
          <w:color w:val="FF0000"/>
          <w:sz w:val="21"/>
          <w:szCs w:val="21"/>
          <w:highlight w:val="none"/>
          <w:u w:val="single"/>
          <w:lang w:val="en-US" w:eastAsia="zh-CN"/>
        </w:rPr>
        <w:t>9</w:t>
      </w:r>
      <w:r>
        <w:rPr>
          <w:rFonts w:hint="eastAsia" w:asciiTheme="minorEastAsia" w:hAnsiTheme="minorEastAsia" w:eastAsiaTheme="minorEastAsia" w:cstheme="minorEastAsia"/>
          <w:color w:val="FF0000"/>
          <w:sz w:val="21"/>
          <w:szCs w:val="21"/>
          <w:highlight w:val="none"/>
        </w:rPr>
        <w:t>年</w:t>
      </w:r>
      <w:r>
        <w:rPr>
          <w:rFonts w:hint="eastAsia" w:asciiTheme="minorEastAsia" w:hAnsiTheme="minorEastAsia" w:eastAsiaTheme="minorEastAsia" w:cstheme="minorEastAsia"/>
          <w:color w:val="FF0000"/>
          <w:sz w:val="21"/>
          <w:szCs w:val="21"/>
          <w:highlight w:val="none"/>
          <w:u w:val="single"/>
          <w:lang w:val="en-US" w:eastAsia="zh-CN"/>
        </w:rPr>
        <w:t xml:space="preserve">     </w:t>
      </w:r>
      <w:r>
        <w:rPr>
          <w:rFonts w:hint="eastAsia" w:asciiTheme="minorEastAsia" w:hAnsiTheme="minorEastAsia" w:eastAsiaTheme="minorEastAsia" w:cstheme="minorEastAsia"/>
          <w:color w:val="FF0000"/>
          <w:sz w:val="21"/>
          <w:szCs w:val="21"/>
          <w:highlight w:val="none"/>
        </w:rPr>
        <w:t>月</w:t>
      </w:r>
      <w:r>
        <w:rPr>
          <w:rFonts w:hint="eastAsia" w:asciiTheme="minorEastAsia" w:hAnsiTheme="minorEastAsia" w:eastAsiaTheme="minorEastAsia" w:cstheme="minorEastAsia"/>
          <w:color w:val="FF0000"/>
          <w:sz w:val="21"/>
          <w:szCs w:val="21"/>
          <w:highlight w:val="none"/>
          <w:u w:val="single"/>
          <w:lang w:val="en-US" w:eastAsia="zh-CN"/>
        </w:rPr>
        <w:t xml:space="preserve">     </w:t>
      </w:r>
      <w:r>
        <w:rPr>
          <w:rFonts w:hint="eastAsia" w:asciiTheme="minorEastAsia" w:hAnsiTheme="minorEastAsia" w:eastAsiaTheme="minorEastAsia" w:cstheme="minorEastAsia"/>
          <w:color w:val="FF0000"/>
          <w:sz w:val="21"/>
          <w:szCs w:val="21"/>
          <w:highlight w:val="none"/>
        </w:rPr>
        <w:t>日</w:t>
      </w:r>
      <w:r>
        <w:rPr>
          <w:rFonts w:hint="eastAsia" w:asciiTheme="minorEastAsia" w:hAnsiTheme="minorEastAsia" w:eastAsiaTheme="minorEastAsia" w:cstheme="minorEastAsia"/>
          <w:color w:val="FF0000"/>
          <w:sz w:val="21"/>
          <w:szCs w:val="21"/>
          <w:highlight w:val="none"/>
          <w:u w:val="single"/>
          <w:lang w:val="en-US" w:eastAsia="zh-CN"/>
        </w:rPr>
        <w:t xml:space="preserve"> 18 </w:t>
      </w:r>
      <w:r>
        <w:rPr>
          <w:rFonts w:hint="eastAsia" w:asciiTheme="minorEastAsia" w:hAnsiTheme="minorEastAsia" w:eastAsiaTheme="minorEastAsia" w:cstheme="minorEastAsia"/>
          <w:color w:val="FF0000"/>
          <w:sz w:val="21"/>
          <w:szCs w:val="21"/>
          <w:highlight w:val="none"/>
        </w:rPr>
        <w:t>时</w:t>
      </w:r>
      <w:r>
        <w:rPr>
          <w:rFonts w:hint="eastAsia" w:asciiTheme="minorEastAsia" w:hAnsiTheme="minorEastAsia" w:eastAsiaTheme="minorEastAsia" w:cstheme="minorEastAsia"/>
          <w:color w:val="FF0000"/>
          <w:sz w:val="21"/>
          <w:szCs w:val="21"/>
          <w:highlight w:val="none"/>
          <w:u w:val="single"/>
          <w:lang w:val="en-US" w:eastAsia="zh-CN"/>
        </w:rPr>
        <w:t xml:space="preserve"> 00 </w:t>
      </w:r>
      <w:r>
        <w:rPr>
          <w:rFonts w:hint="eastAsia" w:asciiTheme="minorEastAsia" w:hAnsiTheme="minorEastAsia" w:eastAsiaTheme="minorEastAsia" w:cstheme="minorEastAsia"/>
          <w:color w:val="FF0000"/>
          <w:sz w:val="21"/>
          <w:szCs w:val="21"/>
          <w:highlight w:val="none"/>
        </w:rPr>
        <w:t>分</w:t>
      </w:r>
      <w:r>
        <w:rPr>
          <w:rFonts w:hint="eastAsia" w:asciiTheme="minorEastAsia" w:hAnsiTheme="minorEastAsia" w:eastAsiaTheme="minorEastAsia" w:cstheme="minorEastAsia"/>
          <w:bCs/>
          <w:sz w:val="21"/>
          <w:szCs w:val="21"/>
          <w:highlight w:val="none"/>
        </w:rPr>
        <w:t>（节假日除外），通</w:t>
      </w:r>
      <w:r>
        <w:rPr>
          <w:rFonts w:hint="eastAsia" w:asciiTheme="minorEastAsia" w:hAnsiTheme="minorEastAsia" w:eastAsiaTheme="minorEastAsia" w:cstheme="minorEastAsia"/>
          <w:sz w:val="21"/>
          <w:szCs w:val="21"/>
          <w:highlight w:val="none"/>
        </w:rPr>
        <w:t>过</w:t>
      </w:r>
      <w:r>
        <w:rPr>
          <w:rFonts w:hint="eastAsia" w:asciiTheme="minorEastAsia" w:hAnsiTheme="minorEastAsia" w:eastAsiaTheme="minorEastAsia" w:cstheme="minorEastAsia"/>
          <w:bCs/>
          <w:sz w:val="21"/>
          <w:szCs w:val="21"/>
          <w:highlight w:val="none"/>
        </w:rPr>
        <w:t>温县公共资源交易中心网站招标投标交易管理系统</w:t>
      </w:r>
      <w:r>
        <w:rPr>
          <w:rFonts w:hint="eastAsia" w:asciiTheme="minorEastAsia" w:hAnsiTheme="minorEastAsia" w:eastAsiaTheme="minorEastAsia" w:cstheme="minorEastAsia"/>
          <w:sz w:val="21"/>
          <w:szCs w:val="21"/>
          <w:highlight w:val="none"/>
        </w:rPr>
        <w:t>在报名缴费后自行下载；</w:t>
      </w:r>
    </w:p>
    <w:p>
      <w:pPr>
        <w:keepNext w:val="0"/>
        <w:keepLines w:val="0"/>
        <w:pageBreakBefore w:val="0"/>
        <w:kinsoku/>
        <w:wordWrap w:val="0"/>
        <w:overflowPunct/>
        <w:topLinePunct w:val="0"/>
        <w:bidi w:val="0"/>
        <w:adjustRightInd/>
        <w:snapToGrid w:val="0"/>
        <w:spacing w:line="460" w:lineRule="exact"/>
        <w:ind w:left="0" w:leftChars="0" w:right="0"/>
        <w:textAlignment w:val="auto"/>
        <w:outlineLvl w:val="9"/>
        <w:rPr>
          <w:rFonts w:hint="eastAsia" w:asciiTheme="minorEastAsia" w:hAnsiTheme="minorEastAsia" w:eastAsiaTheme="minorEastAsia" w:cstheme="minorEastAsia"/>
          <w:sz w:val="21"/>
          <w:szCs w:val="21"/>
          <w:highlight w:val="none"/>
          <w:lang w:val="zh-CN"/>
        </w:rPr>
      </w:pPr>
      <w:r>
        <w:rPr>
          <w:rFonts w:hint="eastAsia" w:asciiTheme="minorEastAsia" w:hAnsiTheme="minorEastAsia" w:eastAsiaTheme="minorEastAsia" w:cstheme="minorEastAsia"/>
          <w:sz w:val="21"/>
          <w:szCs w:val="21"/>
          <w:highlight w:val="none"/>
        </w:rPr>
        <w:t xml:space="preserve">    6.</w:t>
      </w:r>
      <w:r>
        <w:rPr>
          <w:rFonts w:hint="eastAsia" w:asciiTheme="minorEastAsia" w:hAnsiTheme="minorEastAsia" w:eastAsiaTheme="minorEastAsia" w:cstheme="minorEastAsia"/>
          <w:bCs/>
          <w:sz w:val="21"/>
          <w:szCs w:val="21"/>
          <w:highlight w:val="none"/>
        </w:rPr>
        <w:t>2</w:t>
      </w:r>
      <w:bookmarkStart w:id="3" w:name="_Toc246996905"/>
      <w:bookmarkStart w:id="4" w:name="_Toc152042292"/>
      <w:bookmarkStart w:id="5" w:name="_Toc246996162"/>
      <w:bookmarkStart w:id="6" w:name="_Toc144974484"/>
      <w:bookmarkStart w:id="7" w:name="_Toc179632532"/>
      <w:bookmarkStart w:id="8" w:name="_Toc152045516"/>
      <w:bookmarkStart w:id="9" w:name="_Toc247085676"/>
      <w:r>
        <w:rPr>
          <w:rFonts w:hint="eastAsia" w:asciiTheme="minorEastAsia" w:hAnsiTheme="minorEastAsia" w:eastAsiaTheme="minorEastAsia" w:cstheme="minorEastAsia"/>
          <w:bCs/>
          <w:sz w:val="21"/>
          <w:szCs w:val="21"/>
          <w:highlight w:val="none"/>
          <w:lang w:val="zh-CN"/>
        </w:rPr>
        <w:t>通过企业网银购买招标文件，招标文件</w:t>
      </w:r>
      <w:r>
        <w:rPr>
          <w:rFonts w:hint="eastAsia" w:asciiTheme="minorEastAsia" w:hAnsiTheme="minorEastAsia" w:eastAsiaTheme="minorEastAsia" w:cstheme="minorEastAsia"/>
          <w:sz w:val="21"/>
          <w:szCs w:val="21"/>
          <w:highlight w:val="none"/>
          <w:u w:val="single"/>
        </w:rPr>
        <w:t xml:space="preserve"> 300 </w:t>
      </w:r>
      <w:r>
        <w:rPr>
          <w:rFonts w:hint="eastAsia" w:asciiTheme="minorEastAsia" w:hAnsiTheme="minorEastAsia" w:eastAsiaTheme="minorEastAsia" w:cstheme="minorEastAsia"/>
          <w:bCs/>
          <w:sz w:val="21"/>
          <w:szCs w:val="21"/>
          <w:highlight w:val="none"/>
          <w:lang w:val="zh-CN"/>
        </w:rPr>
        <w:t>元/份、手续费交易金额的7‰，0.5元封底，20元封顶。</w:t>
      </w:r>
    </w:p>
    <w:p>
      <w:pPr>
        <w:keepNext w:val="0"/>
        <w:keepLines w:val="0"/>
        <w:pageBreakBefore w:val="0"/>
        <w:kinsoku/>
        <w:wordWrap w:val="0"/>
        <w:overflowPunct/>
        <w:topLinePunct w:val="0"/>
        <w:bidi w:val="0"/>
        <w:adjustRightInd/>
        <w:snapToGrid w:val="0"/>
        <w:spacing w:line="460" w:lineRule="exact"/>
        <w:ind w:left="0" w:leftChars="0" w:right="0"/>
        <w:textAlignment w:val="auto"/>
        <w:outlineLvl w:val="9"/>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 xml:space="preserve">    7、投标文件的递交</w:t>
      </w:r>
      <w:bookmarkEnd w:id="3"/>
      <w:bookmarkEnd w:id="4"/>
      <w:bookmarkEnd w:id="5"/>
      <w:bookmarkEnd w:id="6"/>
      <w:bookmarkEnd w:id="7"/>
      <w:bookmarkEnd w:id="8"/>
      <w:bookmarkEnd w:id="9"/>
    </w:p>
    <w:p>
      <w:pPr>
        <w:keepNext w:val="0"/>
        <w:keepLines w:val="0"/>
        <w:pageBreakBefore w:val="0"/>
        <w:kinsoku/>
        <w:wordWrap w:val="0"/>
        <w:overflowPunct/>
        <w:topLinePunct w:val="0"/>
        <w:bidi w:val="0"/>
        <w:adjustRightInd/>
        <w:snapToGrid w:val="0"/>
        <w:spacing w:line="460" w:lineRule="exact"/>
        <w:ind w:left="0" w:leftChars="0" w:right="0"/>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    7.1 投标文件递交的截止时间（投标截止时间，下同）为</w:t>
      </w:r>
      <w:r>
        <w:rPr>
          <w:rFonts w:hint="eastAsia" w:asciiTheme="minorEastAsia" w:hAnsiTheme="minorEastAsia" w:eastAsiaTheme="minorEastAsia" w:cstheme="minorEastAsia"/>
          <w:color w:val="FF0000"/>
          <w:sz w:val="21"/>
          <w:szCs w:val="21"/>
          <w:highlight w:val="none"/>
        </w:rPr>
        <w:t xml:space="preserve"> </w:t>
      </w:r>
      <w:r>
        <w:rPr>
          <w:rFonts w:hint="eastAsia" w:asciiTheme="minorEastAsia" w:hAnsiTheme="minorEastAsia" w:eastAsiaTheme="minorEastAsia" w:cstheme="minorEastAsia"/>
          <w:color w:val="FF0000"/>
          <w:sz w:val="21"/>
          <w:szCs w:val="21"/>
          <w:highlight w:val="none"/>
          <w:u w:val="single"/>
        </w:rPr>
        <w:t>201</w:t>
      </w:r>
      <w:r>
        <w:rPr>
          <w:rFonts w:hint="eastAsia" w:asciiTheme="minorEastAsia" w:hAnsiTheme="minorEastAsia" w:eastAsiaTheme="minorEastAsia" w:cstheme="minorEastAsia"/>
          <w:color w:val="FF0000"/>
          <w:sz w:val="21"/>
          <w:szCs w:val="21"/>
          <w:highlight w:val="none"/>
          <w:u w:val="single"/>
          <w:lang w:val="en-US" w:eastAsia="zh-CN"/>
        </w:rPr>
        <w:t>9</w:t>
      </w:r>
      <w:r>
        <w:rPr>
          <w:rFonts w:hint="eastAsia" w:asciiTheme="minorEastAsia" w:hAnsiTheme="minorEastAsia" w:eastAsiaTheme="minorEastAsia" w:cstheme="minorEastAsia"/>
          <w:color w:val="FF0000"/>
          <w:sz w:val="21"/>
          <w:szCs w:val="21"/>
          <w:highlight w:val="none"/>
        </w:rPr>
        <w:t>年</w:t>
      </w:r>
      <w:r>
        <w:rPr>
          <w:rFonts w:hint="eastAsia" w:asciiTheme="minorEastAsia" w:hAnsiTheme="minorEastAsia" w:eastAsiaTheme="minorEastAsia" w:cstheme="minorEastAsia"/>
          <w:color w:val="FF0000"/>
          <w:sz w:val="21"/>
          <w:szCs w:val="21"/>
          <w:highlight w:val="none"/>
          <w:u w:val="single"/>
          <w:lang w:val="en-US" w:eastAsia="zh-CN"/>
        </w:rPr>
        <w:t xml:space="preserve">     </w:t>
      </w:r>
      <w:r>
        <w:rPr>
          <w:rFonts w:hint="eastAsia" w:asciiTheme="minorEastAsia" w:hAnsiTheme="minorEastAsia" w:eastAsiaTheme="minorEastAsia" w:cstheme="minorEastAsia"/>
          <w:color w:val="FF0000"/>
          <w:sz w:val="21"/>
          <w:szCs w:val="21"/>
          <w:highlight w:val="none"/>
        </w:rPr>
        <w:t>月</w:t>
      </w:r>
      <w:r>
        <w:rPr>
          <w:rFonts w:hint="eastAsia" w:asciiTheme="minorEastAsia" w:hAnsiTheme="minorEastAsia" w:eastAsiaTheme="minorEastAsia" w:cstheme="minorEastAsia"/>
          <w:color w:val="FF0000"/>
          <w:sz w:val="21"/>
          <w:szCs w:val="21"/>
          <w:highlight w:val="none"/>
          <w:u w:val="single"/>
          <w:lang w:val="en-US" w:eastAsia="zh-CN"/>
        </w:rPr>
        <w:t xml:space="preserve">    </w:t>
      </w:r>
      <w:r>
        <w:rPr>
          <w:rFonts w:hint="eastAsia" w:asciiTheme="minorEastAsia" w:hAnsiTheme="minorEastAsia" w:eastAsiaTheme="minorEastAsia" w:cstheme="minorEastAsia"/>
          <w:color w:val="FF0000"/>
          <w:sz w:val="21"/>
          <w:szCs w:val="21"/>
          <w:highlight w:val="none"/>
          <w:u w:val="single"/>
        </w:rPr>
        <w:t xml:space="preserve"> </w:t>
      </w:r>
      <w:r>
        <w:rPr>
          <w:rFonts w:hint="eastAsia" w:asciiTheme="minorEastAsia" w:hAnsiTheme="minorEastAsia" w:eastAsiaTheme="minorEastAsia" w:cstheme="minorEastAsia"/>
          <w:color w:val="FF0000"/>
          <w:sz w:val="21"/>
          <w:szCs w:val="21"/>
          <w:highlight w:val="none"/>
        </w:rPr>
        <w:t>日</w:t>
      </w:r>
      <w:r>
        <w:rPr>
          <w:rFonts w:hint="eastAsia" w:asciiTheme="minorEastAsia" w:hAnsiTheme="minorEastAsia" w:eastAsiaTheme="minorEastAsia" w:cstheme="minorEastAsia"/>
          <w:color w:val="FF0000"/>
          <w:sz w:val="21"/>
          <w:szCs w:val="21"/>
          <w:highlight w:val="none"/>
          <w:u w:val="single"/>
          <w:lang w:val="en-US" w:eastAsia="zh-CN"/>
        </w:rPr>
        <w:t xml:space="preserve"> 9 </w:t>
      </w:r>
      <w:r>
        <w:rPr>
          <w:rFonts w:hint="eastAsia" w:asciiTheme="minorEastAsia" w:hAnsiTheme="minorEastAsia" w:eastAsiaTheme="minorEastAsia" w:cstheme="minorEastAsia"/>
          <w:color w:val="FF0000"/>
          <w:sz w:val="21"/>
          <w:szCs w:val="21"/>
          <w:highlight w:val="none"/>
        </w:rPr>
        <w:t>时</w:t>
      </w:r>
      <w:r>
        <w:rPr>
          <w:rFonts w:hint="eastAsia" w:asciiTheme="minorEastAsia" w:hAnsiTheme="minorEastAsia" w:eastAsiaTheme="minorEastAsia" w:cstheme="minorEastAsia"/>
          <w:color w:val="FF0000"/>
          <w:sz w:val="21"/>
          <w:szCs w:val="21"/>
          <w:highlight w:val="none"/>
          <w:u w:val="single"/>
          <w:lang w:val="en-US" w:eastAsia="zh-CN"/>
        </w:rPr>
        <w:t xml:space="preserve"> 00 </w:t>
      </w:r>
      <w:r>
        <w:rPr>
          <w:rFonts w:hint="eastAsia" w:asciiTheme="minorEastAsia" w:hAnsiTheme="minorEastAsia" w:eastAsiaTheme="minorEastAsia" w:cstheme="minorEastAsia"/>
          <w:color w:val="FF0000"/>
          <w:sz w:val="21"/>
          <w:szCs w:val="21"/>
          <w:highlight w:val="none"/>
        </w:rPr>
        <w:t>分</w:t>
      </w:r>
      <w:r>
        <w:rPr>
          <w:rFonts w:hint="eastAsia" w:asciiTheme="minorEastAsia" w:hAnsiTheme="minorEastAsia" w:eastAsiaTheme="minorEastAsia" w:cstheme="minorEastAsia"/>
          <w:sz w:val="21"/>
          <w:szCs w:val="21"/>
          <w:highlight w:val="none"/>
        </w:rPr>
        <w:t>，地点为温县公共资源交易中心开标厅 。</w:t>
      </w:r>
    </w:p>
    <w:p>
      <w:pPr>
        <w:keepNext w:val="0"/>
        <w:keepLines w:val="0"/>
        <w:pageBreakBefore w:val="0"/>
        <w:kinsoku/>
        <w:wordWrap w:val="0"/>
        <w:overflowPunct/>
        <w:topLinePunct w:val="0"/>
        <w:bidi w:val="0"/>
        <w:adjustRightInd/>
        <w:snapToGrid w:val="0"/>
        <w:spacing w:line="460" w:lineRule="exact"/>
        <w:ind w:left="0" w:leftChars="0" w:right="0"/>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    7.2 逾期送达的或者未送达指定地点的投标文件，招标人不予受理。</w:t>
      </w:r>
    </w:p>
    <w:p>
      <w:pPr>
        <w:keepNext w:val="0"/>
        <w:keepLines w:val="0"/>
        <w:pageBreakBefore w:val="0"/>
        <w:kinsoku/>
        <w:wordWrap w:val="0"/>
        <w:overflowPunct/>
        <w:topLinePunct w:val="0"/>
        <w:bidi w:val="0"/>
        <w:adjustRightInd/>
        <w:snapToGrid w:val="0"/>
        <w:spacing w:line="460" w:lineRule="exact"/>
        <w:ind w:left="0" w:leftChars="0" w:right="0"/>
        <w:textAlignment w:val="auto"/>
        <w:outlineLvl w:val="9"/>
        <w:rPr>
          <w:rFonts w:hint="eastAsia" w:asciiTheme="minorEastAsia" w:hAnsiTheme="minorEastAsia" w:eastAsiaTheme="minorEastAsia" w:cstheme="minorEastAsia"/>
          <w:b/>
          <w:bCs/>
          <w:sz w:val="21"/>
          <w:szCs w:val="21"/>
          <w:highlight w:val="none"/>
        </w:rPr>
      </w:pPr>
      <w:bookmarkStart w:id="10" w:name="_Toc157499355"/>
      <w:bookmarkStart w:id="11" w:name="_Toc179632533"/>
      <w:bookmarkStart w:id="12" w:name="_Toc246996163"/>
      <w:bookmarkStart w:id="13" w:name="_Toc246996906"/>
      <w:bookmarkStart w:id="14" w:name="_Toc247085677"/>
      <w:r>
        <w:rPr>
          <w:rFonts w:hint="eastAsia" w:asciiTheme="minorEastAsia" w:hAnsiTheme="minorEastAsia" w:eastAsiaTheme="minorEastAsia" w:cstheme="minorEastAsia"/>
          <w:b/>
          <w:bCs/>
          <w:sz w:val="21"/>
          <w:szCs w:val="21"/>
          <w:highlight w:val="none"/>
        </w:rPr>
        <w:t xml:space="preserve">    8、发布公告的媒介</w:t>
      </w:r>
      <w:bookmarkEnd w:id="10"/>
      <w:bookmarkEnd w:id="11"/>
      <w:bookmarkEnd w:id="12"/>
      <w:bookmarkEnd w:id="13"/>
      <w:bookmarkEnd w:id="14"/>
    </w:p>
    <w:p>
      <w:pPr>
        <w:keepNext w:val="0"/>
        <w:keepLines w:val="0"/>
        <w:pageBreakBefore w:val="0"/>
        <w:kinsoku/>
        <w:wordWrap w:val="0"/>
        <w:overflowPunct/>
        <w:topLinePunct w:val="0"/>
        <w:bidi w:val="0"/>
        <w:adjustRightInd/>
        <w:snapToGrid w:val="0"/>
        <w:spacing w:line="460" w:lineRule="exact"/>
        <w:ind w:left="0" w:leftChars="0" w:right="0"/>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    本次招标公告同时在《中国招标投标公共服务平台》</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color w:val="000000"/>
          <w:sz w:val="21"/>
          <w:szCs w:val="21"/>
          <w:highlight w:val="none"/>
        </w:rPr>
        <w:t>《中国采购与招标网》、《河南省政府采购网》、《温县公共资源交易中心网》</w:t>
      </w:r>
      <w:r>
        <w:rPr>
          <w:rFonts w:hint="eastAsia" w:asciiTheme="minorEastAsia" w:hAnsiTheme="minorEastAsia" w:eastAsiaTheme="minorEastAsia" w:cstheme="minorEastAsia"/>
          <w:sz w:val="21"/>
          <w:szCs w:val="21"/>
          <w:highlight w:val="none"/>
        </w:rPr>
        <w:t>上发布。</w:t>
      </w:r>
    </w:p>
    <w:p>
      <w:pPr>
        <w:keepNext w:val="0"/>
        <w:keepLines w:val="0"/>
        <w:pageBreakBefore w:val="0"/>
        <w:kinsoku/>
        <w:wordWrap w:val="0"/>
        <w:overflowPunct/>
        <w:topLinePunct w:val="0"/>
        <w:bidi w:val="0"/>
        <w:adjustRightInd/>
        <w:snapToGrid w:val="0"/>
        <w:spacing w:line="460" w:lineRule="exact"/>
        <w:ind w:left="0" w:leftChars="0" w:right="0"/>
        <w:textAlignment w:val="auto"/>
        <w:outlineLvl w:val="9"/>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 xml:space="preserve">    9、其他</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sz w:val="21"/>
          <w:szCs w:val="21"/>
          <w:highlight w:val="none"/>
        </w:rPr>
      </w:pPr>
      <w:bookmarkStart w:id="15" w:name="_Toc152045517"/>
      <w:bookmarkStart w:id="16" w:name="_Toc247085678"/>
      <w:bookmarkStart w:id="17" w:name="_Toc152042293"/>
      <w:bookmarkStart w:id="18" w:name="_Toc144974485"/>
      <w:bookmarkStart w:id="19" w:name="_Toc246996907"/>
      <w:bookmarkStart w:id="20" w:name="_Toc246996164"/>
      <w:bookmarkStart w:id="21" w:name="_Toc179632534"/>
      <w:r>
        <w:rPr>
          <w:rFonts w:hint="eastAsia" w:asciiTheme="minorEastAsia" w:hAnsiTheme="minorEastAsia" w:eastAsiaTheme="minorEastAsia" w:cstheme="minorEastAsia"/>
          <w:sz w:val="21"/>
          <w:szCs w:val="21"/>
          <w:highlight w:val="none"/>
        </w:rPr>
        <w:t>投标保证金的形式：网上在线支付</w:t>
      </w:r>
    </w:p>
    <w:p>
      <w:pPr>
        <w:keepNext w:val="0"/>
        <w:keepLines w:val="0"/>
        <w:pageBreakBefore w:val="0"/>
        <w:kinsoku/>
        <w:wordWrap w:val="0"/>
        <w:overflowPunct/>
        <w:topLinePunct w:val="0"/>
        <w:bidi w:val="0"/>
        <w:adjustRightInd/>
        <w:snapToGrid w:val="0"/>
        <w:spacing w:line="460" w:lineRule="exact"/>
        <w:ind w:left="0" w:leftChars="0" w:right="0" w:firstLine="420"/>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投标保证金的金额：</w:t>
      </w:r>
    </w:p>
    <w:p>
      <w:pPr>
        <w:keepNext w:val="0"/>
        <w:keepLines w:val="0"/>
        <w:pageBreakBefore w:val="0"/>
        <w:kinsoku/>
        <w:wordWrap w:val="0"/>
        <w:overflowPunct/>
        <w:topLinePunct w:val="0"/>
        <w:bidi w:val="0"/>
        <w:adjustRightInd/>
        <w:snapToGrid w:val="0"/>
        <w:spacing w:line="460" w:lineRule="exact"/>
        <w:ind w:left="0" w:leftChars="0" w:right="0" w:firstLine="420"/>
        <w:textAlignment w:val="auto"/>
        <w:outlineLvl w:val="9"/>
        <w:rPr>
          <w:rFonts w:hint="eastAsia" w:asciiTheme="minorEastAsia" w:hAnsiTheme="minorEastAsia" w:eastAsiaTheme="minorEastAsia" w:cstheme="minorEastAsia"/>
          <w:b w:val="0"/>
          <w:bCs w:val="0"/>
          <w:sz w:val="21"/>
          <w:szCs w:val="21"/>
          <w:highlight w:val="none"/>
          <w:u w:val="none"/>
          <w:lang w:val="en-US" w:eastAsia="zh-CN"/>
        </w:rPr>
      </w:pPr>
      <w:r>
        <w:rPr>
          <w:rFonts w:hint="eastAsia" w:asciiTheme="minorEastAsia" w:hAnsiTheme="minorEastAsia" w:eastAsiaTheme="minorEastAsia" w:cstheme="minorEastAsia"/>
          <w:b w:val="0"/>
          <w:bCs w:val="0"/>
          <w:sz w:val="21"/>
          <w:szCs w:val="21"/>
          <w:highlight w:val="none"/>
          <w:u w:val="none"/>
          <w:lang w:val="en-US" w:eastAsia="zh-CN"/>
        </w:rPr>
        <w:t xml:space="preserve">一标段：人民币：捌万伍仟元整（￥：85000.00元） </w:t>
      </w:r>
    </w:p>
    <w:p>
      <w:pPr>
        <w:keepNext w:val="0"/>
        <w:keepLines w:val="0"/>
        <w:pageBreakBefore w:val="0"/>
        <w:kinsoku/>
        <w:wordWrap w:val="0"/>
        <w:overflowPunct/>
        <w:topLinePunct w:val="0"/>
        <w:bidi w:val="0"/>
        <w:adjustRightInd/>
        <w:snapToGrid w:val="0"/>
        <w:spacing w:line="460" w:lineRule="exact"/>
        <w:ind w:left="0" w:leftChars="0" w:right="0" w:firstLine="420"/>
        <w:textAlignment w:val="auto"/>
        <w:outlineLvl w:val="9"/>
        <w:rPr>
          <w:rFonts w:hint="eastAsia" w:asciiTheme="minorEastAsia" w:hAnsiTheme="minorEastAsia" w:eastAsiaTheme="minorEastAsia" w:cstheme="minorEastAsia"/>
          <w:b/>
          <w:bCs/>
          <w:sz w:val="21"/>
          <w:szCs w:val="21"/>
          <w:highlight w:val="none"/>
          <w:u w:val="none"/>
          <w:lang w:val="en-US" w:eastAsia="zh-CN"/>
        </w:rPr>
      </w:pPr>
      <w:r>
        <w:rPr>
          <w:rFonts w:hint="eastAsia" w:asciiTheme="minorEastAsia" w:hAnsiTheme="minorEastAsia" w:eastAsiaTheme="minorEastAsia" w:cstheme="minorEastAsia"/>
          <w:b w:val="0"/>
          <w:bCs w:val="0"/>
          <w:sz w:val="21"/>
          <w:szCs w:val="21"/>
          <w:highlight w:val="none"/>
          <w:u w:val="none"/>
          <w:lang w:val="en-US" w:eastAsia="zh-CN"/>
        </w:rPr>
        <w:t>二标段：人民币：陆万柒仟元整（￥：67000.00元）</w:t>
      </w:r>
      <w:r>
        <w:rPr>
          <w:rFonts w:hint="eastAsia" w:asciiTheme="minorEastAsia" w:hAnsiTheme="minorEastAsia" w:eastAsiaTheme="minorEastAsia" w:cstheme="minorEastAsia"/>
          <w:b/>
          <w:bCs/>
          <w:sz w:val="21"/>
          <w:szCs w:val="21"/>
          <w:highlight w:val="none"/>
          <w:u w:val="none"/>
          <w:lang w:val="en-US" w:eastAsia="zh-CN"/>
        </w:rPr>
        <w:t xml:space="preserve"> </w:t>
      </w:r>
    </w:p>
    <w:p>
      <w:pPr>
        <w:keepNext w:val="0"/>
        <w:keepLines w:val="0"/>
        <w:pageBreakBefore w:val="0"/>
        <w:kinsoku/>
        <w:wordWrap w:val="0"/>
        <w:overflowPunct/>
        <w:topLinePunct w:val="0"/>
        <w:bidi w:val="0"/>
        <w:adjustRightInd/>
        <w:snapToGrid w:val="0"/>
        <w:spacing w:line="460" w:lineRule="exact"/>
        <w:ind w:left="0" w:leftChars="0" w:right="0" w:firstLine="420"/>
        <w:textAlignment w:val="auto"/>
        <w:outlineLvl w:val="9"/>
        <w:rPr>
          <w:rFonts w:hint="eastAsia" w:asciiTheme="minorEastAsia" w:hAnsiTheme="minorEastAsia" w:eastAsiaTheme="minorEastAsia" w:cstheme="minorEastAsia"/>
          <w:b w:val="0"/>
          <w:bCs w:val="0"/>
          <w:sz w:val="21"/>
          <w:szCs w:val="21"/>
          <w:highlight w:val="none"/>
          <w:u w:val="none"/>
          <w:lang w:val="en-US" w:eastAsia="zh-CN"/>
        </w:rPr>
      </w:pPr>
      <w:r>
        <w:rPr>
          <w:rFonts w:hint="eastAsia" w:asciiTheme="minorEastAsia" w:hAnsiTheme="minorEastAsia" w:eastAsiaTheme="minorEastAsia" w:cstheme="minorEastAsia"/>
          <w:b w:val="0"/>
          <w:bCs w:val="0"/>
          <w:sz w:val="21"/>
          <w:szCs w:val="21"/>
          <w:highlight w:val="none"/>
          <w:u w:val="none"/>
          <w:lang w:val="en-US" w:eastAsia="zh-CN"/>
        </w:rPr>
        <w:t xml:space="preserve">三标段：人民币：叁万元整（￥：30000.00元） </w:t>
      </w:r>
    </w:p>
    <w:p>
      <w:pPr>
        <w:keepNext w:val="0"/>
        <w:keepLines w:val="0"/>
        <w:pageBreakBefore w:val="0"/>
        <w:kinsoku/>
        <w:wordWrap w:val="0"/>
        <w:overflowPunct/>
        <w:topLinePunct w:val="0"/>
        <w:bidi w:val="0"/>
        <w:adjustRightInd/>
        <w:snapToGrid w:val="0"/>
        <w:spacing w:line="460" w:lineRule="exact"/>
        <w:ind w:left="0" w:leftChars="0" w:right="0" w:firstLine="420"/>
        <w:textAlignment w:val="auto"/>
        <w:outlineLvl w:val="9"/>
        <w:rPr>
          <w:rFonts w:hint="eastAsia" w:asciiTheme="minorEastAsia" w:hAnsiTheme="minorEastAsia" w:eastAsiaTheme="minorEastAsia" w:cstheme="minorEastAsia"/>
          <w:b w:val="0"/>
          <w:bCs w:val="0"/>
          <w:sz w:val="21"/>
          <w:szCs w:val="21"/>
          <w:highlight w:val="none"/>
          <w:u w:val="none"/>
          <w:lang w:val="en-US" w:eastAsia="zh-CN"/>
        </w:rPr>
      </w:pPr>
      <w:r>
        <w:rPr>
          <w:rFonts w:hint="eastAsia" w:asciiTheme="minorEastAsia" w:hAnsiTheme="minorEastAsia" w:eastAsiaTheme="minorEastAsia" w:cstheme="minorEastAsia"/>
          <w:b w:val="0"/>
          <w:bCs w:val="0"/>
          <w:sz w:val="21"/>
          <w:szCs w:val="21"/>
          <w:highlight w:val="none"/>
          <w:u w:val="none"/>
          <w:lang w:val="en-US" w:eastAsia="zh-CN"/>
        </w:rPr>
        <w:t>四标段：人民币：叁万叁仟元整（￥：33000.00元）</w:t>
      </w:r>
    </w:p>
    <w:p>
      <w:pPr>
        <w:keepNext w:val="0"/>
        <w:keepLines w:val="0"/>
        <w:pageBreakBefore w:val="0"/>
        <w:kinsoku/>
        <w:wordWrap w:val="0"/>
        <w:overflowPunct/>
        <w:topLinePunct w:val="0"/>
        <w:bidi w:val="0"/>
        <w:adjustRightInd/>
        <w:snapToGrid w:val="0"/>
        <w:spacing w:line="460" w:lineRule="exact"/>
        <w:ind w:left="0" w:leftChars="0" w:right="0" w:firstLine="420"/>
        <w:textAlignment w:val="auto"/>
        <w:outlineLvl w:val="9"/>
        <w:rPr>
          <w:rFonts w:hint="eastAsia" w:asciiTheme="minorEastAsia" w:hAnsiTheme="minorEastAsia" w:eastAsiaTheme="minorEastAsia" w:cstheme="minorEastAsia"/>
          <w:b w:val="0"/>
          <w:bCs w:val="0"/>
          <w:sz w:val="21"/>
          <w:szCs w:val="21"/>
          <w:highlight w:val="none"/>
          <w:u w:val="none"/>
          <w:lang w:val="en-US" w:eastAsia="zh-CN"/>
        </w:rPr>
      </w:pPr>
      <w:r>
        <w:rPr>
          <w:rFonts w:hint="eastAsia" w:asciiTheme="minorEastAsia" w:hAnsiTheme="minorEastAsia" w:eastAsiaTheme="minorEastAsia" w:cstheme="minorEastAsia"/>
          <w:b w:val="0"/>
          <w:bCs w:val="0"/>
          <w:sz w:val="21"/>
          <w:szCs w:val="21"/>
          <w:highlight w:val="none"/>
          <w:u w:val="none"/>
          <w:lang w:val="en-US" w:eastAsia="zh-CN"/>
        </w:rPr>
        <w:t>五标段：人民币：叁万壹仟元整（￥：31000.00元）</w:t>
      </w:r>
    </w:p>
    <w:p>
      <w:pPr>
        <w:keepNext w:val="0"/>
        <w:keepLines w:val="0"/>
        <w:pageBreakBefore w:val="0"/>
        <w:kinsoku/>
        <w:wordWrap w:val="0"/>
        <w:overflowPunct/>
        <w:topLinePunct w:val="0"/>
        <w:bidi w:val="0"/>
        <w:adjustRightInd/>
        <w:snapToGrid w:val="0"/>
        <w:spacing w:line="460" w:lineRule="exact"/>
        <w:ind w:left="0" w:leftChars="0" w:right="0" w:firstLine="420"/>
        <w:textAlignment w:val="auto"/>
        <w:outlineLvl w:val="9"/>
        <w:rPr>
          <w:rFonts w:hint="eastAsia" w:asciiTheme="minorEastAsia" w:hAnsiTheme="minorEastAsia" w:eastAsiaTheme="minorEastAsia" w:cstheme="minorEastAsia"/>
          <w:b/>
          <w:bCs/>
          <w:sz w:val="21"/>
          <w:szCs w:val="21"/>
          <w:highlight w:val="none"/>
          <w:u w:val="none"/>
          <w:lang w:val="en-US" w:eastAsia="zh-CN"/>
        </w:rPr>
      </w:pPr>
      <w:r>
        <w:rPr>
          <w:rFonts w:hint="eastAsia" w:asciiTheme="minorEastAsia" w:hAnsiTheme="minorEastAsia" w:eastAsiaTheme="minorEastAsia" w:cstheme="minorEastAsia"/>
          <w:b w:val="0"/>
          <w:bCs w:val="0"/>
          <w:sz w:val="21"/>
          <w:szCs w:val="21"/>
          <w:highlight w:val="none"/>
          <w:u w:val="none"/>
          <w:lang w:val="en-US" w:eastAsia="zh-CN"/>
        </w:rPr>
        <w:t xml:space="preserve">六标段：人民币：贰仟元整（￥：2000.00元） </w:t>
      </w:r>
      <w:r>
        <w:rPr>
          <w:rFonts w:hint="eastAsia" w:asciiTheme="minorEastAsia" w:hAnsiTheme="minorEastAsia" w:eastAsiaTheme="minorEastAsia" w:cstheme="minorEastAsia"/>
          <w:b/>
          <w:bCs/>
          <w:sz w:val="21"/>
          <w:szCs w:val="21"/>
          <w:highlight w:val="none"/>
          <w:u w:val="none"/>
          <w:lang w:val="en-US" w:eastAsia="zh-CN"/>
        </w:rPr>
        <w:t xml:space="preserve">             </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sz w:val="21"/>
          <w:szCs w:val="21"/>
          <w:highlight w:val="none"/>
          <w:lang w:val="zh-CN"/>
        </w:rPr>
      </w:pPr>
      <w:r>
        <w:rPr>
          <w:rFonts w:hint="eastAsia" w:asciiTheme="minorEastAsia" w:hAnsiTheme="minorEastAsia" w:eastAsiaTheme="minorEastAsia" w:cstheme="minorEastAsia"/>
          <w:sz w:val="21"/>
          <w:szCs w:val="21"/>
          <w:highlight w:val="none"/>
          <w:lang w:val="zh-CN"/>
        </w:rPr>
        <w:t>递交时间：</w:t>
      </w:r>
      <w:r>
        <w:rPr>
          <w:rFonts w:hint="eastAsia" w:asciiTheme="minorEastAsia" w:hAnsiTheme="minorEastAsia" w:eastAsiaTheme="minorEastAsia" w:cstheme="minorEastAsia"/>
          <w:sz w:val="21"/>
          <w:szCs w:val="21"/>
          <w:highlight w:val="none"/>
          <w:u w:val="single"/>
        </w:rPr>
        <w:t>201</w:t>
      </w:r>
      <w:r>
        <w:rPr>
          <w:rFonts w:hint="eastAsia" w:asciiTheme="minorEastAsia" w:hAnsiTheme="minorEastAsia" w:eastAsiaTheme="minorEastAsia" w:cstheme="minorEastAsia"/>
          <w:sz w:val="21"/>
          <w:szCs w:val="21"/>
          <w:highlight w:val="none"/>
          <w:u w:val="single"/>
          <w:lang w:val="en-US" w:eastAsia="zh-CN"/>
        </w:rPr>
        <w:t>9</w:t>
      </w:r>
      <w:r>
        <w:rPr>
          <w:rFonts w:hint="eastAsia" w:asciiTheme="minorEastAsia" w:hAnsiTheme="minorEastAsia" w:eastAsiaTheme="minorEastAsia" w:cstheme="minorEastAsia"/>
          <w:sz w:val="21"/>
          <w:szCs w:val="21"/>
          <w:highlight w:val="none"/>
        </w:rPr>
        <w:t>年</w:t>
      </w:r>
      <w:r>
        <w:rPr>
          <w:rFonts w:hint="eastAsia" w:asciiTheme="minorEastAsia" w:hAnsiTheme="minorEastAsia" w:eastAsiaTheme="minorEastAsia" w:cstheme="minorEastAsia"/>
          <w:color w:val="FF0000"/>
          <w:sz w:val="21"/>
          <w:szCs w:val="21"/>
          <w:highlight w:val="none"/>
          <w:u w:val="single"/>
          <w:lang w:val="en-US" w:eastAsia="zh-CN"/>
        </w:rPr>
        <w:t xml:space="preserve">     </w:t>
      </w:r>
      <w:r>
        <w:rPr>
          <w:rFonts w:hint="eastAsia" w:asciiTheme="minorEastAsia" w:hAnsiTheme="minorEastAsia" w:eastAsiaTheme="minorEastAsia" w:cstheme="minorEastAsia"/>
          <w:color w:val="FF0000"/>
          <w:sz w:val="21"/>
          <w:szCs w:val="21"/>
          <w:highlight w:val="none"/>
        </w:rPr>
        <w:t>月</w:t>
      </w:r>
      <w:r>
        <w:rPr>
          <w:rFonts w:hint="eastAsia" w:asciiTheme="minorEastAsia" w:hAnsiTheme="minorEastAsia" w:eastAsiaTheme="minorEastAsia" w:cstheme="minorEastAsia"/>
          <w:color w:val="FF0000"/>
          <w:sz w:val="21"/>
          <w:szCs w:val="21"/>
          <w:highlight w:val="none"/>
          <w:u w:val="single"/>
          <w:lang w:val="en-US" w:eastAsia="zh-CN"/>
        </w:rPr>
        <w:t xml:space="preserve">     </w:t>
      </w:r>
      <w:r>
        <w:rPr>
          <w:rFonts w:hint="eastAsia" w:asciiTheme="minorEastAsia" w:hAnsiTheme="minorEastAsia" w:eastAsiaTheme="minorEastAsia" w:cstheme="minorEastAsia"/>
          <w:color w:val="FF0000"/>
          <w:sz w:val="21"/>
          <w:szCs w:val="21"/>
          <w:highlight w:val="none"/>
        </w:rPr>
        <w:t>日</w:t>
      </w:r>
      <w:r>
        <w:rPr>
          <w:rFonts w:hint="eastAsia" w:asciiTheme="minorEastAsia" w:hAnsiTheme="minorEastAsia" w:eastAsiaTheme="minorEastAsia" w:cstheme="minorEastAsia"/>
          <w:sz w:val="21"/>
          <w:szCs w:val="21"/>
          <w:highlight w:val="none"/>
        </w:rPr>
        <w:t>16:00时前</w:t>
      </w:r>
      <w:r>
        <w:rPr>
          <w:rFonts w:hint="eastAsia" w:asciiTheme="minorEastAsia" w:hAnsiTheme="minorEastAsia" w:eastAsiaTheme="minorEastAsia" w:cstheme="minorEastAsia"/>
          <w:sz w:val="21"/>
          <w:szCs w:val="21"/>
          <w:highlight w:val="none"/>
          <w:lang w:val="zh-CN"/>
        </w:rPr>
        <w:t>，以温县公共资源交易中心电子招投标交易管理系统确认为准</w:t>
      </w:r>
      <w:r>
        <w:rPr>
          <w:rFonts w:hint="eastAsia" w:asciiTheme="minorEastAsia" w:hAnsiTheme="minorEastAsia" w:eastAsiaTheme="minorEastAsia" w:cstheme="minorEastAsia"/>
          <w:sz w:val="21"/>
          <w:szCs w:val="21"/>
          <w:highlight w:val="none"/>
        </w:rPr>
        <w:t>。</w:t>
      </w:r>
    </w:p>
    <w:p>
      <w:pPr>
        <w:keepNext w:val="0"/>
        <w:keepLines w:val="0"/>
        <w:pageBreakBefore w:val="0"/>
        <w:kinsoku/>
        <w:wordWrap w:val="0"/>
        <w:overflowPunct/>
        <w:topLinePunct w:val="0"/>
        <w:bidi w:val="0"/>
        <w:adjustRightInd/>
        <w:snapToGrid w:val="0"/>
        <w:spacing w:line="460" w:lineRule="exact"/>
        <w:ind w:left="0" w:leftChars="0" w:right="0" w:firstLine="42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rPr>
        <w:t>具体详见温县公共资源交易中心文件《温县公共资源交易中心关于面向全国征集电子招投标会员的公告》及《温县公共资源交易中心面向全国征集会员的补充公告》。</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10、联系方式</w:t>
      </w:r>
      <w:bookmarkEnd w:id="15"/>
      <w:bookmarkEnd w:id="16"/>
      <w:bookmarkEnd w:id="17"/>
      <w:bookmarkEnd w:id="18"/>
      <w:bookmarkEnd w:id="19"/>
      <w:bookmarkEnd w:id="20"/>
      <w:bookmarkEnd w:id="21"/>
    </w:p>
    <w:p>
      <w:pPr>
        <w:keepNext w:val="0"/>
        <w:keepLines w:val="0"/>
        <w:pageBreakBefore w:val="0"/>
        <w:kinsoku/>
        <w:wordWrap/>
        <w:overflowPunct/>
        <w:topLinePunct w:val="0"/>
        <w:autoSpaceDE/>
        <w:bidi w:val="0"/>
        <w:spacing w:line="460" w:lineRule="exact"/>
        <w:ind w:right="0" w:rightChars="0" w:firstLine="420" w:firstLineChars="200"/>
        <w:jc w:val="left"/>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招   标  人：</w:t>
      </w:r>
      <w:r>
        <w:rPr>
          <w:rFonts w:hint="eastAsia" w:asciiTheme="minorEastAsia" w:hAnsiTheme="minorEastAsia" w:eastAsiaTheme="minorEastAsia" w:cstheme="minorEastAsia"/>
          <w:sz w:val="21"/>
          <w:szCs w:val="21"/>
          <w:lang w:val="en-US" w:eastAsia="zh-CN"/>
        </w:rPr>
        <w:t xml:space="preserve">温县赵堡镇人民政府 </w:t>
      </w:r>
    </w:p>
    <w:p>
      <w:pPr>
        <w:keepNext w:val="0"/>
        <w:keepLines w:val="0"/>
        <w:pageBreakBefore w:val="0"/>
        <w:kinsoku/>
        <w:wordWrap/>
        <w:overflowPunct/>
        <w:topLinePunct w:val="0"/>
        <w:autoSpaceDE/>
        <w:bidi w:val="0"/>
        <w:spacing w:line="460" w:lineRule="exact"/>
        <w:ind w:right="0" w:rightChars="0" w:firstLine="420" w:firstLineChars="200"/>
        <w:jc w:val="left"/>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联   系  人：</w:t>
      </w:r>
      <w:r>
        <w:rPr>
          <w:rFonts w:hint="eastAsia" w:asciiTheme="minorEastAsia" w:hAnsiTheme="minorEastAsia" w:eastAsiaTheme="minorEastAsia" w:cstheme="minorEastAsia"/>
          <w:sz w:val="21"/>
          <w:szCs w:val="21"/>
          <w:lang w:eastAsia="zh-CN"/>
        </w:rPr>
        <w:t>马</w:t>
      </w:r>
      <w:r>
        <w:rPr>
          <w:rFonts w:hint="eastAsia" w:asciiTheme="minorEastAsia" w:hAnsiTheme="minorEastAsia" w:eastAsiaTheme="minorEastAsia" w:cstheme="minorEastAsia"/>
          <w:sz w:val="21"/>
          <w:szCs w:val="21"/>
        </w:rPr>
        <w:t xml:space="preserve">先生 </w:t>
      </w:r>
    </w:p>
    <w:p>
      <w:pPr>
        <w:keepNext w:val="0"/>
        <w:keepLines w:val="0"/>
        <w:pageBreakBefore w:val="0"/>
        <w:kinsoku/>
        <w:wordWrap/>
        <w:overflowPunct/>
        <w:topLinePunct w:val="0"/>
        <w:autoSpaceDE/>
        <w:bidi w:val="0"/>
        <w:spacing w:line="460" w:lineRule="exact"/>
        <w:ind w:right="0" w:rightChars="0" w:firstLine="420" w:firstLineChars="200"/>
        <w:jc w:val="left"/>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联 系 电 话：</w:t>
      </w:r>
      <w:r>
        <w:rPr>
          <w:rFonts w:hint="eastAsia" w:asciiTheme="minorEastAsia" w:hAnsiTheme="minorEastAsia" w:eastAsiaTheme="minorEastAsia" w:cstheme="minorEastAsia"/>
          <w:sz w:val="21"/>
          <w:szCs w:val="21"/>
          <w:lang w:val="en-US" w:eastAsia="zh-CN"/>
        </w:rPr>
        <w:t>15139122806</w:t>
      </w:r>
    </w:p>
    <w:p>
      <w:pPr>
        <w:keepNext w:val="0"/>
        <w:keepLines w:val="0"/>
        <w:pageBreakBefore w:val="0"/>
        <w:kinsoku/>
        <w:wordWrap/>
        <w:overflowPunct/>
        <w:topLinePunct w:val="0"/>
        <w:autoSpaceDE/>
        <w:bidi w:val="0"/>
        <w:spacing w:line="460" w:lineRule="exact"/>
        <w:ind w:right="0" w:rightChars="0" w:firstLine="420" w:firstLineChars="200"/>
        <w:jc w:val="left"/>
        <w:textAlignment w:val="auto"/>
        <w:outlineLvl w:val="9"/>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联</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系</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地</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址：温县</w:t>
      </w:r>
      <w:r>
        <w:rPr>
          <w:rFonts w:hint="eastAsia" w:asciiTheme="minorEastAsia" w:hAnsiTheme="minorEastAsia" w:eastAsiaTheme="minorEastAsia" w:cstheme="minorEastAsia"/>
          <w:sz w:val="21"/>
          <w:szCs w:val="21"/>
          <w:lang w:eastAsia="zh-CN"/>
        </w:rPr>
        <w:t>赵堡镇</w:t>
      </w:r>
    </w:p>
    <w:p>
      <w:pPr>
        <w:keepNext w:val="0"/>
        <w:keepLines w:val="0"/>
        <w:pageBreakBefore w:val="0"/>
        <w:kinsoku/>
        <w:wordWrap/>
        <w:overflowPunct/>
        <w:topLinePunct w:val="0"/>
        <w:autoSpaceDE/>
        <w:bidi w:val="0"/>
        <w:spacing w:line="460" w:lineRule="exact"/>
        <w:ind w:right="0" w:rightChars="0" w:firstLine="420" w:firstLineChars="200"/>
        <w:jc w:val="left"/>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招标代理机构：</w:t>
      </w:r>
      <w:r>
        <w:rPr>
          <w:rFonts w:hint="eastAsia" w:asciiTheme="minorEastAsia" w:hAnsiTheme="minorEastAsia" w:eastAsiaTheme="minorEastAsia" w:cstheme="minorEastAsia"/>
          <w:sz w:val="21"/>
          <w:szCs w:val="21"/>
          <w:lang w:val="en-US" w:eastAsia="zh-CN"/>
        </w:rPr>
        <w:t>北京恒乐工程管理有限公司</w:t>
      </w:r>
      <w:r>
        <w:rPr>
          <w:rFonts w:hint="eastAsia" w:asciiTheme="minorEastAsia" w:hAnsiTheme="minorEastAsia" w:eastAsiaTheme="minorEastAsia" w:cstheme="minorEastAsia"/>
          <w:sz w:val="21"/>
          <w:szCs w:val="21"/>
        </w:rPr>
        <w:t xml:space="preserve"> </w:t>
      </w:r>
    </w:p>
    <w:p>
      <w:pPr>
        <w:keepNext w:val="0"/>
        <w:keepLines w:val="0"/>
        <w:pageBreakBefore w:val="0"/>
        <w:kinsoku/>
        <w:wordWrap/>
        <w:overflowPunct/>
        <w:topLinePunct w:val="0"/>
        <w:autoSpaceDE/>
        <w:bidi w:val="0"/>
        <w:spacing w:line="460" w:lineRule="exact"/>
        <w:ind w:right="0" w:rightChars="0" w:firstLine="420" w:firstLineChars="200"/>
        <w:jc w:val="left"/>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联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系</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人：</w:t>
      </w:r>
      <w:r>
        <w:rPr>
          <w:rFonts w:hint="eastAsia" w:asciiTheme="minorEastAsia" w:hAnsiTheme="minorEastAsia" w:eastAsiaTheme="minorEastAsia" w:cstheme="minorEastAsia"/>
          <w:sz w:val="21"/>
          <w:szCs w:val="21"/>
          <w:lang w:eastAsia="zh-CN"/>
        </w:rPr>
        <w:t>李女士</w:t>
      </w:r>
      <w:r>
        <w:rPr>
          <w:rFonts w:hint="eastAsia" w:asciiTheme="minorEastAsia" w:hAnsiTheme="minorEastAsia" w:eastAsiaTheme="minorEastAsia" w:cstheme="minorEastAsia"/>
          <w:sz w:val="21"/>
          <w:szCs w:val="21"/>
        </w:rPr>
        <w:t xml:space="preserve"> </w:t>
      </w:r>
    </w:p>
    <w:p>
      <w:pPr>
        <w:keepNext w:val="0"/>
        <w:keepLines w:val="0"/>
        <w:pageBreakBefore w:val="0"/>
        <w:kinsoku/>
        <w:wordWrap/>
        <w:overflowPunct/>
        <w:topLinePunct w:val="0"/>
        <w:autoSpaceDE/>
        <w:bidi w:val="0"/>
        <w:spacing w:line="460" w:lineRule="exact"/>
        <w:ind w:right="0" w:rightChars="0" w:firstLine="420" w:firstLineChars="200"/>
        <w:jc w:val="left"/>
        <w:textAlignment w:val="auto"/>
        <w:outlineLvl w:val="9"/>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rPr>
        <w:t>联</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系</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电</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话：</w:t>
      </w:r>
      <w:r>
        <w:rPr>
          <w:rFonts w:hint="eastAsia" w:asciiTheme="minorEastAsia" w:hAnsiTheme="minorEastAsia" w:eastAsiaTheme="minorEastAsia" w:cstheme="minorEastAsia"/>
          <w:sz w:val="21"/>
          <w:szCs w:val="21"/>
          <w:lang w:val="en-US" w:eastAsia="zh-CN"/>
        </w:rPr>
        <w:t>15514722199</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rPr>
        <w:t>联</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系</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地</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址：</w:t>
      </w:r>
      <w:r>
        <w:rPr>
          <w:rFonts w:hint="eastAsia" w:asciiTheme="minorEastAsia" w:hAnsiTheme="minorEastAsia" w:eastAsiaTheme="minorEastAsia" w:cstheme="minorEastAsia"/>
          <w:sz w:val="21"/>
          <w:szCs w:val="21"/>
          <w:lang w:eastAsia="zh-CN"/>
        </w:rPr>
        <w:t>郑州市金水区中州大道金成时代广场</w:t>
      </w:r>
      <w:r>
        <w:rPr>
          <w:rFonts w:hint="eastAsia" w:asciiTheme="minorEastAsia" w:hAnsiTheme="minorEastAsia" w:eastAsiaTheme="minorEastAsia" w:cstheme="minorEastAsia"/>
          <w:sz w:val="21"/>
          <w:szCs w:val="21"/>
          <w:lang w:val="en-US" w:eastAsia="zh-CN"/>
        </w:rPr>
        <w:t>6号楼8楼808室</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11、监督部门</w:t>
      </w:r>
    </w:p>
    <w:p>
      <w:pPr>
        <w:keepNext w:val="0"/>
        <w:keepLines w:val="0"/>
        <w:pageBreakBefore w:val="0"/>
        <w:kinsoku/>
        <w:wordWrap w:val="0"/>
        <w:overflowPunct/>
        <w:topLinePunct w:val="0"/>
        <w:bidi w:val="0"/>
        <w:adjustRightInd/>
        <w:snapToGrid w:val="0"/>
        <w:spacing w:line="460" w:lineRule="exact"/>
        <w:ind w:left="0" w:leftChars="0" w:right="0" w:firstLine="420" w:firstLineChars="200"/>
        <w:textAlignment w:val="auto"/>
        <w:outlineLvl w:val="9"/>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color w:val="000000"/>
          <w:sz w:val="21"/>
          <w:szCs w:val="21"/>
          <w:highlight w:val="none"/>
          <w:shd w:val="clear" w:color="auto" w:fill="FFFFFF"/>
        </w:rPr>
        <w:t>温县住房和城乡建设局</w:t>
      </w:r>
      <w:r>
        <w:rPr>
          <w:rFonts w:hint="eastAsia" w:asciiTheme="minorEastAsia" w:hAnsiTheme="minorEastAsia" w:eastAsiaTheme="minorEastAsia" w:cstheme="minorEastAsia"/>
          <w:sz w:val="21"/>
          <w:szCs w:val="21"/>
          <w:highlight w:val="none"/>
        </w:rPr>
        <w:t xml:space="preserve">              监督电话：</w:t>
      </w:r>
      <w:r>
        <w:rPr>
          <w:rFonts w:hint="eastAsia" w:asciiTheme="minorEastAsia" w:hAnsiTheme="minorEastAsia" w:eastAsiaTheme="minorEastAsia" w:cstheme="minorEastAsia"/>
          <w:sz w:val="21"/>
          <w:szCs w:val="21"/>
          <w:highlight w:val="none"/>
          <w:lang w:eastAsia="zh-CN"/>
        </w:rPr>
        <w:t>0391-6192411</w:t>
      </w:r>
    </w:p>
    <w:p>
      <w:pPr>
        <w:pStyle w:val="26"/>
        <w:keepNext w:val="0"/>
        <w:keepLines w:val="0"/>
        <w:pageBreakBefore w:val="0"/>
        <w:kinsoku/>
        <w:overflowPunct/>
        <w:topLinePunct w:val="0"/>
        <w:bidi w:val="0"/>
        <w:spacing w:line="460" w:lineRule="exact"/>
        <w:textAlignment w:val="auto"/>
        <w:rPr>
          <w:rFonts w:hint="eastAsia" w:asciiTheme="minorEastAsia" w:hAnsiTheme="minorEastAsia" w:eastAsiaTheme="minorEastAsia" w:cstheme="minorEastAsia"/>
          <w:sz w:val="21"/>
          <w:szCs w:val="21"/>
          <w:highlight w:val="none"/>
          <w:lang w:val="en-US" w:eastAsia="zh-CN"/>
        </w:rPr>
      </w:pPr>
    </w:p>
    <w:p>
      <w:pPr>
        <w:pStyle w:val="19"/>
        <w:keepNext w:val="0"/>
        <w:keepLines w:val="0"/>
        <w:pageBreakBefore w:val="0"/>
        <w:shd w:val="clear" w:color="auto" w:fill="FFFFFF"/>
        <w:kinsoku/>
        <w:overflowPunct/>
        <w:topLinePunct w:val="0"/>
        <w:bidi w:val="0"/>
        <w:adjustRightInd/>
        <w:spacing w:beforeAutospacing="0" w:afterAutospacing="0" w:line="460" w:lineRule="exact"/>
        <w:ind w:left="0" w:leftChars="0" w:right="0" w:firstLine="420"/>
        <w:jc w:val="center"/>
        <w:textAlignment w:val="auto"/>
        <w:outlineLvl w:val="9"/>
        <w:rPr>
          <w:rFonts w:hint="eastAsia" w:asciiTheme="minorEastAsia" w:hAnsiTheme="minorEastAsia" w:eastAsiaTheme="minorEastAsia" w:cstheme="minorEastAsia"/>
          <w:color w:val="FF0000"/>
          <w:sz w:val="21"/>
          <w:szCs w:val="21"/>
          <w:highlight w:val="none"/>
        </w:rPr>
      </w:pPr>
      <w:r>
        <w:rPr>
          <w:rFonts w:hint="eastAsia" w:asciiTheme="minorEastAsia" w:hAnsiTheme="minorEastAsia" w:eastAsiaTheme="minorEastAsia" w:cstheme="minorEastAsia"/>
          <w:sz w:val="21"/>
          <w:szCs w:val="21"/>
          <w:highlight w:val="none"/>
        </w:rPr>
        <w:t xml:space="preserve">                               </w:t>
      </w:r>
      <w:r>
        <w:rPr>
          <w:rFonts w:hint="eastAsia" w:asciiTheme="minorEastAsia" w:hAnsiTheme="minorEastAsia" w:eastAsiaTheme="minorEastAsia" w:cstheme="minorEastAsia"/>
          <w:color w:val="FF0000"/>
          <w:sz w:val="21"/>
          <w:szCs w:val="21"/>
          <w:highlight w:val="none"/>
        </w:rPr>
        <w:t xml:space="preserve"> 201</w:t>
      </w:r>
      <w:r>
        <w:rPr>
          <w:rFonts w:hint="eastAsia" w:asciiTheme="minorEastAsia" w:hAnsiTheme="minorEastAsia" w:eastAsiaTheme="minorEastAsia" w:cstheme="minorEastAsia"/>
          <w:color w:val="FF0000"/>
          <w:sz w:val="21"/>
          <w:szCs w:val="21"/>
          <w:highlight w:val="none"/>
          <w:lang w:val="en-US" w:eastAsia="zh-CN"/>
        </w:rPr>
        <w:t>9</w:t>
      </w:r>
      <w:r>
        <w:rPr>
          <w:rFonts w:hint="eastAsia" w:asciiTheme="minorEastAsia" w:hAnsiTheme="minorEastAsia" w:eastAsiaTheme="minorEastAsia" w:cstheme="minorEastAsia"/>
          <w:color w:val="FF0000"/>
          <w:sz w:val="21"/>
          <w:szCs w:val="21"/>
          <w:highlight w:val="none"/>
        </w:rPr>
        <w:t>年</w:t>
      </w:r>
      <w:r>
        <w:rPr>
          <w:rFonts w:hint="eastAsia" w:asciiTheme="minorEastAsia" w:hAnsiTheme="minorEastAsia" w:eastAsiaTheme="minorEastAsia" w:cstheme="minorEastAsia"/>
          <w:color w:val="FF0000"/>
          <w:sz w:val="21"/>
          <w:szCs w:val="21"/>
          <w:highlight w:val="none"/>
          <w:lang w:val="en-US" w:eastAsia="zh-CN"/>
        </w:rPr>
        <w:t xml:space="preserve">   </w:t>
      </w:r>
      <w:r>
        <w:rPr>
          <w:rFonts w:hint="eastAsia" w:asciiTheme="minorEastAsia" w:hAnsiTheme="minorEastAsia" w:eastAsiaTheme="minorEastAsia" w:cstheme="minorEastAsia"/>
          <w:color w:val="FF0000"/>
          <w:sz w:val="21"/>
          <w:szCs w:val="21"/>
          <w:highlight w:val="none"/>
        </w:rPr>
        <w:t>月</w:t>
      </w:r>
      <w:r>
        <w:rPr>
          <w:rFonts w:hint="eastAsia" w:asciiTheme="minorEastAsia" w:hAnsiTheme="minorEastAsia" w:eastAsiaTheme="minorEastAsia" w:cstheme="minorEastAsia"/>
          <w:color w:val="FF0000"/>
          <w:sz w:val="21"/>
          <w:szCs w:val="21"/>
          <w:highlight w:val="none"/>
          <w:lang w:val="en-US" w:eastAsia="zh-CN"/>
        </w:rPr>
        <w:t xml:space="preserve">   </w:t>
      </w:r>
      <w:r>
        <w:rPr>
          <w:rFonts w:hint="eastAsia" w:asciiTheme="minorEastAsia" w:hAnsiTheme="minorEastAsia" w:eastAsiaTheme="minorEastAsia" w:cstheme="minorEastAsia"/>
          <w:color w:val="FF0000"/>
          <w:sz w:val="21"/>
          <w:szCs w:val="21"/>
          <w:highlight w:val="none"/>
        </w:rPr>
        <w:t>日</w:t>
      </w:r>
    </w:p>
    <w:p>
      <w:pPr>
        <w:pStyle w:val="19"/>
        <w:keepNext w:val="0"/>
        <w:keepLines w:val="0"/>
        <w:pageBreakBefore w:val="0"/>
        <w:shd w:val="clear" w:color="auto" w:fill="FFFFFF"/>
        <w:kinsoku/>
        <w:overflowPunct/>
        <w:topLinePunct w:val="0"/>
        <w:bidi w:val="0"/>
        <w:adjustRightInd/>
        <w:spacing w:beforeAutospacing="0" w:afterAutospacing="0" w:line="480" w:lineRule="exact"/>
        <w:ind w:left="0" w:leftChars="0" w:right="0" w:firstLine="420"/>
        <w:jc w:val="center"/>
        <w:textAlignment w:val="auto"/>
        <w:outlineLvl w:val="9"/>
        <w:rPr>
          <w:rFonts w:hint="eastAsia" w:eastAsia="宋体"/>
          <w:sz w:val="21"/>
          <w:szCs w:val="21"/>
          <w:highlight w:val="none"/>
        </w:rPr>
      </w:pPr>
    </w:p>
    <w:p>
      <w:pPr>
        <w:spacing w:line="600" w:lineRule="exact"/>
        <w:jc w:val="both"/>
        <w:outlineLvl w:val="0"/>
        <w:rPr>
          <w:rFonts w:hint="eastAsia"/>
          <w:b/>
          <w:bCs/>
          <w:sz w:val="36"/>
          <w:szCs w:val="36"/>
          <w:highlight w:val="none"/>
        </w:rPr>
      </w:pPr>
    </w:p>
    <w:p>
      <w:pPr>
        <w:pStyle w:val="26"/>
        <w:rPr>
          <w:rFonts w:hint="eastAsia"/>
          <w:b/>
          <w:bCs/>
          <w:sz w:val="36"/>
          <w:szCs w:val="36"/>
          <w:highlight w:val="none"/>
        </w:rPr>
      </w:pPr>
    </w:p>
    <w:p>
      <w:pPr>
        <w:pStyle w:val="26"/>
        <w:rPr>
          <w:rFonts w:hint="eastAsia"/>
          <w:b/>
          <w:bCs/>
          <w:sz w:val="36"/>
          <w:szCs w:val="36"/>
          <w:highlight w:val="none"/>
        </w:rPr>
      </w:pPr>
    </w:p>
    <w:p>
      <w:pPr>
        <w:spacing w:line="600" w:lineRule="exact"/>
        <w:jc w:val="center"/>
        <w:outlineLvl w:val="0"/>
        <w:rPr>
          <w:b/>
          <w:bCs/>
          <w:sz w:val="36"/>
          <w:szCs w:val="36"/>
          <w:highlight w:val="none"/>
        </w:rPr>
      </w:pPr>
      <w:bookmarkStart w:id="22" w:name="_Toc7671"/>
      <w:r>
        <w:rPr>
          <w:rFonts w:hint="eastAsia"/>
          <w:b/>
          <w:bCs/>
          <w:sz w:val="36"/>
          <w:szCs w:val="36"/>
          <w:highlight w:val="none"/>
        </w:rPr>
        <w:t>第二章 投标人须知</w:t>
      </w:r>
      <w:bookmarkEnd w:id="22"/>
    </w:p>
    <w:p>
      <w:pPr>
        <w:pStyle w:val="8"/>
        <w:spacing w:line="540" w:lineRule="exact"/>
        <w:jc w:val="center"/>
        <w:rPr>
          <w:rFonts w:hint="eastAsia" w:eastAsia="宋体"/>
          <w:lang w:eastAsia="zh-CN"/>
        </w:rPr>
      </w:pPr>
      <w:bookmarkStart w:id="23" w:name="_Toc152042304"/>
      <w:bookmarkStart w:id="24" w:name="_Toc5939"/>
      <w:bookmarkStart w:id="25" w:name="_Toc9422"/>
      <w:bookmarkStart w:id="26" w:name="_Toc179632545"/>
      <w:bookmarkStart w:id="27" w:name="_Toc246996174"/>
      <w:bookmarkStart w:id="28" w:name="_Toc27343"/>
      <w:bookmarkStart w:id="29" w:name="_Toc246996917"/>
      <w:bookmarkStart w:id="30" w:name="_Toc18612"/>
      <w:bookmarkStart w:id="31" w:name="_Toc28639"/>
      <w:bookmarkStart w:id="32" w:name="_Toc247085688"/>
      <w:bookmarkStart w:id="33" w:name="_Toc152045528"/>
      <w:bookmarkStart w:id="34" w:name="_Toc144974496"/>
      <w:bookmarkStart w:id="35" w:name="_Toc13607"/>
      <w:bookmarkStart w:id="36" w:name="_Toc25838"/>
      <w:r>
        <w:rPr>
          <w:rFonts w:hint="eastAsia" w:ascii="宋体" w:hAnsi="宋体" w:eastAsia="宋体" w:cs="宋体"/>
          <w:highlight w:val="none"/>
        </w:rPr>
        <w:t>投标人须知前附表</w:t>
      </w:r>
      <w:bookmarkEnd w:id="23"/>
      <w:bookmarkEnd w:id="24"/>
      <w:bookmarkEnd w:id="25"/>
      <w:bookmarkEnd w:id="26"/>
      <w:bookmarkEnd w:id="27"/>
      <w:bookmarkEnd w:id="28"/>
      <w:bookmarkEnd w:id="29"/>
      <w:bookmarkEnd w:id="30"/>
      <w:bookmarkEnd w:id="31"/>
      <w:bookmarkEnd w:id="32"/>
      <w:bookmarkEnd w:id="33"/>
      <w:bookmarkEnd w:id="34"/>
      <w:bookmarkEnd w:id="35"/>
      <w:bookmarkEnd w:id="36"/>
    </w:p>
    <w:tbl>
      <w:tblPr>
        <w:tblStyle w:val="22"/>
        <w:tblpPr w:leftFromText="180" w:rightFromText="180" w:vertAnchor="text" w:horzAnchor="page" w:tblpX="1335" w:tblpY="556"/>
        <w:tblOverlap w:val="never"/>
        <w:tblW w:w="965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08"/>
        <w:gridCol w:w="10"/>
        <w:gridCol w:w="2686"/>
        <w:gridCol w:w="191"/>
        <w:gridCol w:w="57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2"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条款号</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条  款  名  称</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编  列  内  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招标人</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招  标</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 xml:space="preserve"> 人：</w:t>
            </w:r>
            <w:r>
              <w:rPr>
                <w:rFonts w:hint="eastAsia" w:ascii="宋体" w:hAnsi="宋体" w:eastAsia="宋体" w:cs="宋体"/>
                <w:sz w:val="21"/>
                <w:szCs w:val="21"/>
                <w:highlight w:val="none"/>
                <w:lang w:val="en-US" w:eastAsia="zh-CN"/>
              </w:rPr>
              <w:t xml:space="preserve">温县赵堡镇人民政府 </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  系</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 xml:space="preserve"> 人：</w:t>
            </w:r>
            <w:r>
              <w:rPr>
                <w:rFonts w:hint="eastAsia" w:ascii="宋体" w:hAnsi="宋体"/>
                <w:lang w:eastAsia="zh-CN"/>
              </w:rPr>
              <w:t>马</w:t>
            </w:r>
            <w:r>
              <w:rPr>
                <w:rFonts w:hint="eastAsia" w:ascii="宋体" w:hAnsi="宋体"/>
              </w:rPr>
              <w:t xml:space="preserve">先生 </w:t>
            </w:r>
            <w:r>
              <w:rPr>
                <w:rFonts w:hint="eastAsia" w:ascii="宋体" w:hAnsi="宋体" w:eastAsia="宋体" w:cs="宋体"/>
                <w:sz w:val="21"/>
                <w:szCs w:val="21"/>
                <w:highlight w:val="none"/>
              </w:rPr>
              <w:t xml:space="preserve"> </w:t>
            </w:r>
          </w:p>
          <w:p>
            <w:pPr>
              <w:widowControl w:val="0"/>
              <w:spacing w:line="380" w:lineRule="exac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联 系 电 话：</w:t>
            </w:r>
            <w:r>
              <w:rPr>
                <w:rFonts w:hint="eastAsia" w:ascii="宋体" w:hAnsi="宋体" w:eastAsia="宋体" w:cs="宋体"/>
                <w:sz w:val="21"/>
                <w:szCs w:val="21"/>
                <w:highlight w:val="none"/>
                <w:lang w:val="en-US" w:eastAsia="zh-CN"/>
              </w:rPr>
              <w:t>15139122806</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系</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地</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址：温县</w:t>
            </w:r>
            <w:r>
              <w:rPr>
                <w:rFonts w:hint="eastAsia" w:ascii="宋体" w:hAnsi="宋体" w:eastAsia="宋体" w:cs="宋体"/>
                <w:sz w:val="21"/>
                <w:szCs w:val="21"/>
                <w:highlight w:val="none"/>
                <w:lang w:eastAsia="zh-CN"/>
              </w:rPr>
              <w:t>赵堡镇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招标代理机构</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招标代理机构：</w:t>
            </w:r>
            <w:r>
              <w:rPr>
                <w:rFonts w:hint="eastAsia" w:ascii="宋体" w:hAnsi="宋体" w:eastAsia="宋体" w:cs="宋体"/>
                <w:sz w:val="21"/>
                <w:szCs w:val="21"/>
                <w:highlight w:val="none"/>
                <w:lang w:val="en-US" w:eastAsia="zh-CN"/>
              </w:rPr>
              <w:t>北京恒乐工程管理有限公司</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  系  人：</w:t>
            </w:r>
            <w:r>
              <w:rPr>
                <w:rFonts w:hint="eastAsia" w:ascii="宋体" w:hAnsi="宋体" w:eastAsia="宋体" w:cs="宋体"/>
                <w:sz w:val="21"/>
                <w:szCs w:val="21"/>
                <w:highlight w:val="none"/>
                <w:lang w:eastAsia="zh-CN"/>
              </w:rPr>
              <w:t>李女士</w:t>
            </w:r>
            <w:r>
              <w:rPr>
                <w:rFonts w:hint="eastAsia" w:ascii="宋体" w:hAnsi="宋体" w:eastAsia="宋体" w:cs="宋体"/>
                <w:sz w:val="21"/>
                <w:szCs w:val="21"/>
                <w:highlight w:val="none"/>
              </w:rPr>
              <w:t xml:space="preserve"> </w:t>
            </w:r>
          </w:p>
          <w:p>
            <w:pPr>
              <w:widowControl w:val="0"/>
              <w:spacing w:line="380" w:lineRule="exact"/>
              <w:textAlignment w:val="auto"/>
              <w:rPr>
                <w:rFonts w:hint="default" w:ascii="宋体" w:hAnsi="宋体" w:eastAsia="宋体" w:cs="宋体"/>
                <w:sz w:val="21"/>
                <w:szCs w:val="21"/>
                <w:highlight w:val="none"/>
                <w:lang w:val="en-US"/>
              </w:rPr>
            </w:pPr>
            <w:r>
              <w:rPr>
                <w:rFonts w:hint="eastAsia" w:ascii="宋体" w:hAnsi="宋体" w:eastAsia="宋体" w:cs="宋体"/>
                <w:sz w:val="21"/>
                <w:szCs w:val="21"/>
                <w:highlight w:val="none"/>
              </w:rPr>
              <w:t>联 系 电 话：</w:t>
            </w:r>
            <w:r>
              <w:rPr>
                <w:rFonts w:hint="eastAsia" w:ascii="宋体" w:hAnsi="宋体" w:cs="宋体"/>
                <w:sz w:val="21"/>
                <w:szCs w:val="21"/>
                <w:highlight w:val="none"/>
                <w:lang w:val="en-US" w:eastAsia="zh-CN"/>
              </w:rPr>
              <w:t>15514722199</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系</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地</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址：</w:t>
            </w:r>
            <w:r>
              <w:rPr>
                <w:rFonts w:hint="eastAsia" w:ascii="宋体" w:hAnsi="宋体" w:eastAsia="宋体" w:cs="宋体"/>
                <w:sz w:val="21"/>
                <w:szCs w:val="21"/>
                <w:highlight w:val="none"/>
                <w:lang w:eastAsia="zh-CN"/>
              </w:rPr>
              <w:t>郑州市金水区中州大道金成时代广场</w:t>
            </w:r>
            <w:r>
              <w:rPr>
                <w:rFonts w:hint="eastAsia" w:ascii="宋体" w:hAnsi="宋体" w:eastAsia="宋体" w:cs="宋体"/>
                <w:sz w:val="21"/>
                <w:szCs w:val="21"/>
                <w:highlight w:val="none"/>
                <w:lang w:val="en-US" w:eastAsia="zh-CN"/>
              </w:rPr>
              <w:t>6号楼8楼808室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4"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项目名称</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温县赵堡镇赵堡村美丽乡村示范县试点项目</w:t>
            </w:r>
            <w:r>
              <w:rPr>
                <w:rFonts w:hint="eastAsia" w:ascii="宋体" w:hAnsi="宋体" w:cs="宋体"/>
                <w:sz w:val="21"/>
                <w:szCs w:val="21"/>
                <w:highlight w:val="none"/>
                <w:lang w:val="en-US" w:eastAsia="zh-CN"/>
              </w:rPr>
              <w:t>（五标段）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76"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1.1.5</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建设地点</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温县赵堡镇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36"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资金来源</w:t>
            </w:r>
            <w:r>
              <w:rPr>
                <w:rFonts w:hint="eastAsia" w:ascii="宋体" w:hAnsi="宋体" w:cs="宋体"/>
                <w:sz w:val="21"/>
                <w:szCs w:val="21"/>
                <w:highlight w:val="none"/>
                <w:lang w:eastAsia="zh-CN"/>
              </w:rPr>
              <w:t>及比例</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eastAsia="zh-CN"/>
              </w:rPr>
              <w:t>县财政</w:t>
            </w:r>
            <w:r>
              <w:rPr>
                <w:rFonts w:hint="eastAsia" w:ascii="宋体" w:hAnsi="宋体" w:cs="宋体"/>
                <w:sz w:val="21"/>
                <w:szCs w:val="21"/>
                <w:highlight w:val="none"/>
                <w:lang w:eastAsia="zh-CN"/>
              </w:rPr>
              <w:t>奖补</w:t>
            </w:r>
            <w:r>
              <w:rPr>
                <w:rFonts w:hint="eastAsia" w:ascii="宋体" w:hAnsi="宋体" w:cs="宋体"/>
                <w:sz w:val="21"/>
                <w:szCs w:val="21"/>
                <w:highlight w:val="none"/>
                <w:lang w:val="en-US" w:eastAsia="zh-CN"/>
              </w:rPr>
              <w:t>+县配套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3"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1.2.2</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资金落实情况</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已落实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招标范围</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招标范围：招标文件所有内容及工程量清单、施工图所包含的全部内容。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1.3.2</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计划工期</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计划工期：</w:t>
            </w:r>
            <w:r>
              <w:rPr>
                <w:rFonts w:hint="eastAsia" w:ascii="宋体" w:hAnsi="宋体" w:eastAsia="宋体" w:cs="宋体"/>
                <w:sz w:val="21"/>
                <w:szCs w:val="21"/>
                <w:highlight w:val="none"/>
                <w:u w:val="single"/>
                <w:lang w:val="en-US" w:eastAsia="zh-CN"/>
              </w:rPr>
              <w:t xml:space="preserve"> </w:t>
            </w:r>
            <w:r>
              <w:rPr>
                <w:rFonts w:hint="eastAsia" w:ascii="宋体" w:hAnsi="宋体" w:cs="宋体"/>
                <w:sz w:val="21"/>
                <w:szCs w:val="21"/>
                <w:highlight w:val="none"/>
                <w:u w:val="single"/>
                <w:lang w:val="en-US" w:eastAsia="zh-CN"/>
              </w:rPr>
              <w:t xml:space="preserve">120 </w:t>
            </w:r>
            <w:r>
              <w:rPr>
                <w:rFonts w:hint="eastAsia" w:ascii="宋体" w:hAnsi="宋体" w:eastAsia="宋体" w:cs="宋体"/>
                <w:sz w:val="21"/>
                <w:szCs w:val="21"/>
                <w:highlight w:val="none"/>
              </w:rPr>
              <w:t>日历天</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计划开工、竣工日期：以合同为准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5"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1.3.3</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质量要求</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投标人资质条件、能力</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wordWrap w:val="0"/>
              <w:adjustRightInd/>
              <w:snapToGrid w:val="0"/>
              <w:spacing w:line="380" w:lineRule="exact"/>
              <w:ind w:right="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b/>
                <w:color w:val="000000"/>
                <w:sz w:val="21"/>
                <w:szCs w:val="21"/>
                <w:highlight w:val="none"/>
              </w:rPr>
              <w:t>1、资质条件：</w:t>
            </w:r>
            <w:r>
              <w:rPr>
                <w:rFonts w:hint="eastAsia" w:ascii="宋体" w:hAnsi="宋体" w:eastAsia="宋体" w:cs="宋体"/>
                <w:b w:val="0"/>
                <w:bCs/>
                <w:color w:val="000000"/>
                <w:sz w:val="21"/>
                <w:szCs w:val="21"/>
                <w:highlight w:val="none"/>
                <w:lang w:val="en-US" w:eastAsia="zh-CN"/>
              </w:rPr>
              <w:t>投标人须具有独立法人资格；同时具备市政公用工程施工总承包三级及以上资质；具有效的安全生产许可证，并在人员、设备、资金等方面具有相应的施工能力；</w:t>
            </w:r>
          </w:p>
          <w:p>
            <w:pPr>
              <w:widowControl w:val="0"/>
              <w:wordWrap w:val="0"/>
              <w:adjustRightInd/>
              <w:snapToGrid w:val="0"/>
              <w:spacing w:line="380" w:lineRule="exact"/>
              <w:ind w:right="0"/>
              <w:textAlignment w:val="auto"/>
              <w:outlineLvl w:val="9"/>
              <w:rPr>
                <w:rFonts w:hint="eastAsia" w:ascii="宋体" w:hAnsi="宋体" w:eastAsia="宋体" w:cs="宋体"/>
                <w:sz w:val="21"/>
                <w:szCs w:val="21"/>
                <w:highlight w:val="none"/>
              </w:rPr>
            </w:pPr>
            <w:r>
              <w:rPr>
                <w:rFonts w:hint="eastAsia" w:ascii="宋体" w:hAnsi="宋体" w:eastAsia="宋体" w:cs="宋体"/>
                <w:b/>
                <w:bCs/>
                <w:sz w:val="21"/>
                <w:szCs w:val="21"/>
                <w:highlight w:val="none"/>
              </w:rPr>
              <w:t>2、</w:t>
            </w:r>
            <w:r>
              <w:rPr>
                <w:rFonts w:hint="eastAsia" w:ascii="宋体" w:hAnsi="宋体" w:eastAsia="宋体" w:cs="宋体"/>
                <w:b/>
                <w:bCs/>
                <w:sz w:val="21"/>
                <w:szCs w:val="21"/>
                <w:highlight w:val="none"/>
                <w:lang w:eastAsia="zh-CN"/>
              </w:rPr>
              <w:t>项目负责人</w:t>
            </w:r>
            <w:r>
              <w:rPr>
                <w:rFonts w:hint="eastAsia" w:ascii="宋体" w:hAnsi="宋体" w:eastAsia="宋体" w:cs="宋体"/>
                <w:b/>
                <w:bCs/>
                <w:sz w:val="21"/>
                <w:szCs w:val="21"/>
                <w:highlight w:val="none"/>
              </w:rPr>
              <w:t>资格</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拟派项目经理须具有市政公用工程专业注册建造师贰级及以上资格（不含临时），具有有效期内的安全生产考核合格证书（B证）；且未担任其他在建工程项目的项目经理</w:t>
            </w:r>
            <w:r>
              <w:rPr>
                <w:rFonts w:hint="eastAsia" w:ascii="宋体" w:hAnsi="宋体" w:eastAsia="宋体" w:cs="宋体"/>
                <w:b/>
                <w:bCs/>
                <w:sz w:val="21"/>
                <w:szCs w:val="21"/>
                <w:highlight w:val="none"/>
              </w:rPr>
              <w:t>(投标人出具加盖企业公章和法定代表人印章的证明，如有在建，一经查实，取消其中标资格同时投标保证金不予退还。)</w:t>
            </w:r>
            <w:r>
              <w:rPr>
                <w:rFonts w:hint="eastAsia" w:ascii="宋体" w:hAnsi="宋体" w:eastAsia="宋体" w:cs="宋体"/>
                <w:sz w:val="21"/>
                <w:szCs w:val="21"/>
                <w:highlight w:val="none"/>
              </w:rPr>
              <w:t xml:space="preserve"> 注：本文件所指“在建项目”是指:项目尚未竣工或已中标未开工。如果“在建项目”项目经理有变更情况的，须在投标文件中附变更证明材料，否则视为项目经理有“在建项目”。其认定及例外按照《河南省规范项目经理和项目总监任职行为的若干规定（试行）》执行；</w:t>
            </w:r>
          </w:p>
          <w:p>
            <w:pPr>
              <w:widowControl w:val="0"/>
              <w:spacing w:line="380" w:lineRule="exact"/>
              <w:textAlignment w:val="auto"/>
              <w:rPr>
                <w:rFonts w:hint="eastAsia" w:ascii="宋体" w:hAnsi="宋体" w:eastAsia="宋体" w:cs="宋体"/>
                <w:bCs/>
                <w:sz w:val="21"/>
                <w:szCs w:val="21"/>
                <w:highlight w:val="none"/>
                <w:lang w:eastAsia="zh-CN"/>
              </w:rPr>
            </w:pPr>
            <w:r>
              <w:rPr>
                <w:rFonts w:hint="eastAsia" w:ascii="宋体" w:hAnsi="宋体" w:eastAsia="宋体" w:cs="宋体"/>
                <w:b/>
                <w:sz w:val="21"/>
                <w:szCs w:val="21"/>
                <w:highlight w:val="none"/>
              </w:rPr>
              <w:t xml:space="preserve">3、诚信要求: </w:t>
            </w:r>
            <w:r>
              <w:rPr>
                <w:rFonts w:hint="eastAsia" w:ascii="宋体" w:hAnsi="宋体" w:eastAsia="宋体" w:cs="宋体"/>
                <w:bCs/>
                <w:sz w:val="21"/>
                <w:szCs w:val="21"/>
                <w:highlight w:val="none"/>
              </w:rPr>
              <w:t>（执行《关于在招标投标活动中对失信被执行人实施联合惩戒的通知》法（2016）285号文件）：投标人在“信用中国”网站（www.creditchina.gov.cn）上，没有被列为失信被执行人的。 企业没有处于被责令停业、被暂停或取消投标资格、财产被接管或冻结状态（投标人出具网页截图加盖企业公章和法定代表人印章证明）。</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4、财务要求</w:t>
            </w:r>
            <w:r>
              <w:rPr>
                <w:rFonts w:hint="eastAsia" w:ascii="宋体" w:hAnsi="宋体" w:eastAsia="宋体" w:cs="宋体"/>
                <w:sz w:val="21"/>
                <w:szCs w:val="21"/>
                <w:highlight w:val="none"/>
              </w:rPr>
              <w:t>：资产负债率近3年平均不高于70%；（新成立的公司按已有年份提供）</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5、业绩要求</w:t>
            </w:r>
            <w:r>
              <w:rPr>
                <w:rFonts w:hint="eastAsia" w:ascii="宋体" w:hAnsi="宋体" w:eastAsia="宋体" w:cs="宋体"/>
                <w:sz w:val="21"/>
                <w:szCs w:val="21"/>
                <w:highlight w:val="none"/>
              </w:rPr>
              <w:t>：</w:t>
            </w:r>
            <w:r>
              <w:rPr>
                <w:rFonts w:hint="eastAsia" w:ascii="宋体" w:hAnsi="宋体" w:cs="宋体"/>
                <w:color w:val="auto"/>
                <w:szCs w:val="21"/>
              </w:rPr>
              <w:t>近三年有类似工程业绩。(应附</w:t>
            </w:r>
            <w:r>
              <w:rPr>
                <w:rFonts w:hint="eastAsia" w:ascii="宋体" w:hAnsi="宋体" w:cs="宋体"/>
                <w:color w:val="auto"/>
                <w:szCs w:val="21"/>
                <w:lang w:eastAsia="zh-CN"/>
              </w:rPr>
              <w:t>中标公示网页截图、</w:t>
            </w:r>
            <w:r>
              <w:rPr>
                <w:rFonts w:hint="eastAsia" w:ascii="宋体" w:hAnsi="宋体" w:cs="宋体"/>
                <w:color w:val="auto"/>
                <w:szCs w:val="21"/>
              </w:rPr>
              <w:t>中标通知书、合同协议书、工程接收证书（工程竣工验收证书）原件不少于一份)</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6、信誉要求</w:t>
            </w:r>
            <w:r>
              <w:rPr>
                <w:rFonts w:hint="eastAsia" w:ascii="宋体" w:hAnsi="宋体" w:eastAsia="宋体" w:cs="宋体"/>
                <w:b/>
                <w:color w:val="auto"/>
                <w:sz w:val="21"/>
                <w:szCs w:val="21"/>
                <w:highlight w:val="none"/>
                <w:lang w:eastAsia="zh-CN"/>
              </w:rPr>
              <w:t>：</w:t>
            </w:r>
            <w:r>
              <w:rPr>
                <w:rFonts w:hint="eastAsia" w:ascii="宋体" w:hAnsi="宋体" w:eastAsia="宋体" w:cs="宋体"/>
                <w:sz w:val="21"/>
                <w:szCs w:val="21"/>
                <w:highlight w:val="none"/>
              </w:rPr>
              <w:t>自</w:t>
            </w:r>
            <w:r>
              <w:rPr>
                <w:rFonts w:hint="eastAsia" w:ascii="宋体" w:hAnsi="宋体" w:eastAsia="宋体" w:cs="宋体"/>
                <w:sz w:val="21"/>
                <w:szCs w:val="21"/>
                <w:highlight w:val="none"/>
                <w:lang w:val="en-US" w:eastAsia="zh-CN"/>
              </w:rPr>
              <w:t>201</w:t>
            </w:r>
            <w:r>
              <w:rPr>
                <w:rFonts w:hint="eastAsia" w:ascii="宋体" w:hAnsi="宋体" w:cs="宋体"/>
                <w:sz w:val="21"/>
                <w:szCs w:val="21"/>
                <w:highlight w:val="none"/>
                <w:lang w:val="en-US" w:eastAsia="zh-CN"/>
              </w:rPr>
              <w:t>6</w:t>
            </w:r>
            <w:r>
              <w:rPr>
                <w:rFonts w:hint="eastAsia" w:ascii="宋体" w:hAnsi="宋体" w:eastAsia="宋体" w:cs="宋体"/>
                <w:sz w:val="21"/>
                <w:szCs w:val="21"/>
                <w:highlight w:val="none"/>
                <w:lang w:val="en-US" w:eastAsia="zh-CN"/>
              </w:rPr>
              <w:t>年1月1日</w:t>
            </w:r>
            <w:r>
              <w:rPr>
                <w:rFonts w:hint="eastAsia" w:ascii="宋体" w:hAnsi="宋体" w:eastAsia="宋体" w:cs="宋体"/>
                <w:sz w:val="21"/>
                <w:szCs w:val="21"/>
                <w:highlight w:val="none"/>
              </w:rPr>
              <w:t>以来主要针对企业以往履约情况不少于一个（业主证明）；</w:t>
            </w:r>
          </w:p>
          <w:p>
            <w:pPr>
              <w:pStyle w:val="26"/>
              <w:widowControl w:val="0"/>
              <w:spacing w:line="380" w:lineRule="exact"/>
              <w:textAlignment w:val="auto"/>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bCs w:val="0"/>
                <w:kern w:val="0"/>
                <w:sz w:val="21"/>
                <w:szCs w:val="21"/>
                <w:highlight w:val="none"/>
                <w:lang w:val="en-US" w:eastAsia="zh-CN" w:bidi="ar-SA"/>
              </w:rPr>
              <w:t>7、无行贿犯罪记录承诺书：</w:t>
            </w:r>
            <w:r>
              <w:rPr>
                <w:rFonts w:hint="eastAsia" w:ascii="宋体" w:hAnsi="宋体" w:eastAsia="宋体" w:cs="宋体"/>
                <w:b w:val="0"/>
                <w:bCs/>
                <w:kern w:val="0"/>
                <w:sz w:val="21"/>
                <w:szCs w:val="21"/>
                <w:highlight w:val="none"/>
                <w:lang w:val="en-US" w:eastAsia="zh-CN" w:bidi="ar-SA"/>
              </w:rPr>
              <w:t>投标人必须提供无行贿犯罪记录承诺书，(出具由“中国裁判文书网”网站查询近三年来法人、法定代表人、法定代表人委托人、项目经理无行贿犯罪记录网页截图加盖企业公章证明)，若有行贿犯罪记录则取消其投标资格；</w:t>
            </w:r>
          </w:p>
          <w:p>
            <w:pPr>
              <w:widowControl w:val="0"/>
              <w:spacing w:line="380" w:lineRule="exact"/>
              <w:textAlignment w:val="auto"/>
              <w:rPr>
                <w:rFonts w:hint="eastAsia" w:ascii="宋体" w:hAnsi="宋体" w:eastAsia="宋体" w:cs="宋体"/>
                <w:b w:val="0"/>
                <w:bCs/>
                <w:color w:val="000000"/>
                <w:sz w:val="21"/>
                <w:szCs w:val="21"/>
                <w:highlight w:val="none"/>
              </w:rPr>
            </w:pPr>
            <w:r>
              <w:rPr>
                <w:rFonts w:hint="eastAsia" w:ascii="宋体" w:hAnsi="宋体" w:cs="宋体"/>
                <w:b/>
                <w:bCs/>
                <w:sz w:val="21"/>
                <w:szCs w:val="21"/>
                <w:highlight w:val="none"/>
                <w:lang w:val="en-US" w:eastAsia="zh-CN"/>
              </w:rPr>
              <w:t>8、</w:t>
            </w:r>
            <w:r>
              <w:rPr>
                <w:rFonts w:hint="eastAsia" w:ascii="宋体" w:hAnsi="宋体" w:eastAsia="宋体" w:cs="宋体"/>
                <w:b/>
                <w:bCs/>
                <w:sz w:val="21"/>
                <w:szCs w:val="21"/>
                <w:highlight w:val="none"/>
              </w:rPr>
              <w:t>其他要求：</w:t>
            </w:r>
            <w:r>
              <w:rPr>
                <w:rFonts w:hint="eastAsia" w:ascii="宋体" w:hAnsi="宋体" w:eastAsia="宋体" w:cs="宋体"/>
                <w:b w:val="0"/>
                <w:bCs/>
                <w:color w:val="000000"/>
                <w:sz w:val="21"/>
                <w:szCs w:val="21"/>
                <w:highlight w:val="none"/>
              </w:rPr>
              <w:t>（以下证件均为原件于开标时交到工作人员处，否则视为自动放弃投标，不再接收其投标文件）。</w:t>
            </w:r>
          </w:p>
          <w:p>
            <w:pPr>
              <w:widowControl w:val="0"/>
              <w:spacing w:line="380" w:lineRule="exact"/>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1、法人持法定代表人身份证明及身份证复印件（复印件须加盖公章）或授权委托人持法人授权委托书及本人身份证（复印件须加盖公章）。</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b w:val="0"/>
                <w:bCs/>
                <w:color w:val="000000"/>
                <w:sz w:val="21"/>
                <w:szCs w:val="21"/>
                <w:highlight w:val="none"/>
                <w:lang w:val="en-US" w:eastAsia="zh-CN"/>
              </w:rPr>
              <w:t>2</w:t>
            </w:r>
            <w:r>
              <w:rPr>
                <w:rFonts w:hint="eastAsia" w:ascii="宋体" w:hAnsi="宋体" w:eastAsia="宋体" w:cs="宋体"/>
                <w:b w:val="0"/>
                <w:bCs/>
                <w:color w:val="000000"/>
                <w:sz w:val="21"/>
                <w:szCs w:val="21"/>
                <w:highlight w:val="none"/>
              </w:rPr>
              <w:t>、出具项目经理、五大员的劳动关系证明。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68"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踏勘现场</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pStyle w:val="10"/>
              <w:widowControl w:val="0"/>
              <w:topLinePunct/>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eq \o\ac(</w:instrText>
            </w:r>
            <w:r>
              <w:rPr>
                <w:rFonts w:hint="eastAsia" w:ascii="宋体" w:hAnsi="宋体" w:eastAsia="宋体" w:cs="宋体"/>
                <w:position w:val="-4"/>
                <w:sz w:val="31"/>
                <w:szCs w:val="21"/>
                <w:highlight w:val="none"/>
              </w:rPr>
              <w:instrText xml:space="preserve">□</w:instrText>
            </w:r>
            <w:r>
              <w:rPr>
                <w:rFonts w:hint="eastAsia" w:ascii="宋体" w:hAnsi="宋体" w:eastAsia="宋体" w:cs="宋体"/>
                <w:position w:val="0"/>
                <w:sz w:val="21"/>
                <w:szCs w:val="21"/>
                <w:highlight w:val="none"/>
              </w:rPr>
              <w:instrText xml:space="preserve">,√)</w:instrTex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t>不组织，自行踏勘。</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□组织，踏勘时间：</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踏勘集中地点：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68"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1.10.1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投标预备会</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pStyle w:val="10"/>
              <w:widowControl w:val="0"/>
              <w:topLinePunct/>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eq \o\ac(</w:instrText>
            </w:r>
            <w:r>
              <w:rPr>
                <w:rFonts w:hint="eastAsia" w:ascii="宋体" w:hAnsi="宋体" w:eastAsia="宋体" w:cs="宋体"/>
                <w:position w:val="-4"/>
                <w:sz w:val="31"/>
                <w:szCs w:val="21"/>
                <w:highlight w:val="none"/>
              </w:rPr>
              <w:instrText xml:space="preserve">□</w:instrText>
            </w:r>
            <w:r>
              <w:rPr>
                <w:rFonts w:hint="eastAsia" w:ascii="宋体" w:hAnsi="宋体" w:eastAsia="宋体" w:cs="宋体"/>
                <w:position w:val="0"/>
                <w:sz w:val="21"/>
                <w:szCs w:val="21"/>
                <w:highlight w:val="none"/>
              </w:rPr>
              <w:instrText xml:space="preserve">,√)</w:instrTex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t>不召开</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□召开，召开时间：</w:t>
            </w:r>
          </w:p>
          <w:p>
            <w:pPr>
              <w:pStyle w:val="10"/>
              <w:widowControl w:val="0"/>
              <w:topLinePunct/>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召开地点：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20" w:hRule="exac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1.10.2</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投标人提出问题的截止时间</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递交投标文件截止时间10天前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7" w:hRule="exac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1.10.3</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招标人书面澄清的时间</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自收到异议之日起3日内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偏离</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pStyle w:val="10"/>
              <w:widowControl w:val="0"/>
              <w:topLinePunct/>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eq \o\ac(</w:instrText>
            </w:r>
            <w:r>
              <w:rPr>
                <w:rFonts w:hint="eastAsia" w:ascii="宋体" w:hAnsi="宋体" w:eastAsia="宋体" w:cs="宋体"/>
                <w:position w:val="-4"/>
                <w:sz w:val="31"/>
                <w:szCs w:val="21"/>
                <w:highlight w:val="none"/>
              </w:rPr>
              <w:instrText xml:space="preserve">□</w:instrText>
            </w:r>
            <w:r>
              <w:rPr>
                <w:rFonts w:hint="eastAsia" w:ascii="宋体" w:hAnsi="宋体" w:eastAsia="宋体" w:cs="宋体"/>
                <w:position w:val="0"/>
                <w:sz w:val="21"/>
                <w:szCs w:val="21"/>
                <w:highlight w:val="none"/>
              </w:rPr>
              <w:instrText xml:space="preserve">,√)</w:instrTex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t>不允许</w:t>
            </w:r>
          </w:p>
          <w:p>
            <w:pPr>
              <w:pStyle w:val="10"/>
              <w:widowControl w:val="0"/>
              <w:topLinePunct/>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□允许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构成招标文件的其他材料</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cs="宋体"/>
                <w:color w:val="000000"/>
                <w:sz w:val="21"/>
                <w:szCs w:val="21"/>
                <w:highlight w:val="none"/>
                <w:lang w:eastAsia="zh-CN"/>
              </w:rPr>
              <w:t>工程量清单、图纸</w:t>
            </w:r>
            <w:r>
              <w:rPr>
                <w:rFonts w:hint="eastAsia" w:ascii="宋体" w:hAnsi="宋体" w:eastAsia="宋体" w:cs="宋体"/>
                <w:color w:val="000000"/>
                <w:sz w:val="21"/>
                <w:szCs w:val="21"/>
                <w:highlight w:val="none"/>
              </w:rPr>
              <w:t>以及招标人在招标期间发出的有编号的补遗书和其它有效正式函件。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投标人要求澄清招标文件的截止时间</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同投标人提出问题的截止时间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5"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2.2.2</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投标截止时间</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b/>
                <w:bCs/>
                <w:color w:val="FF0000"/>
                <w:sz w:val="21"/>
                <w:szCs w:val="21"/>
                <w:highlight w:val="none"/>
                <w:u w:val="single"/>
              </w:rPr>
              <w:t xml:space="preserve"> 201</w:t>
            </w:r>
            <w:r>
              <w:rPr>
                <w:rFonts w:hint="eastAsia" w:ascii="宋体" w:hAnsi="宋体" w:cs="宋体"/>
                <w:b/>
                <w:bCs/>
                <w:color w:val="FF0000"/>
                <w:sz w:val="21"/>
                <w:szCs w:val="21"/>
                <w:highlight w:val="none"/>
                <w:u w:val="single"/>
                <w:lang w:val="en-US" w:eastAsia="zh-CN"/>
              </w:rPr>
              <w:t>9</w:t>
            </w:r>
            <w:r>
              <w:rPr>
                <w:rFonts w:hint="eastAsia" w:ascii="宋体" w:hAnsi="宋体" w:eastAsia="宋体" w:cs="宋体"/>
                <w:b/>
                <w:bCs/>
                <w:i w:val="0"/>
                <w:iCs w:val="0"/>
                <w:color w:val="FF0000"/>
                <w:sz w:val="21"/>
                <w:szCs w:val="21"/>
                <w:highlight w:val="none"/>
              </w:rPr>
              <w:t>年</w:t>
            </w:r>
            <w:r>
              <w:rPr>
                <w:rFonts w:hint="eastAsia" w:ascii="宋体" w:hAnsi="宋体" w:eastAsia="宋体" w:cs="宋体"/>
                <w:b/>
                <w:bCs/>
                <w:i w:val="0"/>
                <w:iCs w:val="0"/>
                <w:color w:val="FF0000"/>
                <w:sz w:val="21"/>
                <w:szCs w:val="21"/>
                <w:highlight w:val="none"/>
                <w:u w:val="single"/>
                <w:lang w:val="en-US" w:eastAsia="zh-CN"/>
              </w:rPr>
              <w:t xml:space="preserve"> </w:t>
            </w:r>
            <w:r>
              <w:rPr>
                <w:rFonts w:hint="eastAsia" w:ascii="宋体" w:hAnsi="宋体" w:cs="宋体"/>
                <w:b/>
                <w:bCs/>
                <w:i w:val="0"/>
                <w:iCs w:val="0"/>
                <w:color w:val="FF0000"/>
                <w:sz w:val="21"/>
                <w:szCs w:val="21"/>
                <w:highlight w:val="none"/>
                <w:u w:val="single"/>
                <w:lang w:val="en-US" w:eastAsia="zh-CN"/>
              </w:rPr>
              <w:t xml:space="preserve">   </w:t>
            </w:r>
            <w:r>
              <w:rPr>
                <w:rFonts w:hint="eastAsia" w:ascii="宋体" w:hAnsi="宋体" w:eastAsia="宋体" w:cs="宋体"/>
                <w:b/>
                <w:bCs/>
                <w:i w:val="0"/>
                <w:iCs w:val="0"/>
                <w:color w:val="FF0000"/>
                <w:sz w:val="21"/>
                <w:szCs w:val="21"/>
                <w:highlight w:val="none"/>
                <w:u w:val="single"/>
                <w:lang w:val="en-US" w:eastAsia="zh-CN"/>
              </w:rPr>
              <w:t xml:space="preserve"> </w:t>
            </w:r>
            <w:r>
              <w:rPr>
                <w:rFonts w:hint="eastAsia" w:ascii="宋体" w:hAnsi="宋体" w:eastAsia="宋体" w:cs="宋体"/>
                <w:b/>
                <w:bCs/>
                <w:i w:val="0"/>
                <w:iCs w:val="0"/>
                <w:color w:val="FF0000"/>
                <w:sz w:val="21"/>
                <w:szCs w:val="21"/>
                <w:highlight w:val="none"/>
              </w:rPr>
              <w:t>月</w:t>
            </w:r>
            <w:r>
              <w:rPr>
                <w:rFonts w:hint="eastAsia" w:ascii="宋体" w:hAnsi="宋体" w:eastAsia="宋体" w:cs="宋体"/>
                <w:b/>
                <w:bCs/>
                <w:i w:val="0"/>
                <w:iCs w:val="0"/>
                <w:color w:val="FF0000"/>
                <w:sz w:val="21"/>
                <w:szCs w:val="21"/>
                <w:highlight w:val="none"/>
                <w:u w:val="single"/>
                <w:lang w:val="en-US" w:eastAsia="zh-CN"/>
              </w:rPr>
              <w:t xml:space="preserve"> </w:t>
            </w:r>
            <w:r>
              <w:rPr>
                <w:rFonts w:hint="eastAsia" w:ascii="宋体" w:hAnsi="宋体" w:cs="宋体"/>
                <w:b/>
                <w:bCs/>
                <w:i w:val="0"/>
                <w:iCs w:val="0"/>
                <w:color w:val="FF0000"/>
                <w:sz w:val="21"/>
                <w:szCs w:val="21"/>
                <w:highlight w:val="none"/>
                <w:u w:val="single"/>
                <w:lang w:val="en-US" w:eastAsia="zh-CN"/>
              </w:rPr>
              <w:t xml:space="preserve">   </w:t>
            </w:r>
            <w:r>
              <w:rPr>
                <w:rFonts w:hint="eastAsia" w:ascii="宋体" w:hAnsi="宋体" w:eastAsia="宋体" w:cs="宋体"/>
                <w:b/>
                <w:bCs/>
                <w:i w:val="0"/>
                <w:iCs w:val="0"/>
                <w:color w:val="FF0000"/>
                <w:sz w:val="21"/>
                <w:szCs w:val="21"/>
                <w:highlight w:val="none"/>
                <w:u w:val="single"/>
                <w:lang w:val="en-US" w:eastAsia="zh-CN"/>
              </w:rPr>
              <w:t xml:space="preserve"> </w:t>
            </w:r>
            <w:r>
              <w:rPr>
                <w:rFonts w:hint="eastAsia" w:ascii="宋体" w:hAnsi="宋体" w:eastAsia="宋体" w:cs="宋体"/>
                <w:b/>
                <w:bCs/>
                <w:color w:val="FF0000"/>
                <w:sz w:val="21"/>
                <w:szCs w:val="21"/>
                <w:highlight w:val="none"/>
              </w:rPr>
              <w:t>日</w:t>
            </w:r>
            <w:r>
              <w:rPr>
                <w:rFonts w:hint="eastAsia" w:ascii="宋体" w:hAnsi="宋体" w:eastAsia="宋体" w:cs="宋体"/>
                <w:b/>
                <w:bCs/>
                <w:color w:val="FF0000"/>
                <w:sz w:val="21"/>
                <w:szCs w:val="21"/>
                <w:highlight w:val="none"/>
                <w:u w:val="single"/>
              </w:rPr>
              <w:t xml:space="preserve"> </w:t>
            </w:r>
            <w:r>
              <w:rPr>
                <w:rFonts w:hint="eastAsia" w:ascii="宋体" w:hAnsi="宋体" w:eastAsia="宋体" w:cs="宋体"/>
                <w:b/>
                <w:bCs/>
                <w:color w:val="FF0000"/>
                <w:sz w:val="21"/>
                <w:szCs w:val="21"/>
                <w:highlight w:val="none"/>
                <w:u w:val="single"/>
                <w:lang w:val="en-US" w:eastAsia="zh-CN"/>
              </w:rPr>
              <w:t>9</w:t>
            </w:r>
            <w:r>
              <w:rPr>
                <w:rFonts w:hint="eastAsia" w:ascii="宋体" w:hAnsi="宋体" w:eastAsia="宋体" w:cs="宋体"/>
                <w:b/>
                <w:bCs/>
                <w:color w:val="FF0000"/>
                <w:sz w:val="21"/>
                <w:szCs w:val="21"/>
                <w:highlight w:val="none"/>
                <w:u w:val="single"/>
              </w:rPr>
              <w:t xml:space="preserve"> </w:t>
            </w:r>
            <w:r>
              <w:rPr>
                <w:rFonts w:hint="eastAsia" w:ascii="宋体" w:hAnsi="宋体" w:eastAsia="宋体" w:cs="宋体"/>
                <w:b/>
                <w:bCs/>
                <w:color w:val="FF0000"/>
                <w:sz w:val="21"/>
                <w:szCs w:val="21"/>
                <w:highlight w:val="none"/>
              </w:rPr>
              <w:t>时</w:t>
            </w:r>
            <w:r>
              <w:rPr>
                <w:rFonts w:hint="eastAsia" w:ascii="宋体" w:hAnsi="宋体" w:eastAsia="宋体" w:cs="宋体"/>
                <w:b/>
                <w:bCs/>
                <w:color w:val="FF0000"/>
                <w:sz w:val="21"/>
                <w:szCs w:val="21"/>
                <w:highlight w:val="none"/>
                <w:u w:val="single"/>
              </w:rPr>
              <w:t xml:space="preserve"> </w:t>
            </w:r>
            <w:r>
              <w:rPr>
                <w:rFonts w:hint="eastAsia" w:ascii="宋体" w:hAnsi="宋体" w:eastAsia="宋体" w:cs="宋体"/>
                <w:b/>
                <w:bCs/>
                <w:color w:val="FF0000"/>
                <w:sz w:val="21"/>
                <w:szCs w:val="21"/>
                <w:highlight w:val="none"/>
                <w:u w:val="single"/>
                <w:lang w:val="en-US" w:eastAsia="zh-CN"/>
              </w:rPr>
              <w:t xml:space="preserve">00 </w:t>
            </w:r>
            <w:r>
              <w:rPr>
                <w:rFonts w:hint="eastAsia" w:ascii="宋体" w:hAnsi="宋体" w:eastAsia="宋体" w:cs="宋体"/>
                <w:b/>
                <w:bCs/>
                <w:color w:val="FF0000"/>
                <w:sz w:val="21"/>
                <w:szCs w:val="21"/>
                <w:highlight w:val="none"/>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2.2.3</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投标人确认收到招标文件澄清的时间</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同招标人书面澄清的时间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2.3.2</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投标人确认收到招标文件修改的时间</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同招标人书面澄清的时间，投标截止时间15日前，不足15日的，招标人应当顺延提交投标文件的截止时间。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构成投标文件的其他材料</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按招标文件要求。</w:t>
            </w:r>
          </w:p>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注：</w:t>
            </w:r>
            <w:r>
              <w:rPr>
                <w:rFonts w:hint="eastAsia" w:ascii="宋体" w:hAnsi="宋体" w:cs="宋体"/>
                <w:b/>
              </w:rPr>
              <w:t>资格审查资料所需证件均为复印件，开标时提供相应原件并列明清单，供评委评审。（资质证书提供原件或复印件加盖公章，可通过“全国建筑市场监管与诚信信息发布平台”、“河南省建筑市场监管信息系统暨一体化工作平台”以及资质证书二维码标识查阅企业相关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2"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投标有效期</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60</w:t>
            </w:r>
            <w:r>
              <w:rPr>
                <w:rFonts w:hint="eastAsia" w:ascii="宋体" w:hAnsi="宋体" w:eastAsia="宋体" w:cs="宋体"/>
                <w:sz w:val="21"/>
                <w:szCs w:val="21"/>
                <w:highlight w:val="none"/>
              </w:rPr>
              <w:t>日历天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910"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3.4.1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投标保证金</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投标保证金的形式：</w:t>
            </w:r>
            <w:r>
              <w:rPr>
                <w:rFonts w:hint="eastAsia" w:ascii="宋体" w:hAnsi="宋体" w:eastAsia="宋体" w:cs="宋体"/>
                <w:b/>
                <w:bCs/>
                <w:sz w:val="21"/>
                <w:szCs w:val="21"/>
                <w:highlight w:val="none"/>
              </w:rPr>
              <w:t>网上在线支付</w:t>
            </w:r>
          </w:p>
          <w:p>
            <w:pPr>
              <w:widowControl w:val="0"/>
              <w:spacing w:line="380" w:lineRule="exact"/>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网上缴纳投标保证金：通过7家商业银行：工商银行、农业银行、中国银行、建设银行、交通银行、招商银行、中信银行的企业网银缴纳投标保证金(企业网银支付投标保证金的前提条件是：企业账户开通网上银行功能，以下4家有特殊要求：</w:t>
            </w:r>
          </w:p>
          <w:p>
            <w:pPr>
              <w:widowControl w:val="0"/>
              <w:spacing w:line="380" w:lineRule="exact"/>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中国农业银行：智博版网银（必须用智博版网银，智锐版网银不能进行网上支付）</w:t>
            </w:r>
          </w:p>
          <w:p>
            <w:pPr>
              <w:widowControl w:val="0"/>
              <w:spacing w:line="380" w:lineRule="exact"/>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中国建设银行：企业高级版网银（必须用高级版网银）</w:t>
            </w:r>
          </w:p>
          <w:p>
            <w:pPr>
              <w:widowControl w:val="0"/>
              <w:spacing w:line="380" w:lineRule="exact"/>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中国交通银行：管理员在网银中设置操作员权限</w:t>
            </w:r>
          </w:p>
          <w:p>
            <w:pPr>
              <w:widowControl w:val="0"/>
              <w:spacing w:line="380" w:lineRule="exact"/>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中国招商银行：管理员在招行U-Bank软件中设置（用网银前确认先客户端已安装）)，手续费15元/笔。</w:t>
            </w:r>
          </w:p>
          <w:p>
            <w:pPr>
              <w:widowControl w:val="0"/>
              <w:spacing w:line="380" w:lineRule="exact"/>
              <w:jc w:val="lef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企业网银缴纳咨询电话：客服电话：</w:t>
            </w:r>
            <w:r>
              <w:rPr>
                <w:rFonts w:hint="eastAsia" w:ascii="宋体" w:hAnsi="宋体" w:eastAsia="宋体" w:cs="宋体"/>
                <w:sz w:val="21"/>
                <w:szCs w:val="21"/>
                <w:highlight w:val="none"/>
                <w:lang w:val="en-US" w:eastAsia="zh-CN"/>
              </w:rPr>
              <w:t>4008609888</w:t>
            </w:r>
          </w:p>
          <w:p>
            <w:pPr>
              <w:widowControl w:val="0"/>
              <w:spacing w:line="380" w:lineRule="exact"/>
              <w:jc w:val="left"/>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投标保证金的金额：</w:t>
            </w:r>
            <w:r>
              <w:rPr>
                <w:rFonts w:hint="eastAsia" w:ascii="宋体" w:hAnsi="宋体" w:eastAsia="宋体" w:cs="宋体"/>
                <w:b/>
                <w:bCs/>
                <w:sz w:val="21"/>
                <w:szCs w:val="21"/>
                <w:highlight w:val="none"/>
                <w:u w:val="single"/>
                <w:lang w:val="en-US" w:eastAsia="zh-CN"/>
              </w:rPr>
              <w:t>人民币叁万壹仟元整（</w:t>
            </w:r>
            <w:r>
              <w:rPr>
                <w:rFonts w:hint="eastAsia" w:ascii="宋体" w:hAnsi="宋体" w:cs="宋体"/>
                <w:b/>
                <w:bCs/>
                <w:sz w:val="21"/>
                <w:szCs w:val="21"/>
                <w:highlight w:val="none"/>
                <w:u w:val="single"/>
                <w:lang w:val="en-US" w:eastAsia="zh-CN"/>
              </w:rPr>
              <w:t>310</w:t>
            </w:r>
            <w:r>
              <w:rPr>
                <w:rFonts w:hint="eastAsia" w:ascii="宋体" w:hAnsi="宋体" w:eastAsia="宋体" w:cs="宋体"/>
                <w:b/>
                <w:bCs/>
                <w:sz w:val="21"/>
                <w:szCs w:val="21"/>
                <w:highlight w:val="none"/>
                <w:u w:val="single"/>
                <w:lang w:val="en-US" w:eastAsia="zh-CN"/>
              </w:rPr>
              <w:t>00.00元）</w:t>
            </w:r>
            <w:r>
              <w:rPr>
                <w:rFonts w:hint="eastAsia" w:ascii="宋体" w:hAnsi="宋体" w:eastAsia="宋体" w:cs="宋体"/>
                <w:b/>
                <w:bCs/>
                <w:sz w:val="21"/>
                <w:szCs w:val="21"/>
                <w:highlight w:val="none"/>
                <w:u w:val="none"/>
                <w:lang w:val="en-US" w:eastAsia="zh-CN"/>
              </w:rPr>
              <w:t xml:space="preserve">     </w:t>
            </w:r>
            <w:r>
              <w:rPr>
                <w:rFonts w:hint="eastAsia" w:ascii="宋体" w:hAnsi="宋体" w:eastAsia="宋体" w:cs="宋体"/>
                <w:color w:val="000000"/>
                <w:sz w:val="21"/>
                <w:szCs w:val="21"/>
                <w:highlight w:val="none"/>
              </w:rPr>
              <w:t>投标人通过温县招标投标交易管理系统使用已备案的账户进行自助网上缴纳。</w:t>
            </w:r>
          </w:p>
          <w:p>
            <w:pPr>
              <w:widowControl w:val="0"/>
              <w:spacing w:line="380" w:lineRule="exact"/>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递交时间：投标人必须于</w:t>
            </w:r>
            <w:r>
              <w:rPr>
                <w:rFonts w:hint="eastAsia" w:ascii="宋体" w:hAnsi="宋体" w:eastAsia="宋体" w:cs="宋体"/>
                <w:b/>
                <w:bCs/>
                <w:color w:val="FF0000"/>
                <w:sz w:val="21"/>
                <w:szCs w:val="21"/>
                <w:highlight w:val="none"/>
                <w:u w:val="single"/>
              </w:rPr>
              <w:t>201</w:t>
            </w:r>
            <w:r>
              <w:rPr>
                <w:rFonts w:hint="eastAsia" w:ascii="宋体" w:hAnsi="宋体" w:cs="宋体"/>
                <w:b/>
                <w:bCs/>
                <w:color w:val="FF0000"/>
                <w:sz w:val="21"/>
                <w:szCs w:val="21"/>
                <w:highlight w:val="none"/>
                <w:u w:val="single"/>
                <w:lang w:val="en-US" w:eastAsia="zh-CN"/>
              </w:rPr>
              <w:t>9</w:t>
            </w:r>
            <w:r>
              <w:rPr>
                <w:rFonts w:hint="eastAsia" w:ascii="宋体" w:hAnsi="宋体" w:eastAsia="宋体" w:cs="宋体"/>
                <w:b/>
                <w:bCs/>
                <w:color w:val="FF0000"/>
                <w:sz w:val="21"/>
                <w:szCs w:val="21"/>
                <w:highlight w:val="none"/>
              </w:rPr>
              <w:t>年</w:t>
            </w:r>
            <w:r>
              <w:rPr>
                <w:rFonts w:hint="eastAsia" w:ascii="宋体" w:hAnsi="宋体" w:eastAsia="宋体" w:cs="宋体"/>
                <w:b/>
                <w:bCs/>
                <w:color w:val="FF0000"/>
                <w:sz w:val="21"/>
                <w:szCs w:val="21"/>
                <w:highlight w:val="none"/>
                <w:u w:val="single"/>
              </w:rPr>
              <w:t xml:space="preserve"> </w:t>
            </w:r>
            <w:r>
              <w:rPr>
                <w:rFonts w:hint="eastAsia" w:ascii="宋体" w:hAnsi="宋体" w:cs="宋体"/>
                <w:b/>
                <w:bCs/>
                <w:color w:val="FF0000"/>
                <w:sz w:val="21"/>
                <w:szCs w:val="21"/>
                <w:highlight w:val="none"/>
                <w:u w:val="single"/>
                <w:lang w:val="en-US" w:eastAsia="zh-CN"/>
              </w:rPr>
              <w:t xml:space="preserve">   </w:t>
            </w:r>
            <w:r>
              <w:rPr>
                <w:rFonts w:hint="eastAsia" w:ascii="宋体" w:hAnsi="宋体" w:eastAsia="宋体" w:cs="宋体"/>
                <w:b/>
                <w:bCs/>
                <w:color w:val="FF0000"/>
                <w:sz w:val="21"/>
                <w:szCs w:val="21"/>
                <w:highlight w:val="none"/>
                <w:u w:val="single"/>
                <w:lang w:val="en-US" w:eastAsia="zh-CN"/>
              </w:rPr>
              <w:t xml:space="preserve"> </w:t>
            </w:r>
            <w:r>
              <w:rPr>
                <w:rFonts w:hint="eastAsia" w:ascii="宋体" w:hAnsi="宋体" w:eastAsia="宋体" w:cs="宋体"/>
                <w:b/>
                <w:bCs/>
                <w:color w:val="FF0000"/>
                <w:sz w:val="21"/>
                <w:szCs w:val="21"/>
                <w:highlight w:val="none"/>
              </w:rPr>
              <w:t>月</w:t>
            </w:r>
            <w:r>
              <w:rPr>
                <w:rFonts w:hint="eastAsia" w:ascii="宋体" w:hAnsi="宋体" w:eastAsia="宋体" w:cs="宋体"/>
                <w:b/>
                <w:bCs/>
                <w:color w:val="FF0000"/>
                <w:sz w:val="21"/>
                <w:szCs w:val="21"/>
                <w:highlight w:val="none"/>
                <w:u w:val="single"/>
              </w:rPr>
              <w:t xml:space="preserve"> </w:t>
            </w:r>
            <w:r>
              <w:rPr>
                <w:rFonts w:hint="eastAsia" w:ascii="宋体" w:hAnsi="宋体" w:cs="宋体"/>
                <w:b/>
                <w:bCs/>
                <w:color w:val="FF0000"/>
                <w:sz w:val="21"/>
                <w:szCs w:val="21"/>
                <w:highlight w:val="none"/>
                <w:u w:val="single"/>
                <w:lang w:val="en-US" w:eastAsia="zh-CN"/>
              </w:rPr>
              <w:t xml:space="preserve">   </w:t>
            </w:r>
            <w:r>
              <w:rPr>
                <w:rFonts w:hint="eastAsia" w:ascii="宋体" w:hAnsi="宋体" w:eastAsia="宋体" w:cs="宋体"/>
                <w:b/>
                <w:bCs/>
                <w:color w:val="FF0000"/>
                <w:sz w:val="21"/>
                <w:szCs w:val="21"/>
                <w:highlight w:val="none"/>
              </w:rPr>
              <w:t>日16时前</w:t>
            </w:r>
            <w:r>
              <w:rPr>
                <w:rFonts w:hint="eastAsia" w:ascii="宋体" w:hAnsi="宋体" w:eastAsia="宋体" w:cs="宋体"/>
                <w:color w:val="000000"/>
                <w:sz w:val="21"/>
                <w:szCs w:val="21"/>
                <w:highlight w:val="none"/>
              </w:rPr>
              <w:t>，交至指定账户，</w:t>
            </w:r>
            <w:r>
              <w:rPr>
                <w:rFonts w:hint="eastAsia" w:ascii="宋体" w:hAnsi="宋体" w:eastAsia="宋体" w:cs="宋体"/>
                <w:sz w:val="21"/>
                <w:szCs w:val="21"/>
                <w:highlight w:val="none"/>
                <w:lang w:val="zh-CN"/>
              </w:rPr>
              <w:t>以温县公共资源交易中心电子招投标交易管理系统确认为准。</w:t>
            </w:r>
          </w:p>
          <w:p>
            <w:pPr>
              <w:widowControl w:val="0"/>
              <w:spacing w:line="380" w:lineRule="exact"/>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未按本规定和要求提交投标保证金的，按无效投标处理。</w:t>
            </w:r>
          </w:p>
          <w:p>
            <w:pPr>
              <w:widowControl w:val="0"/>
              <w:spacing w:line="380" w:lineRule="exact"/>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如提交投标保证金的投标人少于三家的，招标人将依法重新组织招标。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72" w:hRule="exac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3.5.2</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近年财务状况的年份要求</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近三年201</w:t>
            </w:r>
            <w:r>
              <w:rPr>
                <w:rFonts w:hint="eastAsia" w:ascii="宋体" w:hAnsi="宋体" w:eastAsia="宋体" w:cs="宋体"/>
                <w:color w:val="000000"/>
                <w:sz w:val="21"/>
                <w:szCs w:val="21"/>
                <w:highlight w:val="none"/>
                <w:lang w:val="en-US" w:eastAsia="zh-CN"/>
              </w:rPr>
              <w:t>5</w:t>
            </w:r>
            <w:r>
              <w:rPr>
                <w:rFonts w:hint="eastAsia" w:ascii="宋体" w:hAnsi="宋体" w:eastAsia="宋体" w:cs="宋体"/>
                <w:color w:val="000000"/>
                <w:sz w:val="21"/>
                <w:szCs w:val="21"/>
                <w:highlight w:val="none"/>
              </w:rPr>
              <w:t>年、201</w:t>
            </w: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rPr>
              <w:t>年、201</w:t>
            </w:r>
            <w:r>
              <w:rPr>
                <w:rFonts w:hint="eastAsia" w:ascii="宋体" w:hAnsi="宋体" w:eastAsia="宋体" w:cs="宋体"/>
                <w:color w:val="000000"/>
                <w:sz w:val="21"/>
                <w:szCs w:val="21"/>
                <w:highlight w:val="none"/>
                <w:lang w:val="en-US" w:eastAsia="zh-CN"/>
              </w:rPr>
              <w:t>7</w:t>
            </w:r>
            <w:r>
              <w:rPr>
                <w:rFonts w:hint="eastAsia" w:ascii="宋体" w:hAnsi="宋体" w:eastAsia="宋体" w:cs="宋体"/>
                <w:color w:val="000000"/>
                <w:sz w:val="21"/>
                <w:szCs w:val="21"/>
                <w:highlight w:val="none"/>
              </w:rPr>
              <w:t>年</w:t>
            </w:r>
            <w:r>
              <w:rPr>
                <w:rFonts w:hint="eastAsia" w:ascii="宋体" w:hAnsi="宋体" w:eastAsia="宋体" w:cs="宋体"/>
                <w:color w:val="000000"/>
                <w:sz w:val="21"/>
                <w:szCs w:val="21"/>
                <w:highlight w:val="none"/>
                <w:u w:val="single"/>
              </w:rPr>
              <w:t>（新成立企业不足3年的按已有年份计算）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37" w:hRule="exac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3.5.3</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color w:val="auto"/>
                <w:sz w:val="21"/>
                <w:szCs w:val="21"/>
                <w:highlight w:val="none"/>
              </w:rPr>
              <w:t>近年完成的类似项目的年份要求</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近</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3</w:t>
            </w:r>
            <w:r>
              <w:rPr>
                <w:rFonts w:hint="eastAsia" w:ascii="宋体" w:hAnsi="宋体" w:eastAsia="宋体" w:cs="宋体"/>
                <w:color w:val="000000"/>
                <w:sz w:val="21"/>
                <w:szCs w:val="21"/>
                <w:highlight w:val="none"/>
              </w:rPr>
              <w:t>年，指</w:t>
            </w:r>
            <w:r>
              <w:rPr>
                <w:rFonts w:hint="eastAsia" w:ascii="宋体" w:hAnsi="宋体" w:eastAsia="宋体" w:cs="宋体"/>
                <w:color w:val="000000"/>
                <w:sz w:val="21"/>
                <w:szCs w:val="21"/>
                <w:highlight w:val="none"/>
                <w:u w:val="single"/>
              </w:rPr>
              <w:t xml:space="preserve"> 201</w:t>
            </w:r>
            <w:r>
              <w:rPr>
                <w:rFonts w:hint="eastAsia" w:ascii="宋体" w:hAnsi="宋体" w:cs="宋体"/>
                <w:color w:val="000000"/>
                <w:sz w:val="21"/>
                <w:szCs w:val="21"/>
                <w:highlight w:val="none"/>
                <w:u w:val="single"/>
                <w:lang w:val="en-US" w:eastAsia="zh-CN"/>
              </w:rPr>
              <w:t>6</w:t>
            </w:r>
            <w:r>
              <w:rPr>
                <w:rFonts w:hint="eastAsia" w:ascii="宋体" w:hAnsi="宋体" w:eastAsia="宋体" w:cs="宋体"/>
                <w:color w:val="000000"/>
                <w:sz w:val="21"/>
                <w:szCs w:val="21"/>
                <w:highlight w:val="none"/>
              </w:rPr>
              <w:t>年</w:t>
            </w:r>
            <w:r>
              <w:rPr>
                <w:rFonts w:hint="eastAsia" w:ascii="宋体" w:hAnsi="宋体" w:eastAsia="宋体" w:cs="宋体"/>
                <w:color w:val="000000"/>
                <w:sz w:val="21"/>
                <w:szCs w:val="21"/>
                <w:highlight w:val="none"/>
                <w:u w:val="single"/>
                <w:lang w:val="en-US" w:eastAsia="zh-CN"/>
              </w:rPr>
              <w:t>1</w:t>
            </w:r>
            <w:r>
              <w:rPr>
                <w:rFonts w:hint="eastAsia" w:ascii="宋体" w:hAnsi="宋体" w:eastAsia="宋体" w:cs="宋体"/>
                <w:color w:val="000000"/>
                <w:sz w:val="21"/>
                <w:szCs w:val="21"/>
                <w:highlight w:val="none"/>
              </w:rPr>
              <w:t>月</w:t>
            </w:r>
            <w:r>
              <w:rPr>
                <w:rFonts w:hint="eastAsia" w:ascii="宋体" w:hAnsi="宋体" w:eastAsia="宋体" w:cs="宋体"/>
                <w:color w:val="000000"/>
                <w:sz w:val="21"/>
                <w:szCs w:val="21"/>
                <w:highlight w:val="none"/>
                <w:u w:val="single"/>
              </w:rPr>
              <w:t xml:space="preserve"> 1 </w:t>
            </w:r>
            <w:r>
              <w:rPr>
                <w:rFonts w:hint="eastAsia" w:ascii="宋体" w:hAnsi="宋体" w:eastAsia="宋体" w:cs="宋体"/>
                <w:color w:val="000000"/>
                <w:sz w:val="21"/>
                <w:szCs w:val="21"/>
                <w:highlight w:val="none"/>
              </w:rPr>
              <w:t>日起至今。</w:t>
            </w:r>
            <w:r>
              <w:rPr>
                <w:rFonts w:hint="eastAsia" w:ascii="宋体" w:hAnsi="宋体" w:eastAsia="宋体" w:cs="宋体"/>
                <w:color w:val="000000"/>
                <w:sz w:val="21"/>
                <w:szCs w:val="21"/>
                <w:highlight w:val="none"/>
                <w:u w:val="single"/>
              </w:rPr>
              <w:t>（新成立企业不足3年的按已有年份计算）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20" w:hRule="exac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3.6.3</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签字或盖章要求</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签字为法定代表人或法定代表人委托人签字，盖章为法人公章。签字不能用签字章代替。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35" w:hRule="exac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3.6.4</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投标文件份数</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正本壹份，副本</w:t>
            </w:r>
            <w:r>
              <w:rPr>
                <w:rFonts w:hint="eastAsia" w:ascii="宋体" w:hAnsi="宋体" w:cs="宋体"/>
                <w:b/>
                <w:sz w:val="21"/>
                <w:szCs w:val="21"/>
                <w:highlight w:val="none"/>
                <w:lang w:eastAsia="zh-CN"/>
              </w:rPr>
              <w:t>柒</w:t>
            </w:r>
            <w:r>
              <w:rPr>
                <w:rFonts w:hint="eastAsia" w:ascii="宋体" w:hAnsi="宋体" w:eastAsia="宋体" w:cs="宋体"/>
                <w:b/>
                <w:sz w:val="21"/>
                <w:szCs w:val="21"/>
                <w:highlight w:val="none"/>
              </w:rPr>
              <w:t>份，电子</w:t>
            </w:r>
            <w:r>
              <w:rPr>
                <w:rFonts w:hint="eastAsia" w:ascii="宋体" w:hAnsi="宋体" w:cs="宋体"/>
                <w:b/>
                <w:sz w:val="21"/>
                <w:szCs w:val="21"/>
                <w:highlight w:val="none"/>
                <w:lang w:eastAsia="zh-CN"/>
              </w:rPr>
              <w:t>文档</w:t>
            </w:r>
            <w:r>
              <w:rPr>
                <w:rFonts w:hint="eastAsia" w:ascii="宋体" w:hAnsi="宋体" w:eastAsia="宋体" w:cs="宋体"/>
                <w:b/>
                <w:sz w:val="21"/>
                <w:szCs w:val="21"/>
                <w:highlight w:val="none"/>
              </w:rPr>
              <w:t>一份（投标人应保证电子文档内容完全可读且与投标人打印产生的投标文件正本内容一致）。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38" w:hRule="exac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3.6.5</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装订要求</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投标文件的正本与副本应采用左侧胶粘方式装订，不得采用活页夹等可随时拆换的方式装订。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4.1.2</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封套上应载明的信息</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right"/>
              <w:rPr>
                <w:rFonts w:hint="eastAsia" w:ascii="宋体" w:hAnsi="宋体" w:eastAsia="宋体" w:cs="宋体"/>
                <w:szCs w:val="21"/>
                <w:lang w:eastAsia="zh-CN"/>
              </w:rPr>
            </w:pPr>
            <w:r>
              <w:rPr>
                <w:rFonts w:hint="eastAsia" w:ascii="宋体" w:hAnsi="宋体" w:cs="宋体"/>
                <w:szCs w:val="21"/>
              </w:rPr>
              <w:t>正（副）本/电子</w:t>
            </w:r>
            <w:r>
              <w:rPr>
                <w:rFonts w:hint="eastAsia" w:ascii="宋体" w:hAnsi="宋体" w:cs="宋体"/>
                <w:szCs w:val="21"/>
                <w:lang w:eastAsia="zh-CN"/>
              </w:rPr>
              <w:t>文档</w:t>
            </w:r>
          </w:p>
          <w:p>
            <w:pPr>
              <w:spacing w:line="360" w:lineRule="exact"/>
              <w:rPr>
                <w:rFonts w:hint="eastAsia" w:ascii="宋体" w:hAnsi="宋体" w:cs="宋体"/>
                <w:szCs w:val="21"/>
              </w:rPr>
            </w:pPr>
            <w:r>
              <w:rPr>
                <w:rFonts w:hint="eastAsia" w:ascii="宋体" w:hAnsi="宋体" w:cs="宋体"/>
                <w:szCs w:val="21"/>
              </w:rPr>
              <w:t>招标人地址：</w:t>
            </w:r>
          </w:p>
          <w:p>
            <w:pPr>
              <w:spacing w:line="360" w:lineRule="exact"/>
              <w:rPr>
                <w:rFonts w:hint="eastAsia" w:ascii="宋体" w:hAnsi="宋体" w:cs="宋体"/>
                <w:szCs w:val="21"/>
              </w:rPr>
            </w:pPr>
            <w:r>
              <w:rPr>
                <w:rFonts w:hint="eastAsia" w:ascii="宋体" w:hAnsi="宋体" w:cs="宋体"/>
                <w:szCs w:val="21"/>
              </w:rPr>
              <w:t>招标人名称：</w:t>
            </w:r>
          </w:p>
          <w:p>
            <w:pPr>
              <w:spacing w:line="360" w:lineRule="exact"/>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（项目名称）投标文件</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cs="宋体"/>
                <w:szCs w:val="21"/>
              </w:rPr>
              <w:t>在</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r>
              <w:rPr>
                <w:rFonts w:hint="eastAsia" w:ascii="宋体" w:hAnsi="宋体" w:cs="宋体"/>
                <w:szCs w:val="21"/>
                <w:u w:val="single"/>
              </w:rPr>
              <w:t xml:space="preserve">  </w:t>
            </w:r>
            <w:r>
              <w:rPr>
                <w:rFonts w:hint="eastAsia" w:ascii="宋体" w:hAnsi="宋体" w:cs="宋体"/>
                <w:szCs w:val="21"/>
              </w:rPr>
              <w:t>时</w:t>
            </w:r>
            <w:r>
              <w:rPr>
                <w:rFonts w:hint="eastAsia" w:ascii="宋体" w:hAnsi="宋体" w:cs="宋体"/>
                <w:szCs w:val="21"/>
                <w:u w:val="single"/>
              </w:rPr>
              <w:t xml:space="preserve">  </w:t>
            </w:r>
            <w:r>
              <w:rPr>
                <w:rFonts w:hint="eastAsia" w:ascii="宋体" w:hAnsi="宋体" w:cs="宋体"/>
                <w:szCs w:val="21"/>
              </w:rPr>
              <w:t>分前不得开启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4.2.2</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递交投标文件地点</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温县公共资源交易中心开标厅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4.2.3</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是否退还投标文件</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80"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开标时间和地点</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开标时间：同投标截止时间</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开标地点：同投标文件递交地点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5.2</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开标程序</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（1）开标时投标单位法定代表人或委托人持本人身份证到开标现场，</w:t>
            </w:r>
            <w:r>
              <w:rPr>
                <w:rFonts w:hint="eastAsia" w:ascii="宋体" w:hAnsi="宋体" w:eastAsia="宋体" w:cs="宋体"/>
                <w:b w:val="0"/>
                <w:bCs/>
                <w:sz w:val="21"/>
                <w:szCs w:val="21"/>
                <w:highlight w:val="none"/>
              </w:rPr>
              <w:t>并携带1.4.1项中其他要求的相关证件，</w:t>
            </w:r>
            <w:r>
              <w:rPr>
                <w:rFonts w:hint="eastAsia" w:ascii="宋体" w:hAnsi="宋体" w:eastAsia="宋体" w:cs="宋体"/>
                <w:b w:val="0"/>
                <w:bCs/>
                <w:color w:val="000000"/>
                <w:sz w:val="21"/>
                <w:szCs w:val="21"/>
                <w:highlight w:val="none"/>
              </w:rPr>
              <w:t>经</w:t>
            </w:r>
            <w:r>
              <w:rPr>
                <w:rFonts w:hint="eastAsia" w:ascii="宋体" w:hAnsi="宋体" w:eastAsia="宋体" w:cs="宋体"/>
                <w:color w:val="000000"/>
                <w:sz w:val="21"/>
                <w:szCs w:val="21"/>
                <w:highlight w:val="none"/>
              </w:rPr>
              <w:t>招标代理机构查验后，方可签到登记，接收投标文件；未提供以上原件的视为自动放弃投标，代理机构不再接收投标文件。</w:t>
            </w:r>
          </w:p>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（4）密封情况检查：招标人委托公证机关检查并公证，公布查验结果。</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（5）开标顺序：</w:t>
            </w:r>
            <w:r>
              <w:rPr>
                <w:rFonts w:hint="eastAsia" w:ascii="宋体" w:hAnsi="宋体" w:eastAsia="宋体" w:cs="宋体"/>
                <w:sz w:val="21"/>
                <w:szCs w:val="21"/>
                <w:highlight w:val="none"/>
              </w:rPr>
              <w:t>按其递交投标文件签到的逆顺序。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419"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6.1.1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评标委员会的组建</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评标委员会构成：</w:t>
            </w:r>
            <w:r>
              <w:rPr>
                <w:rFonts w:hint="eastAsia" w:ascii="宋体" w:hAnsi="宋体" w:eastAsia="宋体" w:cs="宋体"/>
                <w:color w:val="auto"/>
                <w:sz w:val="21"/>
                <w:szCs w:val="21"/>
                <w:highlight w:val="none"/>
              </w:rPr>
              <w:t>由有关技术、经济等方面的专家</w:t>
            </w:r>
            <w:r>
              <w:rPr>
                <w:rFonts w:hint="eastAsia" w:ascii="宋体" w:hAnsi="宋体" w:cs="宋体"/>
                <w:color w:val="auto"/>
                <w:sz w:val="21"/>
                <w:szCs w:val="21"/>
                <w:highlight w:val="none"/>
                <w:lang w:eastAsia="zh-CN"/>
              </w:rPr>
              <w:t>共</w:t>
            </w:r>
            <w:r>
              <w:rPr>
                <w:rFonts w:hint="eastAsia" w:ascii="宋体" w:hAnsi="宋体" w:cs="宋体"/>
                <w:color w:val="auto"/>
                <w:sz w:val="21"/>
                <w:szCs w:val="21"/>
                <w:highlight w:val="none"/>
                <w:u w:val="single"/>
                <w:lang w:val="en-US" w:eastAsia="zh-CN"/>
              </w:rPr>
              <w:t xml:space="preserve"> 7 </w:t>
            </w:r>
            <w:r>
              <w:rPr>
                <w:rFonts w:hint="eastAsia" w:ascii="宋体" w:hAnsi="宋体" w:eastAsia="宋体" w:cs="宋体"/>
                <w:color w:val="auto"/>
                <w:sz w:val="21"/>
                <w:szCs w:val="21"/>
                <w:highlight w:val="none"/>
                <w:lang w:val="en-US" w:eastAsia="zh-CN"/>
              </w:rPr>
              <w:t>人</w:t>
            </w:r>
            <w:r>
              <w:rPr>
                <w:rFonts w:hint="eastAsia" w:ascii="宋体" w:hAnsi="宋体" w:eastAsia="宋体" w:cs="宋体"/>
                <w:color w:val="auto"/>
                <w:sz w:val="21"/>
                <w:szCs w:val="21"/>
                <w:highlight w:val="none"/>
              </w:rPr>
              <w:t>组成</w:t>
            </w:r>
            <w:r>
              <w:rPr>
                <w:rFonts w:hint="eastAsia" w:ascii="宋体" w:hAnsi="宋体" w:eastAsia="宋体" w:cs="宋体"/>
                <w:color w:val="auto"/>
                <w:sz w:val="21"/>
                <w:szCs w:val="21"/>
                <w:highlight w:val="none"/>
                <w:lang w:eastAsia="zh-CN"/>
              </w:rPr>
              <w:t>。</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评标专家确定方式：</w:t>
            </w:r>
            <w:r>
              <w:rPr>
                <w:rFonts w:hint="eastAsia" w:ascii="宋体" w:hAnsi="宋体" w:eastAsia="宋体" w:cs="宋体"/>
                <w:color w:val="000000"/>
                <w:sz w:val="21"/>
                <w:szCs w:val="21"/>
                <w:highlight w:val="none"/>
                <w:u w:val="single"/>
              </w:rPr>
              <w:t>技术、经济等专家应由招标人在开标前从有关评标专家库中随机抽取确定</w:t>
            </w:r>
            <w:r>
              <w:rPr>
                <w:rFonts w:hint="eastAsia" w:ascii="宋体" w:hAnsi="宋体" w:eastAsia="宋体" w:cs="宋体"/>
                <w:color w:val="000000"/>
                <w:sz w:val="21"/>
                <w:szCs w:val="21"/>
                <w:highlight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42"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是否授权评标委员会确定中标人</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rPr>
            </w:pPr>
            <w:r>
              <w:rPr>
                <w:rFonts w:hint="eastAsia"/>
              </w:rPr>
              <w:t>否，推荐的中标候选人数：</w:t>
            </w:r>
            <w:r>
              <w:rPr>
                <w:rFonts w:hint="eastAsia" w:ascii="宋体" w:hAnsi="宋体" w:eastAsia="宋体" w:cs="宋体"/>
              </w:rPr>
              <w:t xml:space="preserve"> 1-3人 </w:t>
            </w:r>
          </w:p>
          <w:p>
            <w:pPr>
              <w:widowControl w:val="0"/>
              <w:spacing w:line="380" w:lineRule="exact"/>
              <w:textAlignment w:val="auto"/>
              <w:rPr>
                <w:rFonts w:hint="eastAsia"/>
              </w:rPr>
            </w:pPr>
            <w:r>
              <w:rPr>
                <w:rFonts w:hint="eastAsia"/>
              </w:rPr>
              <w:t>招标人应当确定排名第一的中标候选人为中标人。排名第一的中标候选人放弃中标、因不可抗拒力不能履行合同，不按照招标文件要求提交履约保证金，或者查实存在影响中标结果的违法行为、经行政主管部门依法认定并取消中标资格等情形的，招标人原则上应重新招标；特殊情况下，确需顺延中标候选人的，招标人写出书面申请，由其主管副县长召集相关单位集体研究同意后，可以相应顺延中标候选人。</w:t>
            </w:r>
          </w:p>
          <w:p>
            <w:pPr>
              <w:widowControl w:val="0"/>
              <w:spacing w:line="380" w:lineRule="exact"/>
              <w:textAlignment w:val="auto"/>
              <w:rPr>
                <w:rFonts w:hint="eastAsia" w:ascii="宋体" w:hAnsi="宋体" w:eastAsia="宋体" w:cs="宋体"/>
                <w:sz w:val="21"/>
                <w:szCs w:val="21"/>
                <w:highlight w:val="none"/>
              </w:rPr>
            </w:pPr>
            <w:r>
              <w:rPr>
                <w:rFonts w:hint="eastAsia"/>
              </w:rPr>
              <w:t>上述情形中除因不可抗力不能履行合同外，有其他情形的，该中标候选人的投标保证金不予退还，取消其1年内在温县的投标资格，并在温县公共资源交易中心网站进行通报。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49" w:hRule="atLeast"/>
        </w:trPr>
        <w:tc>
          <w:tcPr>
            <w:tcW w:w="1008" w:type="dxa"/>
            <w:tcBorders>
              <w:top w:val="single" w:color="auto" w:sz="4" w:space="0"/>
              <w:left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7.2</w:t>
            </w:r>
          </w:p>
        </w:tc>
        <w:tc>
          <w:tcPr>
            <w:tcW w:w="2696" w:type="dxa"/>
            <w:gridSpan w:val="2"/>
            <w:tcBorders>
              <w:top w:val="single" w:color="auto" w:sz="4" w:space="0"/>
              <w:left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中标候选人公示媒介</w:t>
            </w:r>
          </w:p>
        </w:tc>
        <w:tc>
          <w:tcPr>
            <w:tcW w:w="5954" w:type="dxa"/>
            <w:gridSpan w:val="2"/>
            <w:tcBorders>
              <w:top w:val="single" w:color="auto" w:sz="4" w:space="0"/>
              <w:left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《中国招标投标公共服务平台》、《中国采购与招标网》、《河南省政府采购网》</w:t>
            </w:r>
            <w:r>
              <w:rPr>
                <w:rFonts w:hint="eastAsia" w:ascii="宋体" w:hAnsi="宋体" w:eastAsia="宋体" w:cs="宋体"/>
                <w:color w:val="000000"/>
                <w:sz w:val="21"/>
                <w:szCs w:val="21"/>
                <w:highlight w:val="none"/>
              </w:rPr>
              <w:t>、</w:t>
            </w:r>
            <w:r>
              <w:rPr>
                <w:rFonts w:hint="eastAsia" w:ascii="宋体" w:hAnsi="宋体" w:eastAsia="宋体" w:cs="宋体"/>
                <w:sz w:val="21"/>
                <w:szCs w:val="21"/>
                <w:highlight w:val="none"/>
              </w:rPr>
              <w:t>《温县公共资源交易中心网》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23"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7.4.1</w:t>
            </w:r>
          </w:p>
        </w:tc>
        <w:tc>
          <w:tcPr>
            <w:tcW w:w="2696"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履约担保</w:t>
            </w:r>
          </w:p>
        </w:tc>
        <w:tc>
          <w:tcPr>
            <w:tcW w:w="5954"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投标人若中标，须缴纳该项目中标价</w:t>
            </w: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rPr>
              <w:t>%的履约保证金。中标人接到中标通知书后7日内交至招标人指定账户。</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履约保证金退还时间：工程完工</w:t>
            </w:r>
            <w:r>
              <w:rPr>
                <w:rFonts w:hint="eastAsia" w:ascii="宋体" w:hAnsi="宋体" w:cs="宋体"/>
                <w:sz w:val="21"/>
                <w:szCs w:val="21"/>
                <w:highlight w:val="none"/>
                <w:lang w:eastAsia="zh-CN"/>
              </w:rPr>
              <w:t>验收</w:t>
            </w:r>
            <w:r>
              <w:rPr>
                <w:rFonts w:hint="eastAsia" w:ascii="宋体" w:hAnsi="宋体" w:eastAsia="宋体" w:cs="宋体"/>
                <w:sz w:val="21"/>
                <w:szCs w:val="21"/>
                <w:highlight w:val="none"/>
              </w:rPr>
              <w:t>后</w:t>
            </w:r>
            <w:r>
              <w:rPr>
                <w:rFonts w:hint="eastAsia" w:ascii="宋体" w:hAnsi="宋体" w:eastAsia="宋体" w:cs="宋体"/>
                <w:sz w:val="21"/>
                <w:szCs w:val="21"/>
                <w:highlight w:val="none"/>
                <w:lang w:eastAsia="zh-CN"/>
              </w:rPr>
              <w:t>，足额</w:t>
            </w:r>
            <w:r>
              <w:rPr>
                <w:rFonts w:hint="eastAsia" w:ascii="宋体" w:hAnsi="宋体" w:eastAsia="宋体" w:cs="宋体"/>
                <w:sz w:val="21"/>
                <w:szCs w:val="21"/>
                <w:highlight w:val="none"/>
              </w:rPr>
              <w:t>退还。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9</w:t>
            </w:r>
          </w:p>
        </w:tc>
        <w:tc>
          <w:tcPr>
            <w:tcW w:w="8650" w:type="dxa"/>
            <w:gridSpan w:val="4"/>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需要补充的其他内容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6" w:hRule="atLeast"/>
        </w:trPr>
        <w:tc>
          <w:tcPr>
            <w:tcW w:w="9658" w:type="dxa"/>
            <w:gridSpan w:val="5"/>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9.1  招标控制价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4"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color w:val="000000"/>
                <w:sz w:val="21"/>
                <w:szCs w:val="21"/>
                <w:highlight w:val="none"/>
              </w:rPr>
            </w:pPr>
          </w:p>
        </w:tc>
        <w:tc>
          <w:tcPr>
            <w:tcW w:w="2877"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招标控制价</w:t>
            </w:r>
          </w:p>
        </w:tc>
        <w:tc>
          <w:tcPr>
            <w:tcW w:w="5763" w:type="dxa"/>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left"/>
              <w:textAlignment w:val="auto"/>
              <w:rPr>
                <w:rFonts w:hint="eastAsia" w:ascii="宋体" w:hAnsi="宋体" w:eastAsia="宋体" w:cs="宋体"/>
                <w:b/>
                <w:bCs/>
                <w:sz w:val="21"/>
                <w:szCs w:val="21"/>
                <w:highlight w:val="none"/>
                <w:u w:val="single"/>
              </w:rPr>
            </w:pPr>
            <w:r>
              <w:rPr>
                <w:rFonts w:hint="eastAsia" w:ascii="宋体" w:hAnsi="宋体" w:eastAsia="宋体" w:cs="宋体"/>
                <w:b/>
                <w:color w:val="000000"/>
                <w:sz w:val="21"/>
                <w:szCs w:val="21"/>
                <w:highlight w:val="none"/>
              </w:rPr>
              <w:t>本项目招标控制价：</w:t>
            </w:r>
            <w:r>
              <w:rPr>
                <w:rFonts w:hint="eastAsia" w:ascii="宋体" w:hAnsi="宋体" w:eastAsia="宋体" w:cs="宋体"/>
                <w:b/>
                <w:color w:val="000000"/>
                <w:sz w:val="21"/>
                <w:szCs w:val="21"/>
                <w:highlight w:val="none"/>
                <w:lang w:val="en-US" w:eastAsia="zh-CN"/>
              </w:rPr>
              <w:t>156.21万元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3" w:hRule="atLeast"/>
        </w:trPr>
        <w:tc>
          <w:tcPr>
            <w:tcW w:w="9658" w:type="dxa"/>
            <w:gridSpan w:val="5"/>
            <w:tcBorders>
              <w:top w:val="single" w:color="auto" w:sz="4" w:space="0"/>
              <w:left w:val="single" w:color="auto" w:sz="4" w:space="0"/>
              <w:bottom w:val="single" w:color="auto" w:sz="4" w:space="0"/>
              <w:right w:val="single" w:color="auto" w:sz="4" w:space="0"/>
            </w:tcBorders>
            <w:vAlign w:val="center"/>
          </w:tcPr>
          <w:p>
            <w:pPr>
              <w:widowControl w:val="0"/>
              <w:spacing w:line="380" w:lineRule="exact"/>
              <w:ind w:left="210" w:hanging="210" w:hangingChars="1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9.2投标人代表出席开标会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按照本须知第5.1款的规定，投标人的法定代表人或其委托代理人应当按时参加开标会，投标人的法定代表人或其委托代理人不按时参加开标的，视同该投标人承认开标记录，不得事后对开标记录提出任何异议。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3" w:hRule="atLeast"/>
        </w:trPr>
        <w:tc>
          <w:tcPr>
            <w:tcW w:w="9658" w:type="dxa"/>
            <w:gridSpan w:val="5"/>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9.3中标公示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0"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确定中标人后在《中国招标投标公共服务平台》、《中国采购与招标网》、《河南省政府采购网》、《温县公共资源交易中心网》上进行公示，</w:t>
            </w:r>
            <w:r>
              <w:rPr>
                <w:rFonts w:hint="eastAsia" w:ascii="宋体" w:hAnsi="宋体" w:eastAsia="宋体" w:cs="宋体"/>
                <w:color w:val="000000"/>
                <w:sz w:val="21"/>
                <w:szCs w:val="21"/>
                <w:highlight w:val="none"/>
              </w:rPr>
              <w:t>公示期不少于3</w:t>
            </w:r>
            <w:r>
              <w:rPr>
                <w:rFonts w:hint="eastAsia" w:ascii="宋体" w:hAnsi="宋体" w:eastAsia="宋体" w:cs="宋体"/>
                <w:sz w:val="21"/>
                <w:szCs w:val="21"/>
                <w:highlight w:val="none"/>
              </w:rPr>
              <w:t>日</w:t>
            </w:r>
            <w:r>
              <w:rPr>
                <w:rFonts w:hint="eastAsia" w:ascii="宋体" w:hAnsi="宋体" w:eastAsia="宋体" w:cs="宋体"/>
                <w:color w:val="000000"/>
                <w:sz w:val="21"/>
                <w:szCs w:val="21"/>
                <w:highlight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3" w:hRule="atLeast"/>
        </w:trPr>
        <w:tc>
          <w:tcPr>
            <w:tcW w:w="9658" w:type="dxa"/>
            <w:gridSpan w:val="5"/>
            <w:tcBorders>
              <w:top w:val="single" w:color="auto" w:sz="4" w:space="0"/>
              <w:left w:val="single" w:color="auto" w:sz="4" w:space="0"/>
              <w:bottom w:val="single" w:color="auto" w:sz="4" w:space="0"/>
              <w:right w:val="single" w:color="auto" w:sz="4" w:space="0"/>
            </w:tcBorders>
            <w:vAlign w:val="center"/>
          </w:tcPr>
          <w:p>
            <w:pPr>
              <w:widowControl w:val="0"/>
              <w:spacing w:line="380" w:lineRule="exact"/>
              <w:ind w:left="210" w:hanging="210" w:hangingChars="1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9.4知识产权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5"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复印或提供给第三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3" w:hRule="atLeast"/>
        </w:trPr>
        <w:tc>
          <w:tcPr>
            <w:tcW w:w="9658" w:type="dxa"/>
            <w:gridSpan w:val="5"/>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9.5重新招标和不再招标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29"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有下列情形之一的，招标人将重新招标：</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(l)投标截止时间止，投标人少于3 个的；</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(2)经评标委员会评审后否决所有投标的。</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有下列情形的，招标人将不再招标：</w:t>
            </w:r>
          </w:p>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重新招标后投标人仍少于3 个或者所有投标被否决的，属于必须审批或核准的工程建设项目，经原审批或核准部门批准后不再进行招标。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3" w:hRule="atLeast"/>
        </w:trPr>
        <w:tc>
          <w:tcPr>
            <w:tcW w:w="9658" w:type="dxa"/>
            <w:gridSpan w:val="5"/>
            <w:tcBorders>
              <w:top w:val="single" w:color="auto" w:sz="4" w:space="0"/>
              <w:left w:val="single" w:color="auto" w:sz="4" w:space="0"/>
              <w:bottom w:val="single" w:color="auto" w:sz="4" w:space="0"/>
              <w:right w:val="single" w:color="auto" w:sz="4" w:space="0"/>
            </w:tcBorders>
            <w:vAlign w:val="center"/>
          </w:tcPr>
          <w:p>
            <w:pPr>
              <w:widowControl w:val="0"/>
              <w:spacing w:line="380" w:lineRule="exact"/>
              <w:ind w:left="210" w:hanging="210" w:hangingChars="1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9.6同义词语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99"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构成招标文件组成部分的“通用合同条款”、“专用合同条款”、“技术标准和要求”和“工程量清单”等章节中出现的措辞“发包人”和“承包人”，在招标投标阶段应当分别按“招标人”和“投标人”进行理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3" w:hRule="atLeast"/>
        </w:trPr>
        <w:tc>
          <w:tcPr>
            <w:tcW w:w="9658" w:type="dxa"/>
            <w:gridSpan w:val="5"/>
            <w:tcBorders>
              <w:top w:val="single" w:color="auto" w:sz="4" w:space="0"/>
              <w:left w:val="single" w:color="auto" w:sz="4" w:space="0"/>
              <w:bottom w:val="single" w:color="auto" w:sz="4" w:space="0"/>
              <w:right w:val="single" w:color="auto" w:sz="4" w:space="0"/>
            </w:tcBorders>
            <w:vAlign w:val="center"/>
          </w:tcPr>
          <w:p>
            <w:pPr>
              <w:widowControl w:val="0"/>
              <w:spacing w:line="380" w:lineRule="exact"/>
              <w:ind w:left="210" w:hanging="210" w:hangingChars="1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9.7监  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7"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ind w:left="105" w:leftChars="5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本项目的招标投标活动及其相关当事人应当接受有管辖权的建设工程招标投标行政监督部门依法实施的监督。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3" w:hRule="atLeast"/>
        </w:trPr>
        <w:tc>
          <w:tcPr>
            <w:tcW w:w="9658" w:type="dxa"/>
            <w:gridSpan w:val="5"/>
            <w:tcBorders>
              <w:top w:val="single" w:color="auto" w:sz="4" w:space="0"/>
              <w:left w:val="single" w:color="auto" w:sz="4" w:space="0"/>
              <w:bottom w:val="single" w:color="auto" w:sz="4" w:space="0"/>
              <w:right w:val="single" w:color="auto" w:sz="4" w:space="0"/>
            </w:tcBorders>
            <w:vAlign w:val="center"/>
          </w:tcPr>
          <w:p>
            <w:pPr>
              <w:widowControl w:val="0"/>
              <w:spacing w:line="380" w:lineRule="exact"/>
              <w:ind w:left="210" w:hanging="210" w:hangingChars="1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9.8解释权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505"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4"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9.9</w:t>
            </w: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招标公告中所要求资格的原件和第三章评标办法中所需证件的原件，须在评标过程中全部向评标委员会提供、查验。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926"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9.10</w:t>
            </w: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中标后，建设单位和中标施工企业应在中标公示期结束后七个工作日内到温县住房和城乡建设局建筑市场管理科办理农民工工资保证金缴纳手续，足额将农民工工资保证金交至温县农民工工资保证金专用账户。缴纳标准：建设单位按工程总造价的2%；中标的施工企业按工程总造价的2% 。开户行：焦作中旅银行温县支行；账号：5002122900013（温县财政国库支付中心）。</w:t>
            </w:r>
          </w:p>
          <w:p>
            <w:pPr>
              <w:widowControl w:val="0"/>
              <w:spacing w:line="38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工程竣工验收合格后，经公示无拖欠农民工工资现象，到温县住房和城乡建设局建筑市场管理科返还农民工工资保证金（无息）。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98"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9.11</w:t>
            </w: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在确定中标单位后，建设单位和中标单位应在签订《项目建设合同书》的同时，由双方单位法定代表人或委托项目管理人（即项目法人或项目经理）签订《廉政建设责任书》。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43"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9.1</w:t>
            </w:r>
            <w:r>
              <w:rPr>
                <w:rFonts w:hint="eastAsia" w:ascii="宋体" w:hAnsi="宋体" w:eastAsia="宋体" w:cs="宋体"/>
                <w:sz w:val="21"/>
                <w:szCs w:val="21"/>
                <w:highlight w:val="none"/>
                <w:lang w:val="en-US" w:eastAsia="zh-CN"/>
              </w:rPr>
              <w:t>2</w:t>
            </w: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不拖欠农民工工资承诺：</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1、截止竞标之日止，以前所承建工程的农民工工资支付情况，是否存在拖欠或克扣农民工工资的行为的承诺；</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2、中标后能够及时按规定足额缴纳农民工工资保障金的承诺；</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3、一旦其承包的建筑工程项目中出现拖欠农民工工资情况且限期未支付的，可由温县住房和城乡建设局从农民工工资保障金中先予划支，并在两个月内补缴到位的承诺。</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b/>
                <w:bCs/>
                <w:color w:val="000000"/>
                <w:sz w:val="21"/>
                <w:szCs w:val="21"/>
                <w:highlight w:val="none"/>
              </w:rPr>
              <w:t>注：投标人提交的投标文件不具备以上三项内容的，在资格审查时对其实行“一票否决”。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433"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9.1</w:t>
            </w:r>
            <w:r>
              <w:rPr>
                <w:rFonts w:hint="eastAsia" w:ascii="宋体" w:hAnsi="宋体" w:eastAsia="宋体" w:cs="宋体"/>
                <w:sz w:val="21"/>
                <w:szCs w:val="21"/>
                <w:highlight w:val="none"/>
                <w:lang w:val="en-US" w:eastAsia="zh-CN"/>
              </w:rPr>
              <w:t>3</w:t>
            </w: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对于中标结果提出异议、投诉的事项，经招标人或行政监督部门查证属实的，按相关法律法规和招标文件规定，取消被异议人或被投诉人的中标资格。同时由行政监督部门对被取消中标资格的企业记录不良行为，限制一定期限内在温县从事招投标活动，并在温县公共资源交易中心网站予以公示。对于故意捏造事实、伪造证明材料的，或者以非法手段取得证明材料等进行恶意异议、投诉的企业，由招标人、行政监督部门驳回异议和投诉，同时由行政监督部门对其记录不良行为，限制一定期限内在温县从事招投标活动，并在温县公共资源交易中心网站予以公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24"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9.1</w:t>
            </w:r>
            <w:r>
              <w:rPr>
                <w:rFonts w:hint="eastAsia" w:ascii="宋体" w:hAnsi="宋体" w:eastAsia="宋体" w:cs="宋体"/>
                <w:sz w:val="21"/>
                <w:szCs w:val="21"/>
                <w:highlight w:val="none"/>
                <w:lang w:val="en-US" w:eastAsia="zh-CN"/>
              </w:rPr>
              <w:t>4</w:t>
            </w: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在评标阶段，招标人或</w:t>
            </w:r>
            <w:r>
              <w:rPr>
                <w:rFonts w:hint="eastAsia" w:ascii="宋体" w:hAnsi="宋体" w:cs="宋体"/>
                <w:sz w:val="21"/>
                <w:szCs w:val="21"/>
                <w:highlight w:val="none"/>
                <w:lang w:eastAsia="zh-CN"/>
              </w:rPr>
              <w:t>招标</w:t>
            </w:r>
            <w:r>
              <w:rPr>
                <w:rFonts w:hint="eastAsia" w:ascii="宋体" w:hAnsi="宋体" w:eastAsia="宋体" w:cs="宋体"/>
                <w:sz w:val="21"/>
                <w:szCs w:val="21"/>
                <w:highlight w:val="none"/>
              </w:rPr>
              <w:t>代理机构将通过“信用中国”网站、“中国裁判文书网”或各级信用信息共享平台查询相关投标人是否被列入失信被执行人、是否有行贿犯罪记录。”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24"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9.15</w:t>
            </w: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投标文件中提供《建设工地扬尘污染防治承诺书》，针对建设工地扬尘污染防治要求进行承诺，特别要明确承诺落实“六个百分百”等环境要求，且保证施工扬尘防治费用专款专用。不提供者作为无效标处理。</w:t>
            </w:r>
          </w:p>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lang w:val="en-US" w:eastAsia="zh-CN"/>
              </w:rPr>
              <w:t>重要提醒：凡被我市行业行政主管部门列入扬尘污染防治“黑名单”的，其投标文件认定为无效；中标人在中标通知书发放前，经查实被列入前述黑名单的，招标人应否决其中标资格；凡是近3年内发生重大工程质量问题、重大安全事故的，不得参与我市政府投资项目招投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4" w:hRule="atLeast"/>
        </w:trPr>
        <w:tc>
          <w:tcPr>
            <w:tcW w:w="1018"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380" w:lineRule="exact"/>
              <w:jc w:val="center"/>
              <w:textAlignment w:val="auto"/>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9.16</w:t>
            </w:r>
          </w:p>
        </w:tc>
        <w:tc>
          <w:tcPr>
            <w:tcW w:w="8640"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38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其它未尽事宜，按国家有关法律、法规执行。</w:t>
            </w:r>
          </w:p>
        </w:tc>
      </w:tr>
    </w:tbl>
    <w:p>
      <w:pPr>
        <w:pStyle w:val="8"/>
        <w:pageBreakBefore w:val="0"/>
        <w:widowControl w:val="0"/>
        <w:kinsoku/>
        <w:wordWrap/>
        <w:overflowPunct/>
        <w:topLinePunct w:val="0"/>
        <w:autoSpaceDE/>
        <w:autoSpaceDN/>
        <w:bidi w:val="0"/>
        <w:adjustRightInd/>
        <w:snapToGrid/>
        <w:spacing w:line="400" w:lineRule="exact"/>
        <w:textAlignment w:val="auto"/>
        <w:rPr>
          <w:rFonts w:ascii="宋体" w:hAnsi="宋体" w:eastAsia="宋体" w:cs="宋体"/>
          <w:highlight w:val="none"/>
        </w:rPr>
      </w:pPr>
      <w:bookmarkStart w:id="37" w:name="_Toc15178"/>
      <w:bookmarkStart w:id="38" w:name="_Toc144974497"/>
      <w:bookmarkStart w:id="39" w:name="_Toc7097"/>
      <w:bookmarkStart w:id="40" w:name="_Toc32266"/>
      <w:bookmarkStart w:id="41" w:name="_Toc179632546"/>
      <w:bookmarkStart w:id="42" w:name="_Toc152042305"/>
      <w:bookmarkStart w:id="43" w:name="_Toc152045529"/>
      <w:bookmarkStart w:id="44" w:name="_Toc24095"/>
      <w:bookmarkStart w:id="45" w:name="_Toc246996918"/>
      <w:bookmarkStart w:id="46" w:name="_Toc17489"/>
      <w:bookmarkStart w:id="47" w:name="_Toc246996175"/>
      <w:bookmarkStart w:id="48" w:name="_Toc247085689"/>
      <w:bookmarkStart w:id="49" w:name="_Toc15377"/>
      <w:bookmarkStart w:id="50" w:name="_Toc8680"/>
      <w:r>
        <w:rPr>
          <w:rFonts w:hint="eastAsia" w:ascii="宋体" w:hAnsi="宋体" w:eastAsia="宋体" w:cs="宋体"/>
          <w:highlight w:val="none"/>
        </w:rPr>
        <w:t>1. 总则</w:t>
      </w:r>
      <w:bookmarkEnd w:id="37"/>
      <w:bookmarkEnd w:id="38"/>
      <w:bookmarkEnd w:id="39"/>
      <w:bookmarkEnd w:id="40"/>
      <w:bookmarkEnd w:id="41"/>
      <w:bookmarkEnd w:id="42"/>
      <w:bookmarkEnd w:id="43"/>
      <w:bookmarkEnd w:id="44"/>
      <w:bookmarkEnd w:id="45"/>
      <w:bookmarkEnd w:id="46"/>
      <w:bookmarkEnd w:id="47"/>
      <w:bookmarkEnd w:id="48"/>
      <w:bookmarkEnd w:id="49"/>
      <w:bookmarkEnd w:id="50"/>
    </w:p>
    <w:p>
      <w:pPr>
        <w:keepNext/>
        <w:keepLines/>
        <w:pageBreakBefore w:val="0"/>
        <w:widowControl w:val="0"/>
        <w:kinsoku/>
        <w:wordWrap/>
        <w:overflowPunct/>
        <w:topLinePunct w:val="0"/>
        <w:autoSpaceDE/>
        <w:autoSpaceDN/>
        <w:bidi w:val="0"/>
        <w:adjustRightInd/>
        <w:snapToGrid/>
        <w:spacing w:line="400" w:lineRule="exact"/>
        <w:jc w:val="left"/>
        <w:textAlignment w:val="auto"/>
        <w:rPr>
          <w:rFonts w:ascii="宋体" w:hAnsi="宋体" w:cs="宋体"/>
          <w:b/>
          <w:bCs/>
          <w:kern w:val="21"/>
          <w:sz w:val="28"/>
          <w:szCs w:val="36"/>
          <w:highlight w:val="none"/>
        </w:rPr>
      </w:pPr>
      <w:bookmarkStart w:id="51" w:name="_Toc179632547"/>
      <w:bookmarkStart w:id="52" w:name="_Toc152042306"/>
      <w:bookmarkStart w:id="53" w:name="_Toc144974498"/>
      <w:bookmarkStart w:id="54" w:name="_Toc246996176"/>
      <w:bookmarkStart w:id="55" w:name="_Toc246996919"/>
      <w:bookmarkStart w:id="56" w:name="_Toc247085690"/>
      <w:bookmarkStart w:id="57" w:name="_Toc152045530"/>
      <w:r>
        <w:rPr>
          <w:rFonts w:hint="eastAsia" w:ascii="宋体" w:hAnsi="宋体" w:cs="宋体"/>
          <w:b/>
          <w:bCs/>
          <w:kern w:val="21"/>
          <w:sz w:val="28"/>
          <w:szCs w:val="36"/>
          <w:highlight w:val="none"/>
        </w:rPr>
        <w:t>1.1 项目概况</w:t>
      </w:r>
      <w:bookmarkEnd w:id="51"/>
      <w:bookmarkEnd w:id="52"/>
      <w:bookmarkEnd w:id="53"/>
      <w:bookmarkEnd w:id="54"/>
      <w:bookmarkEnd w:id="55"/>
      <w:bookmarkEnd w:id="56"/>
      <w:bookmarkEnd w:id="57"/>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highlight w:val="none"/>
        </w:rPr>
      </w:pPr>
      <w:r>
        <w:rPr>
          <w:rFonts w:hint="eastAsia" w:ascii="宋体" w:hAnsi="宋体" w:cs="宋体"/>
          <w:highlight w:val="none"/>
        </w:rPr>
        <w:t>1.1.1根据《中华人民共和国招标投标法》等有关法律、法规和规章的规定，本招标项目已具备招标条件，现对本项目施工进行招标。</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highlight w:val="none"/>
        </w:rPr>
      </w:pPr>
      <w:r>
        <w:rPr>
          <w:rFonts w:hint="eastAsia" w:ascii="宋体" w:hAnsi="宋体" w:cs="宋体"/>
          <w:highlight w:val="none"/>
        </w:rPr>
        <w:t>1.1.2 本招标项目招标人：见投标人须知前附表。</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highlight w:val="none"/>
        </w:rPr>
      </w:pPr>
      <w:r>
        <w:rPr>
          <w:rFonts w:hint="eastAsia" w:ascii="宋体" w:hAnsi="宋体" w:cs="宋体"/>
          <w:highlight w:val="none"/>
        </w:rPr>
        <w:t>1.1.3 本招标项目招标代理机构：见投标人须知前附表。</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highlight w:val="none"/>
        </w:rPr>
      </w:pPr>
      <w:r>
        <w:rPr>
          <w:rFonts w:hint="eastAsia" w:ascii="宋体" w:hAnsi="宋体" w:cs="宋体"/>
          <w:highlight w:val="none"/>
        </w:rPr>
        <w:t>1.1.4 本招标项目名称：见投标人须知前附表。</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highlight w:val="none"/>
        </w:rPr>
      </w:pPr>
      <w:r>
        <w:rPr>
          <w:rFonts w:hint="eastAsia" w:ascii="宋体" w:hAnsi="宋体" w:cs="宋体"/>
          <w:highlight w:val="none"/>
        </w:rPr>
        <w:t>1.1.5 本招标项目建设地点：见投标人须知前附表。</w:t>
      </w:r>
    </w:p>
    <w:p>
      <w:pPr>
        <w:keepNext/>
        <w:keepLines/>
        <w:pageBreakBefore w:val="0"/>
        <w:widowControl w:val="0"/>
        <w:kinsoku/>
        <w:wordWrap/>
        <w:overflowPunct/>
        <w:topLinePunct w:val="0"/>
        <w:autoSpaceDE/>
        <w:autoSpaceDN/>
        <w:bidi w:val="0"/>
        <w:adjustRightInd/>
        <w:snapToGrid/>
        <w:spacing w:line="400" w:lineRule="exact"/>
        <w:textAlignment w:val="auto"/>
        <w:rPr>
          <w:rFonts w:ascii="宋体" w:hAnsi="宋体" w:cs="宋体"/>
          <w:b/>
          <w:bCs/>
          <w:sz w:val="28"/>
          <w:szCs w:val="36"/>
          <w:highlight w:val="none"/>
        </w:rPr>
      </w:pPr>
      <w:bookmarkStart w:id="58" w:name="_Toc179632548"/>
      <w:bookmarkStart w:id="59" w:name="_Toc246996177"/>
      <w:bookmarkStart w:id="60" w:name="_Toc152045531"/>
      <w:bookmarkStart w:id="61" w:name="_Toc246996920"/>
      <w:bookmarkStart w:id="62" w:name="_Toc144974499"/>
      <w:bookmarkStart w:id="63" w:name="_Toc152042307"/>
      <w:bookmarkStart w:id="64" w:name="_Toc247085691"/>
      <w:r>
        <w:rPr>
          <w:rFonts w:hint="eastAsia" w:ascii="宋体" w:hAnsi="宋体" w:cs="宋体"/>
          <w:b/>
          <w:bCs/>
          <w:sz w:val="28"/>
          <w:szCs w:val="36"/>
          <w:highlight w:val="none"/>
        </w:rPr>
        <w:t>1.2 资金来源和落实情况</w:t>
      </w:r>
      <w:bookmarkEnd w:id="58"/>
      <w:bookmarkEnd w:id="59"/>
      <w:bookmarkEnd w:id="60"/>
      <w:bookmarkEnd w:id="61"/>
      <w:bookmarkEnd w:id="62"/>
      <w:bookmarkEnd w:id="63"/>
      <w:bookmarkEnd w:id="64"/>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highlight w:val="none"/>
        </w:rPr>
      </w:pPr>
      <w:r>
        <w:rPr>
          <w:rFonts w:hint="eastAsia" w:ascii="宋体" w:hAnsi="宋体" w:cs="宋体"/>
          <w:highlight w:val="none"/>
        </w:rPr>
        <w:t>1.2.1 本招标项目的资金来源</w:t>
      </w:r>
      <w:r>
        <w:rPr>
          <w:rFonts w:hint="eastAsia" w:ascii="宋体" w:hAnsi="宋体" w:cs="宋体"/>
          <w:highlight w:val="none"/>
          <w:lang w:eastAsia="zh-CN"/>
        </w:rPr>
        <w:t>及比例</w:t>
      </w:r>
      <w:r>
        <w:rPr>
          <w:rFonts w:hint="eastAsia" w:ascii="宋体" w:hAnsi="宋体" w:cs="宋体"/>
          <w:highlight w:val="none"/>
        </w:rPr>
        <w:t>：见投标人须知前附表。</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highlight w:val="none"/>
        </w:rPr>
      </w:pPr>
      <w:r>
        <w:rPr>
          <w:rFonts w:hint="eastAsia" w:ascii="宋体" w:hAnsi="宋体" w:cs="宋体"/>
          <w:highlight w:val="none"/>
        </w:rPr>
        <w:t>1.2.2 本招标项目的资金落实情况：见投标人须知前附表。</w:t>
      </w:r>
    </w:p>
    <w:p>
      <w:pPr>
        <w:keepNext/>
        <w:keepLines/>
        <w:pageBreakBefore w:val="0"/>
        <w:widowControl w:val="0"/>
        <w:kinsoku/>
        <w:wordWrap/>
        <w:overflowPunct/>
        <w:topLinePunct w:val="0"/>
        <w:autoSpaceDE/>
        <w:autoSpaceDN/>
        <w:bidi w:val="0"/>
        <w:adjustRightInd/>
        <w:snapToGrid/>
        <w:spacing w:line="400" w:lineRule="exact"/>
        <w:textAlignment w:val="auto"/>
        <w:rPr>
          <w:rFonts w:ascii="宋体" w:hAnsi="宋体" w:cs="宋体"/>
          <w:b/>
          <w:bCs/>
          <w:sz w:val="28"/>
          <w:szCs w:val="36"/>
          <w:highlight w:val="none"/>
        </w:rPr>
      </w:pPr>
      <w:bookmarkStart w:id="65" w:name="_Toc247085692"/>
      <w:bookmarkStart w:id="66" w:name="_Toc246996178"/>
      <w:bookmarkStart w:id="67" w:name="_Toc179632549"/>
      <w:bookmarkStart w:id="68" w:name="_Toc246996921"/>
      <w:bookmarkStart w:id="69" w:name="_Toc152042308"/>
      <w:bookmarkStart w:id="70" w:name="_Toc144974500"/>
      <w:bookmarkStart w:id="71" w:name="_Toc152045532"/>
      <w:r>
        <w:rPr>
          <w:rFonts w:hint="eastAsia" w:ascii="宋体" w:hAnsi="宋体" w:cs="宋体"/>
          <w:b/>
          <w:bCs/>
          <w:sz w:val="28"/>
          <w:szCs w:val="36"/>
          <w:highlight w:val="none"/>
        </w:rPr>
        <w:t>1.3 招标范围、计划工期、质量要求</w:t>
      </w:r>
      <w:bookmarkEnd w:id="65"/>
      <w:bookmarkEnd w:id="66"/>
      <w:bookmarkEnd w:id="67"/>
      <w:bookmarkEnd w:id="68"/>
      <w:bookmarkEnd w:id="69"/>
      <w:bookmarkEnd w:id="70"/>
      <w:bookmarkEnd w:id="71"/>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highlight w:val="none"/>
        </w:rPr>
      </w:pPr>
      <w:r>
        <w:rPr>
          <w:rFonts w:hint="eastAsia" w:ascii="宋体" w:hAnsi="宋体" w:cs="宋体"/>
          <w:highlight w:val="none"/>
        </w:rPr>
        <w:t>1.3.1 本次招标范围：见投标人须知前附表。</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highlight w:val="none"/>
        </w:rPr>
      </w:pPr>
      <w:r>
        <w:rPr>
          <w:rFonts w:hint="eastAsia" w:ascii="宋体" w:hAnsi="宋体" w:cs="宋体"/>
          <w:highlight w:val="none"/>
        </w:rPr>
        <w:t>1.3.2 本招标项目的计划工期：见投标人须知前附表。</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highlight w:val="none"/>
        </w:rPr>
      </w:pPr>
      <w:r>
        <w:rPr>
          <w:rFonts w:hint="eastAsia" w:ascii="宋体" w:hAnsi="宋体" w:cs="宋体"/>
          <w:highlight w:val="none"/>
        </w:rPr>
        <w:t>1.3.3 本招标项目的质量要求：见投标人须知前附表。</w:t>
      </w:r>
    </w:p>
    <w:p>
      <w:pPr>
        <w:keepNext/>
        <w:keepLines/>
        <w:pageBreakBefore w:val="0"/>
        <w:widowControl w:val="0"/>
        <w:kinsoku/>
        <w:wordWrap/>
        <w:overflowPunct/>
        <w:topLinePunct w:val="0"/>
        <w:autoSpaceDE/>
        <w:autoSpaceDN/>
        <w:bidi w:val="0"/>
        <w:adjustRightInd/>
        <w:snapToGrid/>
        <w:spacing w:line="400" w:lineRule="exact"/>
        <w:textAlignment w:val="auto"/>
        <w:rPr>
          <w:rFonts w:ascii="宋体" w:hAnsi="宋体" w:cs="宋体"/>
          <w:b/>
          <w:bCs/>
          <w:sz w:val="28"/>
          <w:szCs w:val="36"/>
          <w:highlight w:val="none"/>
        </w:rPr>
      </w:pPr>
      <w:bookmarkStart w:id="72" w:name="_Toc152045534"/>
      <w:bookmarkStart w:id="73" w:name="_Toc152042310"/>
      <w:bookmarkStart w:id="74" w:name="_Toc246996922"/>
      <w:bookmarkStart w:id="75" w:name="_Toc144974502"/>
      <w:bookmarkStart w:id="76" w:name="_Toc179632551"/>
      <w:bookmarkStart w:id="77" w:name="_Toc246996179"/>
      <w:bookmarkStart w:id="78" w:name="_Toc247085693"/>
      <w:r>
        <w:rPr>
          <w:rFonts w:hint="eastAsia" w:ascii="宋体" w:hAnsi="宋体" w:cs="宋体"/>
          <w:b/>
          <w:bCs/>
          <w:sz w:val="28"/>
          <w:szCs w:val="36"/>
          <w:highlight w:val="none"/>
        </w:rPr>
        <w:t>1.4 投标人资格要求</w:t>
      </w:r>
      <w:bookmarkEnd w:id="72"/>
      <w:bookmarkEnd w:id="73"/>
      <w:bookmarkEnd w:id="74"/>
      <w:bookmarkEnd w:id="75"/>
      <w:bookmarkEnd w:id="76"/>
      <w:bookmarkEnd w:id="77"/>
      <w:bookmarkEnd w:id="78"/>
    </w:p>
    <w:p>
      <w:pPr>
        <w:pageBreakBefore w:val="0"/>
        <w:widowControl w:val="0"/>
        <w:kinsoku/>
        <w:wordWrap/>
        <w:overflowPunct/>
        <w:topLinePunct w:val="0"/>
        <w:autoSpaceDE/>
        <w:autoSpaceDN/>
        <w:bidi w:val="0"/>
        <w:adjustRightInd/>
        <w:snapToGrid/>
        <w:spacing w:line="400" w:lineRule="exact"/>
        <w:ind w:firstLine="359" w:firstLineChars="171"/>
        <w:textAlignment w:val="auto"/>
        <w:rPr>
          <w:rFonts w:ascii="宋体" w:hAnsi="宋体" w:cs="宋体"/>
          <w:highlight w:val="none"/>
        </w:rPr>
      </w:pPr>
      <w:r>
        <w:rPr>
          <w:rFonts w:hint="eastAsia" w:ascii="宋体" w:hAnsi="宋体" w:cs="宋体"/>
          <w:highlight w:val="none"/>
        </w:rPr>
        <w:t>1.4.1 投标人应具备承担本项目施工的资质条件、能力和信誉。</w:t>
      </w:r>
    </w:p>
    <w:p>
      <w:pPr>
        <w:pageBreakBefore w:val="0"/>
        <w:widowControl w:val="0"/>
        <w:kinsoku/>
        <w:wordWrap/>
        <w:overflowPunct/>
        <w:topLinePunct w:val="0"/>
        <w:autoSpaceDE/>
        <w:autoSpaceDN/>
        <w:bidi w:val="0"/>
        <w:adjustRightInd/>
        <w:snapToGrid/>
        <w:spacing w:line="400" w:lineRule="exact"/>
        <w:ind w:firstLine="359" w:firstLineChars="171"/>
        <w:textAlignment w:val="auto"/>
        <w:rPr>
          <w:rFonts w:hint="eastAsia" w:ascii="宋体" w:hAnsi="宋体" w:cs="宋体"/>
          <w:highlight w:val="none"/>
        </w:rPr>
      </w:pPr>
      <w:r>
        <w:rPr>
          <w:rFonts w:hint="eastAsia" w:ascii="宋体" w:hAnsi="宋体" w:cs="宋体"/>
          <w:highlight w:val="none"/>
        </w:rPr>
        <w:t>（1）资质条件：见投标人须知前附表；</w:t>
      </w:r>
    </w:p>
    <w:p>
      <w:pPr>
        <w:pageBreakBefore w:val="0"/>
        <w:widowControl w:val="0"/>
        <w:kinsoku/>
        <w:wordWrap/>
        <w:overflowPunct/>
        <w:topLinePunct w:val="0"/>
        <w:autoSpaceDE/>
        <w:autoSpaceDN/>
        <w:bidi w:val="0"/>
        <w:adjustRightInd/>
        <w:snapToGrid/>
        <w:spacing w:line="400" w:lineRule="exact"/>
        <w:ind w:firstLine="359" w:firstLineChars="171"/>
        <w:textAlignment w:val="auto"/>
        <w:rPr>
          <w:rFonts w:hint="eastAsia" w:ascii="宋体" w:hAnsi="宋体" w:cs="宋体"/>
          <w:highlight w:val="none"/>
        </w:rPr>
      </w:pPr>
      <w:r>
        <w:rPr>
          <w:rFonts w:hint="eastAsia" w:ascii="宋体" w:hAnsi="宋体" w:cs="宋体"/>
          <w:highlight w:val="none"/>
        </w:rPr>
        <w:t>（2）项目经理资格：见投标人须知前附表；</w:t>
      </w:r>
    </w:p>
    <w:p>
      <w:pPr>
        <w:pageBreakBefore w:val="0"/>
        <w:widowControl w:val="0"/>
        <w:kinsoku/>
        <w:wordWrap/>
        <w:overflowPunct/>
        <w:topLinePunct w:val="0"/>
        <w:autoSpaceDE/>
        <w:autoSpaceDN/>
        <w:bidi w:val="0"/>
        <w:adjustRightInd/>
        <w:snapToGrid/>
        <w:spacing w:line="400" w:lineRule="exact"/>
        <w:ind w:firstLine="359" w:firstLineChars="171"/>
        <w:textAlignment w:val="auto"/>
        <w:rPr>
          <w:rFonts w:hint="eastAsia" w:ascii="宋体" w:hAnsi="宋体" w:cs="宋体"/>
          <w:highlight w:val="none"/>
        </w:rPr>
      </w:pPr>
      <w:r>
        <w:rPr>
          <w:rFonts w:hint="eastAsia" w:ascii="宋体" w:hAnsi="宋体" w:cs="宋体"/>
          <w:highlight w:val="none"/>
        </w:rPr>
        <w:t>（3）诚信要求：见投标人须知前附表；</w:t>
      </w:r>
    </w:p>
    <w:p>
      <w:pPr>
        <w:pageBreakBefore w:val="0"/>
        <w:widowControl w:val="0"/>
        <w:kinsoku/>
        <w:wordWrap/>
        <w:overflowPunct/>
        <w:topLinePunct w:val="0"/>
        <w:autoSpaceDE/>
        <w:autoSpaceDN/>
        <w:bidi w:val="0"/>
        <w:adjustRightInd/>
        <w:snapToGrid/>
        <w:spacing w:line="400" w:lineRule="exact"/>
        <w:ind w:firstLine="359" w:firstLineChars="171"/>
        <w:textAlignment w:val="auto"/>
        <w:rPr>
          <w:rFonts w:hint="eastAsia" w:ascii="宋体" w:hAnsi="宋体" w:cs="宋体"/>
          <w:highlight w:val="none"/>
        </w:rPr>
      </w:pPr>
      <w:r>
        <w:rPr>
          <w:rFonts w:hint="eastAsia" w:ascii="宋体" w:hAnsi="宋体" w:cs="宋体"/>
          <w:highlight w:val="none"/>
        </w:rPr>
        <w:t>（4）财务要求：见投标人须知前附表；</w:t>
      </w:r>
    </w:p>
    <w:p>
      <w:pPr>
        <w:pageBreakBefore w:val="0"/>
        <w:widowControl w:val="0"/>
        <w:kinsoku/>
        <w:wordWrap/>
        <w:overflowPunct/>
        <w:topLinePunct w:val="0"/>
        <w:autoSpaceDE/>
        <w:autoSpaceDN/>
        <w:bidi w:val="0"/>
        <w:adjustRightInd/>
        <w:snapToGrid/>
        <w:spacing w:line="400" w:lineRule="exact"/>
        <w:ind w:firstLine="359" w:firstLineChars="171"/>
        <w:textAlignment w:val="auto"/>
        <w:rPr>
          <w:rFonts w:hint="eastAsia" w:ascii="宋体" w:hAnsi="宋体" w:cs="宋体"/>
          <w:highlight w:val="none"/>
        </w:rPr>
      </w:pPr>
      <w:r>
        <w:rPr>
          <w:rFonts w:hint="eastAsia" w:ascii="宋体" w:hAnsi="宋体" w:cs="宋体"/>
          <w:highlight w:val="none"/>
        </w:rPr>
        <w:t>（5）业绩要求：见投标人须知前附表；</w:t>
      </w:r>
    </w:p>
    <w:p>
      <w:pPr>
        <w:pageBreakBefore w:val="0"/>
        <w:widowControl w:val="0"/>
        <w:kinsoku/>
        <w:wordWrap/>
        <w:overflowPunct/>
        <w:topLinePunct w:val="0"/>
        <w:autoSpaceDE/>
        <w:autoSpaceDN/>
        <w:bidi w:val="0"/>
        <w:adjustRightInd/>
        <w:snapToGrid/>
        <w:spacing w:line="400" w:lineRule="exact"/>
        <w:ind w:firstLine="359" w:firstLineChars="171"/>
        <w:textAlignment w:val="auto"/>
        <w:rPr>
          <w:rFonts w:hint="eastAsia" w:ascii="宋体" w:hAnsi="宋体" w:cs="宋体"/>
          <w:highlight w:val="none"/>
        </w:rPr>
      </w:pPr>
      <w:r>
        <w:rPr>
          <w:rFonts w:hint="eastAsia" w:ascii="宋体" w:hAnsi="宋体" w:cs="宋体"/>
          <w:highlight w:val="none"/>
        </w:rPr>
        <w:t>（6）信誉要求：见投标人须知前附表；</w:t>
      </w:r>
    </w:p>
    <w:p>
      <w:pPr>
        <w:pageBreakBefore w:val="0"/>
        <w:widowControl w:val="0"/>
        <w:kinsoku/>
        <w:wordWrap/>
        <w:overflowPunct/>
        <w:topLinePunct w:val="0"/>
        <w:autoSpaceDE/>
        <w:autoSpaceDN/>
        <w:bidi w:val="0"/>
        <w:adjustRightInd/>
        <w:snapToGrid/>
        <w:spacing w:line="400" w:lineRule="exact"/>
        <w:ind w:firstLine="359" w:firstLineChars="171"/>
        <w:textAlignment w:val="auto"/>
        <w:rPr>
          <w:rFonts w:hint="eastAsia" w:ascii="宋体" w:hAnsi="宋体" w:cs="宋体"/>
          <w:highlight w:val="none"/>
        </w:rPr>
      </w:pPr>
      <w:r>
        <w:rPr>
          <w:rFonts w:hint="eastAsia" w:ascii="宋体" w:hAnsi="宋体" w:cs="宋体"/>
          <w:highlight w:val="none"/>
        </w:rPr>
        <w:t>（7）无行贿犯罪记录承诺书：见投标人须知前附表；</w:t>
      </w:r>
    </w:p>
    <w:p>
      <w:pPr>
        <w:pageBreakBefore w:val="0"/>
        <w:widowControl w:val="0"/>
        <w:kinsoku/>
        <w:wordWrap/>
        <w:overflowPunct/>
        <w:topLinePunct w:val="0"/>
        <w:autoSpaceDE/>
        <w:autoSpaceDN/>
        <w:bidi w:val="0"/>
        <w:adjustRightInd/>
        <w:snapToGrid/>
        <w:spacing w:line="400" w:lineRule="exact"/>
        <w:ind w:firstLine="359" w:firstLineChars="171"/>
        <w:textAlignment w:val="auto"/>
        <w:rPr>
          <w:rFonts w:hint="eastAsia" w:ascii="宋体" w:hAnsi="宋体" w:cs="宋体"/>
          <w:highlight w:val="none"/>
        </w:rPr>
      </w:pPr>
      <w:r>
        <w:rPr>
          <w:rFonts w:hint="eastAsia" w:ascii="宋体" w:hAnsi="宋体" w:cs="宋体"/>
          <w:highlight w:val="none"/>
        </w:rPr>
        <w:t>（8）其他要求：见投标人须知前附表。</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1.4.2 投标人不得存在下列情形之一：</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（1）为招标人不具有独立法人资格的附属机构（单位）；</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 xml:space="preserve">（2）为本招标项目前期准备提供设计或咨询服务的； </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（3）为本招标项目的监理人；</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 xml:space="preserve">（4）为本招标项目的代建人； </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 xml:space="preserve">（5）为本招标项目提供招标代理服务的； </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（6）与本招标项目的监理人或代建人或招标代理机构同为一个法定代表人的；</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（7）与本招标项目的监理人或代建人或招标代理机构相互控股或参股的；</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（8）与本招标项目的监理人或代建人或招标代理机构相互任职或工作的；</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 xml:space="preserve">（9）被责令停业的； </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 xml:space="preserve">（10）被暂停或取消投标资格的； </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（11）财产被接管或冻结的；</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（12）在最近三年内有骗取中标或严重违约或重大工程质量问题的。</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1.4.3 单位负责人为同一人或者存在控股、管理关系的不同单位，不得同时参加本招标项目投标。</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79" w:name="_Toc152042311"/>
      <w:bookmarkStart w:id="80" w:name="_Toc246996923"/>
      <w:bookmarkStart w:id="81" w:name="_Toc179632552"/>
      <w:bookmarkStart w:id="82" w:name="_Toc247085694"/>
      <w:bookmarkStart w:id="83" w:name="_Toc246996180"/>
      <w:bookmarkStart w:id="84" w:name="_Toc152045535"/>
      <w:bookmarkStart w:id="85" w:name="_Toc144974503"/>
      <w:r>
        <w:rPr>
          <w:rFonts w:hint="eastAsia" w:ascii="宋体" w:hAnsi="宋体" w:cs="宋体"/>
          <w:b/>
          <w:bCs/>
          <w:sz w:val="28"/>
          <w:szCs w:val="36"/>
          <w:highlight w:val="none"/>
        </w:rPr>
        <w:t>1.5 费用承担</w:t>
      </w:r>
      <w:bookmarkEnd w:id="79"/>
      <w:bookmarkEnd w:id="80"/>
      <w:bookmarkEnd w:id="81"/>
      <w:bookmarkEnd w:id="82"/>
      <w:bookmarkEnd w:id="83"/>
      <w:bookmarkEnd w:id="84"/>
      <w:bookmarkEnd w:id="85"/>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投标人准备和参加投标活动发生的费用自理。</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86" w:name="_Toc246996181"/>
      <w:bookmarkStart w:id="87" w:name="_Toc144974504"/>
      <w:bookmarkStart w:id="88" w:name="_Toc179632553"/>
      <w:bookmarkStart w:id="89" w:name="_Toc152042312"/>
      <w:bookmarkStart w:id="90" w:name="_Toc247085695"/>
      <w:bookmarkStart w:id="91" w:name="_Toc152045536"/>
      <w:bookmarkStart w:id="92" w:name="_Toc246996924"/>
      <w:r>
        <w:rPr>
          <w:rFonts w:hint="eastAsia" w:ascii="宋体" w:hAnsi="宋体" w:cs="宋体"/>
          <w:b/>
          <w:bCs/>
          <w:sz w:val="28"/>
          <w:szCs w:val="36"/>
          <w:highlight w:val="none"/>
        </w:rPr>
        <w:t>1.6 保密</w:t>
      </w:r>
      <w:bookmarkEnd w:id="86"/>
      <w:bookmarkEnd w:id="87"/>
      <w:bookmarkEnd w:id="88"/>
      <w:bookmarkEnd w:id="89"/>
      <w:bookmarkEnd w:id="90"/>
      <w:bookmarkEnd w:id="91"/>
      <w:bookmarkEnd w:id="92"/>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 xml:space="preserve">参与招标投标活动的各方应对招标文件和投标文件中的商业和技术等秘密保密，违者应对由此造成的后果承担法律责任。 </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93" w:name="_Toc144974505"/>
      <w:bookmarkStart w:id="94" w:name="_Toc247085696"/>
      <w:bookmarkStart w:id="95" w:name="_Toc152045537"/>
      <w:bookmarkStart w:id="96" w:name="_Toc246996182"/>
      <w:bookmarkStart w:id="97" w:name="_Toc152042313"/>
      <w:bookmarkStart w:id="98" w:name="_Toc246996925"/>
      <w:bookmarkStart w:id="99" w:name="_Toc179632554"/>
      <w:r>
        <w:rPr>
          <w:rFonts w:hint="eastAsia" w:ascii="宋体" w:hAnsi="宋体" w:cs="宋体"/>
          <w:b/>
          <w:bCs/>
          <w:sz w:val="28"/>
          <w:szCs w:val="36"/>
          <w:highlight w:val="none"/>
        </w:rPr>
        <w:t>1.7 语言</w:t>
      </w:r>
      <w:bookmarkEnd w:id="93"/>
      <w:r>
        <w:rPr>
          <w:rFonts w:hint="eastAsia" w:ascii="宋体" w:hAnsi="宋体" w:cs="宋体"/>
          <w:b/>
          <w:bCs/>
          <w:sz w:val="28"/>
          <w:szCs w:val="36"/>
          <w:highlight w:val="none"/>
        </w:rPr>
        <w:t>文字</w:t>
      </w:r>
      <w:bookmarkEnd w:id="94"/>
      <w:bookmarkEnd w:id="95"/>
      <w:bookmarkEnd w:id="96"/>
      <w:bookmarkEnd w:id="97"/>
      <w:bookmarkEnd w:id="98"/>
      <w:bookmarkEnd w:id="99"/>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bookmarkStart w:id="100" w:name="_Toc247085697"/>
      <w:bookmarkStart w:id="101" w:name="_Toc144974506"/>
      <w:bookmarkStart w:id="102" w:name="_Toc246996926"/>
      <w:bookmarkStart w:id="103" w:name="_Toc246996183"/>
      <w:bookmarkStart w:id="104" w:name="_Toc152045538"/>
      <w:bookmarkStart w:id="105" w:name="_Toc152042314"/>
      <w:bookmarkStart w:id="106" w:name="_Toc179632555"/>
      <w:r>
        <w:rPr>
          <w:rFonts w:hint="eastAsia" w:ascii="宋体" w:hAnsi="宋体" w:cs="宋体"/>
          <w:highlight w:val="none"/>
        </w:rPr>
        <w:t>招标投标文件使用的语言文字为中文。专用术语使用外文的，应附有中文注释。</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r>
        <w:rPr>
          <w:rFonts w:hint="eastAsia" w:ascii="宋体" w:hAnsi="宋体" w:cs="宋体"/>
          <w:b/>
          <w:bCs/>
          <w:sz w:val="28"/>
          <w:szCs w:val="36"/>
          <w:highlight w:val="none"/>
        </w:rPr>
        <w:t>1.8 计量单位</w:t>
      </w:r>
      <w:bookmarkEnd w:id="100"/>
      <w:bookmarkEnd w:id="101"/>
      <w:bookmarkEnd w:id="102"/>
      <w:bookmarkEnd w:id="103"/>
      <w:bookmarkEnd w:id="104"/>
      <w:bookmarkEnd w:id="105"/>
      <w:bookmarkEnd w:id="106"/>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所有计量均采用中华人民共和国法定计量单位。</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107" w:name="_Toc247592876"/>
      <w:bookmarkStart w:id="108" w:name="_Toc152042315"/>
      <w:bookmarkStart w:id="109" w:name="_Toc247527563"/>
      <w:bookmarkStart w:id="110" w:name="_Toc152045539"/>
      <w:bookmarkStart w:id="111" w:name="_Toc247513962"/>
      <w:bookmarkStart w:id="112" w:name="_Toc144974507"/>
      <w:r>
        <w:rPr>
          <w:rFonts w:hint="eastAsia" w:ascii="宋体" w:hAnsi="宋体" w:cs="宋体"/>
          <w:b/>
          <w:bCs/>
          <w:sz w:val="28"/>
          <w:szCs w:val="36"/>
          <w:highlight w:val="none"/>
        </w:rPr>
        <w:t>1.9 踏勘现场</w:t>
      </w:r>
      <w:bookmarkEnd w:id="107"/>
      <w:bookmarkEnd w:id="108"/>
      <w:bookmarkEnd w:id="109"/>
      <w:bookmarkEnd w:id="110"/>
      <w:bookmarkEnd w:id="111"/>
      <w:bookmarkEnd w:id="112"/>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 xml:space="preserve">1.9.1 投标人须知前附表规定组织踏勘现场的，招标人按投标人须知前附表规定的时间、地点组织投标人踏勘项目现场。 </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1.9.2 投标人踏勘现场发生的费用自理。</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1.9.3 除招标人的原因外，投标人自行负责在踏勘现场中所发生的人员伤亡和财产损失。</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1.9.4 招标人在踏勘现场中介绍的工程场地和相关的周边环境情况，供投标人在编制投标文件时参考，招标人不对投标人据此作出的判断和决策负责。</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113" w:name="_Toc247592877"/>
      <w:bookmarkStart w:id="114" w:name="_Toc144974508"/>
      <w:bookmarkStart w:id="115" w:name="_Toc152042316"/>
      <w:bookmarkStart w:id="116" w:name="_Toc152045540"/>
      <w:bookmarkStart w:id="117" w:name="_Toc247513963"/>
      <w:bookmarkStart w:id="118" w:name="_Toc247527564"/>
      <w:r>
        <w:rPr>
          <w:rFonts w:hint="eastAsia" w:ascii="宋体" w:hAnsi="宋体" w:cs="宋体"/>
          <w:b/>
          <w:bCs/>
          <w:sz w:val="28"/>
          <w:szCs w:val="36"/>
          <w:highlight w:val="none"/>
        </w:rPr>
        <w:t>1.10 投标预备会</w:t>
      </w:r>
      <w:bookmarkEnd w:id="113"/>
      <w:bookmarkEnd w:id="114"/>
      <w:bookmarkEnd w:id="115"/>
      <w:bookmarkEnd w:id="116"/>
      <w:bookmarkEnd w:id="117"/>
      <w:bookmarkEnd w:id="118"/>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1.10.1 投标人须知前附表规定召开投标预备会的，招标人按投标人须知前附表规定的时间和地点召开投标预备会，澄清投标人提出的问题。</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1.10.2 投标人应在投标人须知前附表规定的时间前，以书面形式将提出的问题送达招标人，以便招标人在会议期间澄清。</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1.10.3 投标预备会后，招标人在投标人须知前附表规定的时间内，将对投标人所提问题的澄清，以书面形式通知所有购买招标文件的投标人。该澄清内容为招标文件的组成部分。</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r>
        <w:rPr>
          <w:rFonts w:hint="eastAsia" w:ascii="宋体" w:hAnsi="宋体" w:cs="宋体"/>
          <w:b/>
          <w:bCs/>
          <w:sz w:val="28"/>
          <w:szCs w:val="36"/>
          <w:highlight w:val="none"/>
        </w:rPr>
        <w:t>1.11 偏离</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投标人须知前附表允许投标文件偏离招标文件某些要求的，偏离应当符合招标文件规定的偏离范围和幅度。</w:t>
      </w:r>
    </w:p>
    <w:p>
      <w:pPr>
        <w:pStyle w:val="8"/>
        <w:pageBreakBefore w:val="0"/>
        <w:widowControl w:val="0"/>
        <w:kinsoku/>
        <w:wordWrap/>
        <w:overflowPunct/>
        <w:topLinePunct w:val="0"/>
        <w:autoSpaceDE/>
        <w:autoSpaceDN/>
        <w:bidi w:val="0"/>
        <w:adjustRightInd/>
        <w:snapToGrid/>
        <w:spacing w:line="440" w:lineRule="exact"/>
        <w:textAlignment w:val="auto"/>
        <w:rPr>
          <w:rFonts w:ascii="宋体" w:hAnsi="宋体" w:eastAsia="宋体" w:cs="宋体"/>
          <w:highlight w:val="none"/>
        </w:rPr>
      </w:pPr>
      <w:bookmarkStart w:id="119" w:name="_Toc247085701"/>
      <w:bookmarkStart w:id="120" w:name="_Toc179632560"/>
      <w:bookmarkStart w:id="121" w:name="_Toc28209"/>
      <w:bookmarkStart w:id="122" w:name="_Toc22295"/>
      <w:bookmarkStart w:id="123" w:name="_Toc14300"/>
      <w:bookmarkStart w:id="124" w:name="_Toc152042318"/>
      <w:bookmarkStart w:id="125" w:name="_Toc246996930"/>
      <w:bookmarkStart w:id="126" w:name="_Toc152045542"/>
      <w:bookmarkStart w:id="127" w:name="_Toc7053"/>
      <w:bookmarkStart w:id="128" w:name="_Toc26683"/>
      <w:bookmarkStart w:id="129" w:name="_Toc246996187"/>
      <w:bookmarkStart w:id="130" w:name="_Toc144974510"/>
      <w:bookmarkStart w:id="131" w:name="_Toc7926"/>
      <w:bookmarkStart w:id="132" w:name="_Toc10124"/>
      <w:r>
        <w:rPr>
          <w:rFonts w:hint="eastAsia" w:ascii="宋体" w:hAnsi="宋体" w:eastAsia="宋体" w:cs="宋体"/>
          <w:highlight w:val="none"/>
        </w:rPr>
        <w:t>2. 招标文件</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133" w:name="_Toc246996931"/>
      <w:bookmarkStart w:id="134" w:name="_Toc152042319"/>
      <w:bookmarkStart w:id="135" w:name="_Toc246996188"/>
      <w:bookmarkStart w:id="136" w:name="_Toc152045543"/>
      <w:bookmarkStart w:id="137" w:name="_Toc179632561"/>
      <w:bookmarkStart w:id="138" w:name="_Toc144974511"/>
      <w:bookmarkStart w:id="139" w:name="_Toc247085702"/>
      <w:r>
        <w:rPr>
          <w:rFonts w:hint="eastAsia" w:ascii="宋体" w:hAnsi="宋体" w:cs="宋体"/>
          <w:b/>
          <w:bCs/>
          <w:sz w:val="28"/>
          <w:szCs w:val="36"/>
          <w:highlight w:val="none"/>
        </w:rPr>
        <w:t>2.1 招标文件的组成</w:t>
      </w:r>
      <w:bookmarkEnd w:id="133"/>
      <w:bookmarkEnd w:id="134"/>
      <w:bookmarkEnd w:id="135"/>
      <w:bookmarkEnd w:id="136"/>
      <w:bookmarkEnd w:id="137"/>
      <w:bookmarkEnd w:id="138"/>
      <w:bookmarkEnd w:id="139"/>
    </w:p>
    <w:p>
      <w:pPr>
        <w:pageBreakBefore w:val="0"/>
        <w:widowControl w:val="0"/>
        <w:kinsoku/>
        <w:wordWrap/>
        <w:overflowPunct/>
        <w:topLinePunct w:val="0"/>
        <w:autoSpaceDE/>
        <w:autoSpaceDN/>
        <w:bidi w:val="0"/>
        <w:adjustRightInd/>
        <w:snapToGrid/>
        <w:spacing w:line="440" w:lineRule="exact"/>
        <w:textAlignment w:val="auto"/>
        <w:rPr>
          <w:rFonts w:ascii="宋体" w:hAnsi="宋体" w:cs="宋体"/>
          <w:highlight w:val="none"/>
        </w:rPr>
      </w:pPr>
      <w:r>
        <w:rPr>
          <w:rFonts w:hint="eastAsia" w:ascii="宋体" w:hAnsi="宋体" w:cs="宋体"/>
          <w:highlight w:val="none"/>
        </w:rPr>
        <w:t>　　2.1.1 本招标文件包括：</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（1）招标公告；</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（2）投标人须知；</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（3）评标办法；</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（4）合同条款及格式；</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color w:val="auto"/>
          <w:highlight w:val="none"/>
        </w:rPr>
      </w:pPr>
      <w:r>
        <w:rPr>
          <w:rFonts w:hint="eastAsia" w:ascii="宋体" w:hAnsi="宋体" w:cs="宋体"/>
          <w:color w:val="auto"/>
          <w:highlight w:val="none"/>
        </w:rPr>
        <w:t xml:space="preserve">（5）工程量清单； </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color w:val="FF0000"/>
          <w:highlight w:val="none"/>
        </w:rPr>
      </w:pPr>
      <w:r>
        <w:rPr>
          <w:rFonts w:hint="eastAsia" w:ascii="宋体" w:hAnsi="宋体" w:cs="宋体"/>
          <w:color w:val="auto"/>
          <w:highlight w:val="none"/>
        </w:rPr>
        <w:t>（6）技术标准和要</w:t>
      </w:r>
      <w:r>
        <w:rPr>
          <w:rFonts w:hint="eastAsia" w:ascii="宋体" w:hAnsi="宋体" w:cs="宋体"/>
          <w:highlight w:val="none"/>
        </w:rPr>
        <w:t xml:space="preserve">求； </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（7）投标文件格式；</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（8）投标人须知前附表规定的其他材料。</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2.1.2 根据本章第1.10款、第2.2款和第2.3款对招标文件所作的澄清、修改，构成招标文件的组成部分。</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140" w:name="_Toc152042320"/>
      <w:bookmarkStart w:id="141" w:name="_Toc179632562"/>
      <w:bookmarkStart w:id="142" w:name="_Toc144974512"/>
      <w:bookmarkStart w:id="143" w:name="_Toc246996932"/>
      <w:bookmarkStart w:id="144" w:name="_Toc246996189"/>
      <w:bookmarkStart w:id="145" w:name="_Toc152045544"/>
      <w:bookmarkStart w:id="146" w:name="_Toc247085703"/>
      <w:r>
        <w:rPr>
          <w:rFonts w:hint="eastAsia" w:ascii="宋体" w:hAnsi="宋体" w:cs="宋体"/>
          <w:b/>
          <w:bCs/>
          <w:sz w:val="28"/>
          <w:szCs w:val="36"/>
          <w:highlight w:val="none"/>
        </w:rPr>
        <w:t>2.2 招标文件的澄清</w:t>
      </w:r>
      <w:bookmarkEnd w:id="140"/>
      <w:bookmarkEnd w:id="141"/>
      <w:bookmarkEnd w:id="142"/>
      <w:bookmarkEnd w:id="143"/>
      <w:bookmarkEnd w:id="144"/>
      <w:bookmarkEnd w:id="145"/>
      <w:bookmarkEnd w:id="146"/>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sz w:val="21"/>
          <w:szCs w:val="21"/>
          <w:highlight w:val="none"/>
        </w:rPr>
      </w:pPr>
      <w:r>
        <w:rPr>
          <w:rFonts w:hint="eastAsia" w:ascii="宋体" w:hAnsi="宋体" w:cs="宋体"/>
          <w:sz w:val="21"/>
          <w:szCs w:val="21"/>
          <w:highlight w:val="none"/>
        </w:rPr>
        <w:t>2.2.1 投标人应仔细阅读和检查招标文件的全部内容。如发现缺页或附件不全，应及时向招标人提出，以便补齐。如有疑问，应在投标人须知前附表规定的时间前以书面形式（包括信函、电报、传真等可以有形地表现所载内容的形式，下同），要求招标人对招标文件予以澄清。</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sz w:val="21"/>
          <w:szCs w:val="21"/>
          <w:highlight w:val="none"/>
        </w:rPr>
      </w:pPr>
      <w:r>
        <w:rPr>
          <w:rFonts w:hint="eastAsia" w:ascii="宋体" w:hAnsi="宋体" w:cs="宋体"/>
          <w:sz w:val="21"/>
          <w:szCs w:val="21"/>
          <w:highlight w:val="none"/>
        </w:rPr>
        <w:t>2.2.2 招标文件的澄清将以书面形式发给所有购买招标文件的投标人，但不指明澄清问题的来源。如果澄清发出的时间距投标人须知前附表规定的投标截止时间不足15天，并且澄清内容影响投标文件编制的，将相应延长投标截止时间。</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sz w:val="21"/>
          <w:szCs w:val="21"/>
          <w:highlight w:val="none"/>
        </w:rPr>
        <w:t>2.2.3 投标人在收到澄清后，应在投标人须知前附表规定的时间内以书面形式通知招标人，确认已收到该澄清。</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147" w:name="_Toc152045545"/>
      <w:bookmarkStart w:id="148" w:name="_Toc246996933"/>
      <w:bookmarkStart w:id="149" w:name="_Toc144974513"/>
      <w:bookmarkStart w:id="150" w:name="_Toc246996190"/>
      <w:bookmarkStart w:id="151" w:name="_Toc247085704"/>
      <w:bookmarkStart w:id="152" w:name="_Toc179632563"/>
      <w:bookmarkStart w:id="153" w:name="_Toc152042321"/>
      <w:r>
        <w:rPr>
          <w:rFonts w:hint="eastAsia" w:ascii="宋体" w:hAnsi="宋体" w:cs="宋体"/>
          <w:b/>
          <w:bCs/>
          <w:sz w:val="28"/>
          <w:szCs w:val="36"/>
          <w:highlight w:val="none"/>
        </w:rPr>
        <w:t>2.3 招标文件的修改</w:t>
      </w:r>
      <w:bookmarkEnd w:id="147"/>
      <w:bookmarkEnd w:id="148"/>
      <w:bookmarkEnd w:id="149"/>
      <w:bookmarkEnd w:id="150"/>
      <w:bookmarkEnd w:id="151"/>
      <w:bookmarkEnd w:id="152"/>
      <w:bookmarkEnd w:id="153"/>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2.3.1招标人可以书面形式修改招标文件，并通知所有已购买招标文件的投标人。但如果修改招标文件的时间距投标截止时间不足15天，并且修改内容影响投标文件编制的，将相应延长投标截止时间。</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2.3.2 投标人收到修改内容后，应在投标人须知前附表规定的时间内以书面形式通知招标人，确认已收到该修改。</w:t>
      </w:r>
    </w:p>
    <w:p>
      <w:pPr>
        <w:pStyle w:val="8"/>
        <w:pageBreakBefore w:val="0"/>
        <w:widowControl w:val="0"/>
        <w:kinsoku/>
        <w:wordWrap/>
        <w:overflowPunct/>
        <w:topLinePunct w:val="0"/>
        <w:autoSpaceDE/>
        <w:autoSpaceDN/>
        <w:bidi w:val="0"/>
        <w:adjustRightInd/>
        <w:snapToGrid/>
        <w:spacing w:line="440" w:lineRule="exact"/>
        <w:textAlignment w:val="auto"/>
        <w:rPr>
          <w:rFonts w:ascii="宋体" w:hAnsi="宋体" w:eastAsia="宋体" w:cs="宋体"/>
          <w:highlight w:val="none"/>
        </w:rPr>
      </w:pPr>
      <w:bookmarkStart w:id="154" w:name="_Toc4662"/>
      <w:bookmarkStart w:id="155" w:name="_Toc152042322"/>
      <w:bookmarkStart w:id="156" w:name="_Toc9218"/>
      <w:bookmarkStart w:id="157" w:name="_Toc152045546"/>
      <w:bookmarkStart w:id="158" w:name="_Toc144974514"/>
      <w:bookmarkStart w:id="159" w:name="_Toc179632564"/>
      <w:bookmarkStart w:id="160" w:name="_Toc246996191"/>
      <w:bookmarkStart w:id="161" w:name="_Toc15955"/>
      <w:bookmarkStart w:id="162" w:name="_Toc3332"/>
      <w:bookmarkStart w:id="163" w:name="_Toc247085705"/>
      <w:bookmarkStart w:id="164" w:name="_Toc246996934"/>
      <w:bookmarkStart w:id="165" w:name="_Toc3719"/>
      <w:bookmarkStart w:id="166" w:name="_Toc20207"/>
      <w:bookmarkStart w:id="167" w:name="_Toc5888"/>
      <w:r>
        <w:rPr>
          <w:rFonts w:hint="eastAsia" w:ascii="宋体" w:hAnsi="宋体" w:eastAsia="宋体" w:cs="宋体"/>
          <w:highlight w:val="none"/>
        </w:rPr>
        <w:t>3. 投标文件</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168" w:name="_Toc246996935"/>
      <w:bookmarkStart w:id="169" w:name="_Toc152045547"/>
      <w:bookmarkStart w:id="170" w:name="_Toc246996192"/>
      <w:bookmarkStart w:id="171" w:name="_Toc247085706"/>
      <w:bookmarkStart w:id="172" w:name="_Toc144974515"/>
      <w:bookmarkStart w:id="173" w:name="_Toc152042323"/>
      <w:bookmarkStart w:id="174" w:name="_Toc179632565"/>
      <w:r>
        <w:rPr>
          <w:rFonts w:hint="eastAsia" w:ascii="宋体" w:hAnsi="宋体" w:cs="宋体"/>
          <w:b/>
          <w:bCs/>
          <w:sz w:val="28"/>
          <w:szCs w:val="36"/>
          <w:highlight w:val="none"/>
        </w:rPr>
        <w:t>3.1 投标文件的组成</w:t>
      </w:r>
      <w:bookmarkEnd w:id="168"/>
      <w:bookmarkEnd w:id="169"/>
      <w:bookmarkEnd w:id="170"/>
      <w:bookmarkEnd w:id="171"/>
      <w:bookmarkEnd w:id="172"/>
      <w:bookmarkEnd w:id="173"/>
      <w:bookmarkEnd w:id="174"/>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投标文件应包括下列内容：</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（1）投标函及投标函附录；</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（2）法定代表人身份证明或附有法定代表人身份证明的授权委托书；</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（3）投标保证金；</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（4）已标价工程量清单；</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（5）施工组织设计；</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（6）项目管理机构；</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（7）资格审查资料；</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（8）投标承诺</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hint="eastAsia" w:ascii="宋体" w:hAnsi="宋体" w:cs="宋体"/>
          <w:highlight w:val="none"/>
        </w:rPr>
      </w:pPr>
      <w:r>
        <w:rPr>
          <w:rFonts w:hint="eastAsia" w:ascii="宋体" w:hAnsi="宋体" w:cs="宋体"/>
          <w:highlight w:val="none"/>
        </w:rPr>
        <w:t>（9）廉政建设承诺书</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hint="eastAsia" w:ascii="宋体" w:hAnsi="宋体" w:cs="宋体"/>
          <w:highlight w:val="none"/>
        </w:rPr>
      </w:pPr>
      <w:r>
        <w:rPr>
          <w:rFonts w:hint="eastAsia" w:ascii="宋体" w:hAnsi="宋体" w:cs="宋体"/>
          <w:highlight w:val="none"/>
          <w:lang w:eastAsia="zh-CN"/>
        </w:rPr>
        <w:t>（</w:t>
      </w:r>
      <w:r>
        <w:rPr>
          <w:rFonts w:hint="eastAsia" w:ascii="宋体" w:hAnsi="宋体" w:cs="宋体"/>
          <w:highlight w:val="none"/>
          <w:lang w:val="en-US" w:eastAsia="zh-CN"/>
        </w:rPr>
        <w:t>10</w:t>
      </w:r>
      <w:r>
        <w:rPr>
          <w:rFonts w:hint="eastAsia" w:ascii="宋体" w:hAnsi="宋体" w:cs="宋体"/>
          <w:highlight w:val="none"/>
          <w:lang w:eastAsia="zh-CN"/>
        </w:rPr>
        <w:t>）</w:t>
      </w:r>
      <w:r>
        <w:rPr>
          <w:rFonts w:hint="eastAsia" w:ascii="宋体" w:hAnsi="宋体" w:cs="宋体"/>
          <w:highlight w:val="none"/>
        </w:rPr>
        <w:t>无行贿犯罪记录承诺书</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175" w:name="_Toc179632566"/>
      <w:bookmarkStart w:id="176" w:name="_Toc247085707"/>
      <w:bookmarkStart w:id="177" w:name="_Toc246996193"/>
      <w:bookmarkStart w:id="178" w:name="_Toc152042324"/>
      <w:bookmarkStart w:id="179" w:name="_Toc144974516"/>
      <w:bookmarkStart w:id="180" w:name="_Toc246996936"/>
      <w:bookmarkStart w:id="181" w:name="_Toc152045548"/>
      <w:r>
        <w:rPr>
          <w:rFonts w:hint="eastAsia" w:ascii="宋体" w:hAnsi="宋体" w:cs="宋体"/>
          <w:b/>
          <w:bCs/>
          <w:sz w:val="28"/>
          <w:szCs w:val="36"/>
          <w:highlight w:val="none"/>
        </w:rPr>
        <w:t>3.2 投标报价</w:t>
      </w:r>
      <w:bookmarkEnd w:id="175"/>
      <w:bookmarkEnd w:id="176"/>
      <w:bookmarkEnd w:id="177"/>
      <w:bookmarkEnd w:id="178"/>
      <w:bookmarkEnd w:id="179"/>
      <w:bookmarkEnd w:id="180"/>
      <w:bookmarkEnd w:id="181"/>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3.2.1 投标人应按第五章“工程量清单”的要求填写相应表格。</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3.2.2 投标人在投标截止时间前修改投标函中的投标报价总额，应同时修改“已标价工程量清单”中的相应报价，投标报价总额为各分项金额之和。此修改须符合本章第4.3款的有关要求。</w:t>
      </w:r>
      <w:bookmarkStart w:id="182" w:name="_Toc144974517"/>
      <w:bookmarkStart w:id="183" w:name="_Toc152042325"/>
      <w:bookmarkStart w:id="184" w:name="_Toc152045549"/>
      <w:bookmarkStart w:id="185" w:name="_Toc179632567"/>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3.2.3 招标人设有最高投标限价的，投标人的投标报价不得超过最高投标限价，最高投标限价或其计算方法在投标人须知前附表中载明。</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186" w:name="_Toc246996937"/>
      <w:bookmarkStart w:id="187" w:name="_Toc246996194"/>
      <w:bookmarkStart w:id="188" w:name="_Toc247085708"/>
      <w:r>
        <w:rPr>
          <w:rFonts w:hint="eastAsia" w:ascii="宋体" w:hAnsi="宋体" w:cs="宋体"/>
          <w:b/>
          <w:bCs/>
          <w:sz w:val="28"/>
          <w:szCs w:val="36"/>
          <w:highlight w:val="none"/>
        </w:rPr>
        <w:t>3.3 投标有效期</w:t>
      </w:r>
      <w:bookmarkEnd w:id="182"/>
      <w:bookmarkEnd w:id="183"/>
      <w:bookmarkEnd w:id="184"/>
      <w:bookmarkEnd w:id="185"/>
      <w:bookmarkEnd w:id="186"/>
      <w:bookmarkEnd w:id="187"/>
      <w:bookmarkEnd w:id="188"/>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3.3.1 除投标人须知前附表另有规定外，投标有效期为60</w:t>
      </w:r>
      <w:r>
        <w:rPr>
          <w:rFonts w:hint="eastAsia" w:ascii="宋体" w:hAnsi="宋体" w:cs="宋体"/>
          <w:highlight w:val="none"/>
          <w:lang w:eastAsia="zh-CN"/>
        </w:rPr>
        <w:t>日历</w:t>
      </w:r>
      <w:r>
        <w:rPr>
          <w:rFonts w:hint="eastAsia" w:ascii="宋体" w:hAnsi="宋体" w:cs="宋体"/>
          <w:highlight w:val="none"/>
        </w:rPr>
        <w:t>天。</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3.3.2在投标有效期内，投标人撤销或修改其投标文件的，应承担招标文件和法律规定的责任。</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3.3.3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189" w:name="_Toc152045550"/>
      <w:bookmarkStart w:id="190" w:name="_Toc144974518"/>
      <w:bookmarkStart w:id="191" w:name="_Toc179632568"/>
      <w:bookmarkStart w:id="192" w:name="_Toc247085709"/>
      <w:bookmarkStart w:id="193" w:name="_Toc152042326"/>
      <w:bookmarkStart w:id="194" w:name="_Toc246996938"/>
      <w:bookmarkStart w:id="195" w:name="_Toc246996195"/>
      <w:r>
        <w:rPr>
          <w:rFonts w:hint="eastAsia" w:ascii="宋体" w:hAnsi="宋体" w:cs="宋体"/>
          <w:b/>
          <w:bCs/>
          <w:sz w:val="28"/>
          <w:szCs w:val="36"/>
          <w:highlight w:val="none"/>
        </w:rPr>
        <w:t>3.4 投标保证金</w:t>
      </w:r>
      <w:bookmarkEnd w:id="189"/>
      <w:bookmarkEnd w:id="190"/>
      <w:bookmarkEnd w:id="191"/>
      <w:bookmarkEnd w:id="192"/>
      <w:bookmarkEnd w:id="193"/>
      <w:bookmarkEnd w:id="194"/>
      <w:bookmarkEnd w:id="195"/>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3.4.1 投标人须知前附表规定递交投标保证金的，投标人在递交投标文件的同时，应按投标人须知前附表规定的金额和第八章“投标文件格式”规定的或者事先经过招标人认可的投标保证金格式递交投标保证金，并作为其投标文件的组成部分。</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3.4.2 投标人不按本章第3.4.1项要求提交投标保证金的，评标委员会将否决其投标。</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3.4.3 招标人与中标人签订合同后5日内，向未中标的投标人和中标人退还投标保证金。</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 xml:space="preserve">3.4.4 有下列情形之一的，投标保证金将不予退还： </w:t>
      </w:r>
    </w:p>
    <w:p>
      <w:pPr>
        <w:pageBreakBefore w:val="0"/>
        <w:widowControl w:val="0"/>
        <w:kinsoku/>
        <w:wordWrap/>
        <w:overflowPunct/>
        <w:topLinePunct w:val="0"/>
        <w:autoSpaceDE/>
        <w:autoSpaceDN/>
        <w:bidi w:val="0"/>
        <w:adjustRightInd/>
        <w:snapToGrid/>
        <w:spacing w:line="440" w:lineRule="exact"/>
        <w:textAlignment w:val="auto"/>
        <w:rPr>
          <w:rFonts w:ascii="宋体" w:hAnsi="宋体" w:cs="宋体"/>
          <w:highlight w:val="none"/>
        </w:rPr>
      </w:pPr>
      <w:r>
        <w:rPr>
          <w:rFonts w:hint="eastAsia" w:ascii="宋体" w:hAnsi="宋体" w:cs="宋体"/>
          <w:highlight w:val="none"/>
        </w:rPr>
        <w:t xml:space="preserve">   （1）投标人在规定的投标有效期内撤销或修改其投标文件；</w:t>
      </w:r>
    </w:p>
    <w:p>
      <w:pPr>
        <w:pageBreakBefore w:val="0"/>
        <w:widowControl w:val="0"/>
        <w:kinsoku/>
        <w:wordWrap/>
        <w:overflowPunct/>
        <w:topLinePunct w:val="0"/>
        <w:autoSpaceDE/>
        <w:autoSpaceDN/>
        <w:bidi w:val="0"/>
        <w:adjustRightInd/>
        <w:snapToGrid/>
        <w:spacing w:line="440" w:lineRule="exact"/>
        <w:textAlignment w:val="auto"/>
        <w:rPr>
          <w:rFonts w:ascii="宋体" w:hAnsi="宋体" w:cs="宋体"/>
          <w:highlight w:val="none"/>
        </w:rPr>
      </w:pPr>
      <w:r>
        <w:rPr>
          <w:rFonts w:hint="eastAsia" w:ascii="宋体" w:hAnsi="宋体" w:cs="宋体"/>
          <w:highlight w:val="none"/>
        </w:rPr>
        <w:t xml:space="preserve">   （2）中标人在收到中标通知书后，无正当理由拒签合同协议书或未按招标文件规定提交履约担保。</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196" w:name="_Toc247085710"/>
      <w:bookmarkStart w:id="197" w:name="_Toc152042328"/>
      <w:bookmarkStart w:id="198" w:name="_Toc152045552"/>
      <w:bookmarkStart w:id="199" w:name="_Toc144974520"/>
      <w:bookmarkStart w:id="200" w:name="_Toc179632570"/>
      <w:bookmarkStart w:id="201" w:name="_Toc246996939"/>
      <w:bookmarkStart w:id="202" w:name="_Toc246996196"/>
      <w:r>
        <w:rPr>
          <w:rFonts w:hint="eastAsia" w:ascii="宋体" w:hAnsi="宋体" w:cs="宋体"/>
          <w:b/>
          <w:bCs/>
          <w:sz w:val="28"/>
          <w:szCs w:val="36"/>
          <w:highlight w:val="none"/>
        </w:rPr>
        <w:t>3.5 资格审查资料</w:t>
      </w:r>
      <w:bookmarkEnd w:id="196"/>
      <w:bookmarkEnd w:id="197"/>
      <w:bookmarkEnd w:id="198"/>
      <w:bookmarkEnd w:id="199"/>
      <w:bookmarkEnd w:id="200"/>
      <w:bookmarkEnd w:id="201"/>
      <w:bookmarkEnd w:id="202"/>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3.5.1 “投标人基本情况表”应附投标人合格的营业执照、资质证书副本和安全生产许可证等材料的复印件。</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3.5.2 “近年财务状况表”应附经会计师事务所或审计机构审计的财务会计报表，包括资产负债表、现金流量表、利润表和财务情况说明书等复印件，具体年份要求见投标人须知前附表。</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3.5.3 “近年完成的类似项目情况表”应附该项目的合同协议书复印件，具体年份要求见投标人须知前附表。每张表格只填写一个项目，并标明序号。</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3.5.4 “正在施工和新承接的项目情况表”应附中标通知书、合同协议书复印件。每张表格只填写一个项目，并标明序号。</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203" w:name="_Toc247085711"/>
      <w:bookmarkStart w:id="204" w:name="_Toc246996940"/>
      <w:bookmarkStart w:id="205" w:name="_Toc179632571"/>
      <w:bookmarkStart w:id="206" w:name="_Toc152042329"/>
      <w:bookmarkStart w:id="207" w:name="_Toc152045553"/>
      <w:bookmarkStart w:id="208" w:name="_Toc144974521"/>
      <w:bookmarkStart w:id="209" w:name="_Toc246996197"/>
      <w:r>
        <w:rPr>
          <w:rFonts w:hint="eastAsia" w:ascii="宋体" w:hAnsi="宋体" w:cs="宋体"/>
          <w:b/>
          <w:bCs/>
          <w:sz w:val="28"/>
          <w:szCs w:val="36"/>
          <w:highlight w:val="none"/>
        </w:rPr>
        <w:t>3.6投标文件的编制</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3.6.1投标文件应按第</w:t>
      </w:r>
      <w:r>
        <w:rPr>
          <w:rFonts w:hint="eastAsia" w:ascii="宋体" w:hAnsi="宋体" w:cs="宋体"/>
          <w:highlight w:val="none"/>
          <w:lang w:eastAsia="zh-CN"/>
        </w:rPr>
        <w:t>七</w:t>
      </w:r>
      <w:r>
        <w:rPr>
          <w:rFonts w:hint="eastAsia" w:ascii="宋体" w:hAnsi="宋体" w:cs="宋体"/>
          <w:highlight w:val="none"/>
        </w:rPr>
        <w:t>章“投标文件格式”进行编写，如有必要，可以增加附页，作为投标文件的组成部分。其中，投标函附录在满足招标文件实质性要求的基础上，可以提出比招标文件要求更有利于招标人的承诺。</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szCs w:val="21"/>
          <w:highlight w:val="none"/>
        </w:rPr>
      </w:pPr>
      <w:r>
        <w:rPr>
          <w:rFonts w:hint="eastAsia" w:ascii="宋体" w:hAnsi="宋体" w:cs="宋体"/>
          <w:highlight w:val="none"/>
        </w:rPr>
        <w:t>3.6.2 投标文件应当对招标文件有关</w:t>
      </w:r>
      <w:r>
        <w:rPr>
          <w:rFonts w:hint="eastAsia" w:ascii="宋体" w:hAnsi="宋体" w:cs="宋体"/>
          <w:szCs w:val="21"/>
          <w:highlight w:val="none"/>
        </w:rPr>
        <w:t>工期、投标有效期、质量要求、技术标准和要求、招标范围等实质性内容作出响应。</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3.6.3投标文件应用不褪色的材料书写或打印，并由投标人的法定代表人或其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签字或盖章的具体要求见投标人须知前附表。</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3.6.4 投标文件正本一份, 副本份数见投标人须知前附表。正本和副本的封面上应清楚地标记“正本”或“副本”的字样。当副本和正本不一致时，以正本为准。</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3.6.5 投标文件的正本与副本应分别装订成册，具体装订要求见投标人须知前附表规定。</w:t>
      </w:r>
      <w:bookmarkEnd w:id="203"/>
      <w:bookmarkEnd w:id="204"/>
      <w:bookmarkEnd w:id="205"/>
      <w:bookmarkEnd w:id="206"/>
      <w:bookmarkEnd w:id="207"/>
      <w:bookmarkEnd w:id="208"/>
      <w:bookmarkEnd w:id="209"/>
      <w:bookmarkStart w:id="210" w:name="_Toc247085713"/>
      <w:bookmarkStart w:id="211" w:name="_Toc246996199"/>
      <w:bookmarkStart w:id="212" w:name="_Toc144974523"/>
      <w:bookmarkStart w:id="213" w:name="_Toc152045555"/>
      <w:bookmarkStart w:id="214" w:name="_Toc179632573"/>
      <w:bookmarkStart w:id="215" w:name="_Toc152042331"/>
      <w:bookmarkStart w:id="216" w:name="_Toc246996942"/>
    </w:p>
    <w:p>
      <w:pPr>
        <w:pStyle w:val="8"/>
        <w:pageBreakBefore w:val="0"/>
        <w:widowControl w:val="0"/>
        <w:kinsoku/>
        <w:wordWrap/>
        <w:overflowPunct/>
        <w:topLinePunct w:val="0"/>
        <w:autoSpaceDE/>
        <w:autoSpaceDN/>
        <w:bidi w:val="0"/>
        <w:adjustRightInd/>
        <w:snapToGrid/>
        <w:spacing w:line="440" w:lineRule="exact"/>
        <w:textAlignment w:val="auto"/>
        <w:rPr>
          <w:rFonts w:ascii="宋体" w:hAnsi="宋体" w:eastAsia="宋体" w:cs="宋体"/>
          <w:highlight w:val="none"/>
        </w:rPr>
      </w:pPr>
      <w:bookmarkStart w:id="217" w:name="_Toc30413"/>
      <w:bookmarkStart w:id="218" w:name="_Toc27400"/>
      <w:bookmarkStart w:id="219" w:name="_Toc92"/>
      <w:bookmarkStart w:id="220" w:name="_Toc2971"/>
      <w:bookmarkStart w:id="221" w:name="_Toc23537"/>
      <w:bookmarkStart w:id="222" w:name="_Toc17405"/>
      <w:bookmarkStart w:id="223" w:name="_Toc19491"/>
      <w:r>
        <w:rPr>
          <w:rFonts w:hint="eastAsia" w:ascii="宋体" w:hAnsi="宋体" w:eastAsia="宋体" w:cs="宋体"/>
          <w:highlight w:val="none"/>
        </w:rPr>
        <w:t>4. 投标</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224" w:name="_Toc152045556"/>
      <w:bookmarkStart w:id="225" w:name="_Toc144974524"/>
      <w:bookmarkStart w:id="226" w:name="_Toc179632574"/>
      <w:bookmarkStart w:id="227" w:name="_Toc246996943"/>
      <w:bookmarkStart w:id="228" w:name="_Toc247085714"/>
      <w:bookmarkStart w:id="229" w:name="_Toc246996200"/>
      <w:bookmarkStart w:id="230" w:name="_Toc152042332"/>
      <w:r>
        <w:rPr>
          <w:rFonts w:hint="eastAsia" w:ascii="宋体" w:hAnsi="宋体" w:cs="宋体"/>
          <w:b/>
          <w:bCs/>
          <w:sz w:val="28"/>
          <w:szCs w:val="36"/>
          <w:highlight w:val="none"/>
        </w:rPr>
        <w:t>4.1 投标文件的密封和标记</w:t>
      </w:r>
      <w:bookmarkEnd w:id="224"/>
      <w:bookmarkEnd w:id="225"/>
      <w:bookmarkEnd w:id="226"/>
      <w:bookmarkEnd w:id="227"/>
      <w:bookmarkEnd w:id="228"/>
      <w:bookmarkEnd w:id="229"/>
      <w:bookmarkEnd w:id="230"/>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4.1.1</w:t>
      </w:r>
      <w:r>
        <w:rPr>
          <w:rFonts w:hint="eastAsia" w:ascii="宋体" w:hAnsi="宋体" w:eastAsia="宋体" w:cs="宋体"/>
          <w:b/>
          <w:highlight w:val="none"/>
        </w:rPr>
        <w:t>投标文件的正本与副本应分开包装，加贴封条，并在封套的封口处加盖投标人单位公章。电子文档标书应单独密封，加贴封条，并在封套的封口处加盖投标人单位公章。</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4.1.2投标文件封套上应清楚地标记“正本”、“副本”、“电子文档”字样，投标文件封套上应写明的内容见投标人须知前附表。</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4.1.3 未按本章第4.1.1项、第4.1.2项要求密封和加写标记的投标文件，招标人应予拒收。</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231" w:name="_Toc179632575"/>
      <w:bookmarkStart w:id="232" w:name="_Toc247085715"/>
      <w:bookmarkStart w:id="233" w:name="_Toc152045557"/>
      <w:bookmarkStart w:id="234" w:name="_Toc144974525"/>
      <w:bookmarkStart w:id="235" w:name="_Toc152042333"/>
      <w:bookmarkStart w:id="236" w:name="_Toc246996201"/>
      <w:bookmarkStart w:id="237" w:name="_Toc246996944"/>
      <w:r>
        <w:rPr>
          <w:rFonts w:hint="eastAsia" w:ascii="宋体" w:hAnsi="宋体" w:cs="宋体"/>
          <w:b/>
          <w:bCs/>
          <w:sz w:val="28"/>
          <w:szCs w:val="36"/>
          <w:highlight w:val="none"/>
        </w:rPr>
        <w:t>4.2 投标文件的递交</w:t>
      </w:r>
      <w:bookmarkEnd w:id="231"/>
      <w:bookmarkEnd w:id="232"/>
      <w:bookmarkEnd w:id="233"/>
      <w:bookmarkEnd w:id="234"/>
      <w:bookmarkEnd w:id="235"/>
      <w:bookmarkEnd w:id="236"/>
      <w:bookmarkEnd w:id="237"/>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4.2.1 投标人应在本章第2.2.2项规定的投标截止时间前递交投标文件。</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4.2.2 投标人递交投标文件的地点：见投标人须知前附表。</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4.2.3 除投标人须知前附表另有规定外，投标人所递交的投标文件不予退还。</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4.2.4 逾期送达的或者未送达指定地点的投标文件，招标人不予受理。</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238" w:name="_Toc179632576"/>
      <w:bookmarkStart w:id="239" w:name="_Toc246996202"/>
      <w:bookmarkStart w:id="240" w:name="_Toc246996945"/>
      <w:bookmarkStart w:id="241" w:name="_Toc152042334"/>
      <w:bookmarkStart w:id="242" w:name="_Toc152045558"/>
      <w:bookmarkStart w:id="243" w:name="_Toc144974526"/>
      <w:bookmarkStart w:id="244" w:name="_Toc247085716"/>
      <w:r>
        <w:rPr>
          <w:rFonts w:hint="eastAsia" w:ascii="宋体" w:hAnsi="宋体" w:cs="宋体"/>
          <w:b/>
          <w:bCs/>
          <w:sz w:val="28"/>
          <w:szCs w:val="36"/>
          <w:highlight w:val="none"/>
        </w:rPr>
        <w:t>4.3 投标文件的修改与撤回</w:t>
      </w:r>
      <w:bookmarkEnd w:id="238"/>
      <w:bookmarkEnd w:id="239"/>
      <w:bookmarkEnd w:id="240"/>
      <w:bookmarkEnd w:id="241"/>
      <w:bookmarkEnd w:id="242"/>
      <w:bookmarkEnd w:id="243"/>
      <w:bookmarkEnd w:id="244"/>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4.3.1 在本章第2.2.2项规定的投标截止时间前，投标人可以修改或撤回已递交的投标文件，但应以书面形式通知招标人。</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4.3.2 投标人修改或撤回已递交投标文件的书面通知应按照本章第3.6.3项的要求签字或盖章。招标人收到书面通知后，向投标人出具签收凭证。</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4.3.3 投标人撤回投标文件的，招标人自收到投标人书面撤回通知之日起5日内退还已收取的投标保证金。</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4.3.4 修改的内容为投标文件的组成部分。修改的投标文件应按照本章第3条、第4条规定进行编制、密封、标记和递交，并标明“修改”字样。</w:t>
      </w:r>
    </w:p>
    <w:p>
      <w:pPr>
        <w:pStyle w:val="8"/>
        <w:pageBreakBefore w:val="0"/>
        <w:widowControl w:val="0"/>
        <w:kinsoku/>
        <w:wordWrap/>
        <w:overflowPunct/>
        <w:topLinePunct w:val="0"/>
        <w:autoSpaceDE/>
        <w:autoSpaceDN/>
        <w:bidi w:val="0"/>
        <w:adjustRightInd/>
        <w:snapToGrid/>
        <w:spacing w:line="440" w:lineRule="exact"/>
        <w:textAlignment w:val="auto"/>
        <w:rPr>
          <w:rFonts w:ascii="宋体" w:hAnsi="宋体" w:eastAsia="宋体" w:cs="宋体"/>
          <w:highlight w:val="none"/>
        </w:rPr>
      </w:pPr>
      <w:bookmarkStart w:id="245" w:name="_Toc152045559"/>
      <w:bookmarkStart w:id="246" w:name="_Toc13684"/>
      <w:bookmarkStart w:id="247" w:name="_Toc247085717"/>
      <w:bookmarkStart w:id="248" w:name="_Toc28345"/>
      <w:bookmarkStart w:id="249" w:name="_Toc246996203"/>
      <w:bookmarkStart w:id="250" w:name="_Toc144974527"/>
      <w:bookmarkStart w:id="251" w:name="_Toc5848"/>
      <w:bookmarkStart w:id="252" w:name="_Toc12581"/>
      <w:bookmarkStart w:id="253" w:name="_Toc21995"/>
      <w:bookmarkStart w:id="254" w:name="_Toc179632577"/>
      <w:bookmarkStart w:id="255" w:name="_Toc32709"/>
      <w:bookmarkStart w:id="256" w:name="_Toc152042335"/>
      <w:bookmarkStart w:id="257" w:name="_Toc246996946"/>
      <w:bookmarkStart w:id="258" w:name="_Toc26227"/>
      <w:r>
        <w:rPr>
          <w:rFonts w:hint="eastAsia" w:ascii="宋体" w:hAnsi="宋体" w:eastAsia="宋体" w:cs="宋体"/>
          <w:highlight w:val="none"/>
        </w:rPr>
        <w:t>5. 开标</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259" w:name="_Toc152045560"/>
      <w:bookmarkStart w:id="260" w:name="_Toc144974528"/>
      <w:bookmarkStart w:id="261" w:name="_Toc246996204"/>
      <w:bookmarkStart w:id="262" w:name="_Toc247085718"/>
      <w:bookmarkStart w:id="263" w:name="_Toc179632578"/>
      <w:bookmarkStart w:id="264" w:name="_Toc152042336"/>
      <w:bookmarkStart w:id="265" w:name="_Toc246996947"/>
      <w:r>
        <w:rPr>
          <w:rFonts w:hint="eastAsia" w:ascii="宋体" w:hAnsi="宋体" w:cs="宋体"/>
          <w:b/>
          <w:bCs/>
          <w:sz w:val="28"/>
          <w:szCs w:val="36"/>
          <w:highlight w:val="none"/>
        </w:rPr>
        <w:t>5.1 开标时间和地点</w:t>
      </w:r>
      <w:bookmarkEnd w:id="259"/>
      <w:bookmarkEnd w:id="260"/>
      <w:bookmarkEnd w:id="261"/>
      <w:bookmarkEnd w:id="262"/>
      <w:bookmarkEnd w:id="263"/>
      <w:bookmarkEnd w:id="264"/>
      <w:bookmarkEnd w:id="265"/>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招标人在本章第2.2.2项规定的投标截止时间（开标时间）和投标人须知前附表规定的地点公开开标，并邀请所有投标人的法定代表人或其委托代理人准时参加。</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266" w:name="_Toc152042337"/>
      <w:bookmarkStart w:id="267" w:name="_Toc152045561"/>
      <w:bookmarkStart w:id="268" w:name="_Toc144974529"/>
      <w:bookmarkStart w:id="269" w:name="_Toc247085719"/>
      <w:bookmarkStart w:id="270" w:name="_Toc246996948"/>
      <w:bookmarkStart w:id="271" w:name="_Toc246996205"/>
      <w:bookmarkStart w:id="272" w:name="_Toc179632579"/>
      <w:r>
        <w:rPr>
          <w:rFonts w:hint="eastAsia" w:ascii="宋体" w:hAnsi="宋体" w:cs="宋体"/>
          <w:b/>
          <w:bCs/>
          <w:sz w:val="28"/>
          <w:szCs w:val="36"/>
          <w:highlight w:val="none"/>
        </w:rPr>
        <w:t>5.2 开标程序</w:t>
      </w:r>
      <w:bookmarkEnd w:id="266"/>
      <w:bookmarkEnd w:id="267"/>
      <w:bookmarkEnd w:id="268"/>
      <w:bookmarkEnd w:id="269"/>
      <w:bookmarkEnd w:id="270"/>
      <w:bookmarkEnd w:id="271"/>
      <w:bookmarkEnd w:id="272"/>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主持人按下列程序进行开标：</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（1）宣布开标纪律；</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（2）公布在投标截止时间前递交投标文件的投标人名称，并点名确认投标人是否派人到场；</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（3）宣布开标人、唱标人、记录人、监标人等有关人员姓名；</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（4）按照投标人须知前附表规定检查投标文件的密封情况；</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（5）按照投标人须知前附表的规定确定并宣布投标文件开标顺序；</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（6）设有标底的，公布标底；</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（7）按照宣布的开标顺序当众开标，公布投标人名称、投标保证金的递交情况、投标报价、质量目标、工期及其他内容，并记录在案；</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（8）规定最高投标限价计算方法的，计算并公布最高投标限价；</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hint="eastAsia" w:ascii="宋体" w:hAnsi="宋体" w:cs="宋体"/>
          <w:color w:val="auto"/>
        </w:rPr>
      </w:pPr>
      <w:r>
        <w:rPr>
          <w:rFonts w:hint="eastAsia" w:ascii="宋体" w:hAnsi="宋体" w:cs="宋体"/>
          <w:color w:val="auto"/>
          <w:highlight w:val="none"/>
        </w:rPr>
        <w:t>（</w:t>
      </w:r>
      <w:r>
        <w:rPr>
          <w:rFonts w:hint="eastAsia" w:ascii="宋体" w:hAnsi="宋体" w:cs="宋体"/>
          <w:color w:val="auto"/>
          <w:highlight w:val="none"/>
          <w:lang w:val="en-US" w:eastAsia="zh-CN"/>
        </w:rPr>
        <w:t>9</w:t>
      </w:r>
      <w:r>
        <w:rPr>
          <w:rFonts w:hint="eastAsia" w:ascii="宋体" w:hAnsi="宋体" w:cs="宋体"/>
          <w:color w:val="auto"/>
          <w:highlight w:val="none"/>
        </w:rPr>
        <w:t>）抽取本项目的F值</w:t>
      </w:r>
      <w:r>
        <w:rPr>
          <w:rFonts w:hint="eastAsia" w:ascii="宋体" w:hAnsi="宋体" w:cs="宋体"/>
          <w:color w:val="auto"/>
        </w:rPr>
        <w:t>。</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（1</w:t>
      </w:r>
      <w:r>
        <w:rPr>
          <w:rFonts w:hint="eastAsia" w:ascii="宋体" w:hAnsi="宋体" w:cs="宋体"/>
          <w:highlight w:val="none"/>
          <w:lang w:val="en-US" w:eastAsia="zh-CN"/>
        </w:rPr>
        <w:t>0</w:t>
      </w:r>
      <w:r>
        <w:rPr>
          <w:rFonts w:hint="eastAsia" w:ascii="宋体" w:hAnsi="宋体" w:cs="宋体"/>
          <w:highlight w:val="none"/>
        </w:rPr>
        <w:t>）投标人代表、招标人代表、监标人、记录人等有关人员在开标记录上签字确认；</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lang w:eastAsia="zh-CN"/>
        </w:rPr>
        <w:t>（</w:t>
      </w:r>
      <w:r>
        <w:rPr>
          <w:rFonts w:hint="eastAsia" w:ascii="宋体" w:hAnsi="宋体" w:cs="宋体"/>
          <w:highlight w:val="none"/>
          <w:lang w:val="en-US" w:eastAsia="zh-CN"/>
        </w:rPr>
        <w:t>11</w:t>
      </w:r>
      <w:r>
        <w:rPr>
          <w:rFonts w:hint="eastAsia" w:ascii="宋体" w:hAnsi="宋体" w:cs="宋体"/>
          <w:highlight w:val="none"/>
          <w:lang w:eastAsia="zh-CN"/>
        </w:rPr>
        <w:t>）</w:t>
      </w:r>
      <w:r>
        <w:rPr>
          <w:rFonts w:hint="eastAsia" w:ascii="宋体" w:hAnsi="宋体" w:cs="宋体"/>
          <w:highlight w:val="none"/>
        </w:rPr>
        <w:t>开标结束。</w:t>
      </w:r>
    </w:p>
    <w:p>
      <w:pPr>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r>
        <w:rPr>
          <w:rFonts w:hint="eastAsia" w:ascii="宋体" w:hAnsi="宋体" w:cs="宋体"/>
          <w:b/>
          <w:bCs/>
          <w:sz w:val="28"/>
          <w:szCs w:val="36"/>
          <w:highlight w:val="none"/>
        </w:rPr>
        <w:t>5.3 开标异议</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投标人对开标有异议的，应当在开标现场提出，招标人当场作出答复，并制作记录。</w:t>
      </w:r>
    </w:p>
    <w:p>
      <w:pPr>
        <w:pStyle w:val="8"/>
        <w:pageBreakBefore w:val="0"/>
        <w:widowControl w:val="0"/>
        <w:kinsoku/>
        <w:wordWrap/>
        <w:overflowPunct/>
        <w:topLinePunct w:val="0"/>
        <w:autoSpaceDE/>
        <w:autoSpaceDN/>
        <w:bidi w:val="0"/>
        <w:adjustRightInd/>
        <w:snapToGrid/>
        <w:spacing w:line="440" w:lineRule="exact"/>
        <w:textAlignment w:val="auto"/>
        <w:rPr>
          <w:rFonts w:ascii="宋体" w:hAnsi="宋体" w:eastAsia="宋体" w:cs="宋体"/>
          <w:highlight w:val="none"/>
        </w:rPr>
      </w:pPr>
      <w:bookmarkStart w:id="273" w:name="_Toc7718"/>
      <w:bookmarkStart w:id="274" w:name="_Toc28156"/>
      <w:bookmarkStart w:id="275" w:name="_Toc247085720"/>
      <w:bookmarkStart w:id="276" w:name="_Toc152042338"/>
      <w:bookmarkStart w:id="277" w:name="_Toc10629"/>
      <w:bookmarkStart w:id="278" w:name="_Toc394"/>
      <w:bookmarkStart w:id="279" w:name="_Toc18076"/>
      <w:bookmarkStart w:id="280" w:name="_Toc26438"/>
      <w:bookmarkStart w:id="281" w:name="_Toc179632580"/>
      <w:bookmarkStart w:id="282" w:name="_Toc246996206"/>
      <w:bookmarkStart w:id="283" w:name="_Toc20359"/>
      <w:bookmarkStart w:id="284" w:name="_Toc152045562"/>
      <w:bookmarkStart w:id="285" w:name="_Toc144974530"/>
      <w:bookmarkStart w:id="286" w:name="_Toc246996949"/>
      <w:r>
        <w:rPr>
          <w:rFonts w:hint="eastAsia" w:ascii="宋体" w:hAnsi="宋体" w:eastAsia="宋体" w:cs="宋体"/>
          <w:highlight w:val="none"/>
        </w:rPr>
        <w:t>6. 评标</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287" w:name="_Toc144974531"/>
      <w:bookmarkStart w:id="288" w:name="_Toc247085721"/>
      <w:bookmarkStart w:id="289" w:name="_Toc246996950"/>
      <w:bookmarkStart w:id="290" w:name="_Toc152042339"/>
      <w:bookmarkStart w:id="291" w:name="_Toc179632581"/>
      <w:bookmarkStart w:id="292" w:name="_Toc152045563"/>
      <w:bookmarkStart w:id="293" w:name="_Toc246996207"/>
      <w:r>
        <w:rPr>
          <w:rFonts w:hint="eastAsia" w:ascii="宋体" w:hAnsi="宋体" w:cs="宋体"/>
          <w:b/>
          <w:bCs/>
          <w:sz w:val="28"/>
          <w:szCs w:val="36"/>
          <w:highlight w:val="none"/>
        </w:rPr>
        <w:t>6.1 评标委员会</w:t>
      </w:r>
      <w:bookmarkEnd w:id="287"/>
      <w:bookmarkEnd w:id="288"/>
      <w:bookmarkEnd w:id="289"/>
      <w:bookmarkEnd w:id="290"/>
      <w:bookmarkEnd w:id="291"/>
      <w:bookmarkEnd w:id="292"/>
      <w:bookmarkEnd w:id="293"/>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6.1.1 评标由招标人依法组建的评标委员会负责。评标委员会由</w:t>
      </w:r>
      <w:r>
        <w:rPr>
          <w:rFonts w:hint="eastAsia" w:ascii="宋体" w:hAnsi="宋体" w:cs="宋体"/>
          <w:highlight w:val="none"/>
          <w:lang w:eastAsia="zh-CN"/>
        </w:rPr>
        <w:t>招标人代表以及</w:t>
      </w:r>
      <w:r>
        <w:rPr>
          <w:rFonts w:hint="eastAsia" w:ascii="宋体" w:hAnsi="宋体" w:cs="宋体"/>
          <w:highlight w:val="none"/>
        </w:rPr>
        <w:t>有关技术、经济等方面的专家组成。评标委员会成员人数以及技术、经济等方面专家的确定方式见投标人须知前附表。</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6.1.2 评标委员会成员有下列情形之一的，应当回避：</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（1）投标人或投标人主要负责人的近亲属；</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（2）项目主管部门或者行政监督部门的人员；</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（3）与投标人有经济利益关系；</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（4）曾因在招标、评标以及其他与招标投标有关活动中从事违法行为而受过行政处罚或刑事处罚的；</w:t>
      </w:r>
    </w:p>
    <w:p>
      <w:pPr>
        <w:pageBreakBefore w:val="0"/>
        <w:widowControl w:val="0"/>
        <w:kinsoku/>
        <w:wordWrap/>
        <w:overflowPunct/>
        <w:topLinePunct w:val="0"/>
        <w:autoSpaceDE/>
        <w:autoSpaceDN/>
        <w:bidi w:val="0"/>
        <w:adjustRightInd/>
        <w:snapToGrid/>
        <w:spacing w:line="440" w:lineRule="exact"/>
        <w:ind w:firstLine="359" w:firstLineChars="171"/>
        <w:textAlignment w:val="auto"/>
        <w:rPr>
          <w:rFonts w:ascii="宋体" w:hAnsi="宋体" w:cs="宋体"/>
          <w:highlight w:val="none"/>
        </w:rPr>
      </w:pPr>
      <w:r>
        <w:rPr>
          <w:rFonts w:hint="eastAsia" w:ascii="宋体" w:hAnsi="宋体" w:cs="宋体"/>
          <w:highlight w:val="none"/>
        </w:rPr>
        <w:t>（5）与投标人有其他利害关系。</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294" w:name="_Toc152042340"/>
      <w:bookmarkStart w:id="295" w:name="_Toc144974532"/>
      <w:bookmarkStart w:id="296" w:name="_Toc246996208"/>
      <w:bookmarkStart w:id="297" w:name="_Toc246996951"/>
      <w:bookmarkStart w:id="298" w:name="_Toc247085722"/>
      <w:bookmarkStart w:id="299" w:name="_Toc179632582"/>
      <w:bookmarkStart w:id="300" w:name="_Toc152045564"/>
      <w:r>
        <w:rPr>
          <w:rFonts w:hint="eastAsia" w:ascii="宋体" w:hAnsi="宋体" w:cs="宋体"/>
          <w:b/>
          <w:bCs/>
          <w:sz w:val="28"/>
          <w:szCs w:val="36"/>
          <w:highlight w:val="none"/>
        </w:rPr>
        <w:t>6.2 评标原则</w:t>
      </w:r>
      <w:bookmarkEnd w:id="294"/>
      <w:bookmarkEnd w:id="295"/>
      <w:bookmarkEnd w:id="296"/>
      <w:bookmarkEnd w:id="297"/>
      <w:bookmarkEnd w:id="298"/>
      <w:bookmarkEnd w:id="299"/>
      <w:bookmarkEnd w:id="300"/>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评标活动遵循公平、公正、科学和择优的原则。</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301" w:name="_Toc144974533"/>
      <w:bookmarkStart w:id="302" w:name="_Toc152042341"/>
      <w:bookmarkStart w:id="303" w:name="_Toc247085723"/>
      <w:bookmarkStart w:id="304" w:name="_Toc246996952"/>
      <w:bookmarkStart w:id="305" w:name="_Toc246996209"/>
      <w:bookmarkStart w:id="306" w:name="_Toc179632583"/>
      <w:bookmarkStart w:id="307" w:name="_Toc152045565"/>
      <w:r>
        <w:rPr>
          <w:rFonts w:hint="eastAsia" w:ascii="宋体" w:hAnsi="宋体" w:cs="宋体"/>
          <w:b/>
          <w:bCs/>
          <w:sz w:val="28"/>
          <w:szCs w:val="36"/>
          <w:highlight w:val="none"/>
        </w:rPr>
        <w:t>6.3 评标</w:t>
      </w:r>
      <w:bookmarkEnd w:id="301"/>
      <w:bookmarkEnd w:id="302"/>
      <w:bookmarkEnd w:id="303"/>
      <w:bookmarkEnd w:id="304"/>
      <w:bookmarkEnd w:id="305"/>
      <w:bookmarkEnd w:id="306"/>
      <w:bookmarkEnd w:id="307"/>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评标委员会按照第三章“评标办法”规定的方法、评审因素、标准和程序对投标文件进行评审。第三章“评标办法”没有规定的方法、评审因素和标准，不作为评标依据。</w:t>
      </w:r>
    </w:p>
    <w:p>
      <w:pPr>
        <w:pStyle w:val="8"/>
        <w:pageBreakBefore w:val="0"/>
        <w:widowControl w:val="0"/>
        <w:kinsoku/>
        <w:wordWrap/>
        <w:overflowPunct/>
        <w:topLinePunct w:val="0"/>
        <w:autoSpaceDE/>
        <w:autoSpaceDN/>
        <w:bidi w:val="0"/>
        <w:adjustRightInd/>
        <w:snapToGrid/>
        <w:spacing w:line="440" w:lineRule="exact"/>
        <w:textAlignment w:val="auto"/>
        <w:rPr>
          <w:rFonts w:ascii="宋体" w:hAnsi="宋体" w:eastAsia="宋体" w:cs="宋体"/>
          <w:highlight w:val="none"/>
        </w:rPr>
      </w:pPr>
      <w:bookmarkStart w:id="308" w:name="_Toc25053"/>
      <w:bookmarkStart w:id="309" w:name="_Toc5691"/>
      <w:bookmarkStart w:id="310" w:name="_Toc27667"/>
      <w:bookmarkStart w:id="311" w:name="_Toc21324"/>
      <w:bookmarkStart w:id="312" w:name="_Toc152045566"/>
      <w:bookmarkStart w:id="313" w:name="_Toc19245"/>
      <w:bookmarkStart w:id="314" w:name="_Toc246996210"/>
      <w:bookmarkStart w:id="315" w:name="_Toc30758"/>
      <w:bookmarkStart w:id="316" w:name="_Toc144974534"/>
      <w:bookmarkStart w:id="317" w:name="_Toc152042342"/>
      <w:bookmarkStart w:id="318" w:name="_Toc15721"/>
      <w:bookmarkStart w:id="319" w:name="_Toc247085724"/>
      <w:bookmarkStart w:id="320" w:name="_Toc179632584"/>
      <w:bookmarkStart w:id="321" w:name="_Toc246996953"/>
      <w:r>
        <w:rPr>
          <w:rFonts w:hint="eastAsia" w:ascii="宋体" w:hAnsi="宋体" w:eastAsia="宋体" w:cs="宋体"/>
          <w:highlight w:val="none"/>
        </w:rPr>
        <w:t>7. 合同授予</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322" w:name="_Toc246996954"/>
      <w:bookmarkStart w:id="323" w:name="_Toc246996211"/>
      <w:bookmarkStart w:id="324" w:name="_Toc247085725"/>
      <w:bookmarkStart w:id="325" w:name="_Toc144974535"/>
      <w:bookmarkStart w:id="326" w:name="_Toc152045567"/>
      <w:bookmarkStart w:id="327" w:name="_Toc152042343"/>
      <w:bookmarkStart w:id="328" w:name="_Toc179632585"/>
      <w:r>
        <w:rPr>
          <w:rFonts w:hint="eastAsia" w:ascii="宋体" w:hAnsi="宋体" w:cs="宋体"/>
          <w:b/>
          <w:bCs/>
          <w:sz w:val="28"/>
          <w:szCs w:val="36"/>
          <w:highlight w:val="none"/>
        </w:rPr>
        <w:t>7.1 定标方式</w:t>
      </w:r>
      <w:bookmarkEnd w:id="322"/>
      <w:bookmarkEnd w:id="323"/>
      <w:bookmarkEnd w:id="324"/>
      <w:bookmarkEnd w:id="325"/>
      <w:bookmarkEnd w:id="326"/>
      <w:bookmarkEnd w:id="327"/>
      <w:bookmarkEnd w:id="328"/>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除投标人须知前附表规定评标委员会直接确定中标人外，招标人依据评标委员会推荐的中标候选人确定中标人，评标委员会推荐中标候选人的人数见投标人须知前附表。</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r>
        <w:rPr>
          <w:rFonts w:hint="eastAsia" w:ascii="宋体" w:hAnsi="宋体" w:cs="宋体"/>
          <w:b/>
          <w:bCs/>
          <w:sz w:val="28"/>
          <w:szCs w:val="36"/>
          <w:highlight w:val="none"/>
        </w:rPr>
        <w:t>7.2 中标候选人公示</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招标人在投标人须知前附表规定的媒介公示中标候选人。</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329" w:name="_Toc152042344"/>
      <w:bookmarkStart w:id="330" w:name="_Toc246996212"/>
      <w:bookmarkStart w:id="331" w:name="_Toc144974536"/>
      <w:bookmarkStart w:id="332" w:name="_Toc179632586"/>
      <w:bookmarkStart w:id="333" w:name="_Toc247085726"/>
      <w:bookmarkStart w:id="334" w:name="_Toc152045568"/>
      <w:bookmarkStart w:id="335" w:name="_Toc246996955"/>
      <w:r>
        <w:rPr>
          <w:rFonts w:hint="eastAsia" w:ascii="宋体" w:hAnsi="宋体" w:cs="宋体"/>
          <w:b/>
          <w:bCs/>
          <w:sz w:val="28"/>
          <w:szCs w:val="36"/>
          <w:highlight w:val="none"/>
        </w:rPr>
        <w:t>7.3 中标通知</w:t>
      </w:r>
      <w:bookmarkEnd w:id="329"/>
      <w:bookmarkEnd w:id="330"/>
      <w:bookmarkEnd w:id="331"/>
      <w:bookmarkEnd w:id="332"/>
      <w:bookmarkEnd w:id="333"/>
      <w:bookmarkEnd w:id="334"/>
      <w:bookmarkEnd w:id="335"/>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在本章第3.3款规定的投标有效期内，招标人以书面形式向中标人发出中标通知书，同时将中标结果通知未中标的投标人。</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336" w:name="_Toc152045569"/>
      <w:bookmarkStart w:id="337" w:name="_Toc179632587"/>
      <w:bookmarkStart w:id="338" w:name="_Toc247085727"/>
      <w:bookmarkStart w:id="339" w:name="_Toc152042345"/>
      <w:bookmarkStart w:id="340" w:name="_Toc144974537"/>
      <w:bookmarkStart w:id="341" w:name="_Toc246996213"/>
      <w:bookmarkStart w:id="342" w:name="_Toc246996956"/>
      <w:r>
        <w:rPr>
          <w:rFonts w:hint="eastAsia" w:ascii="宋体" w:hAnsi="宋体" w:cs="宋体"/>
          <w:b/>
          <w:bCs/>
          <w:sz w:val="28"/>
          <w:szCs w:val="36"/>
          <w:highlight w:val="none"/>
        </w:rPr>
        <w:t>7.4 履约担保</w:t>
      </w:r>
      <w:bookmarkEnd w:id="336"/>
      <w:bookmarkEnd w:id="337"/>
      <w:bookmarkEnd w:id="338"/>
      <w:bookmarkEnd w:id="339"/>
      <w:bookmarkEnd w:id="340"/>
      <w:bookmarkEnd w:id="341"/>
      <w:bookmarkEnd w:id="342"/>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7.4.1在签订合同前，中标人应按投标人须知前附表规定的担保形式和招标文件第四章“合同条款及格式”规定的或者事先经过招标人书面认可的履约担保格式向招标人提交履约担保。除投标人须知前附表另有规定外，履约担保金额为中标合同金额的</w:t>
      </w:r>
      <w:r>
        <w:rPr>
          <w:rFonts w:hint="eastAsia" w:ascii="宋体" w:hAnsi="宋体" w:cs="宋体"/>
          <w:highlight w:val="none"/>
          <w:lang w:val="en-US" w:eastAsia="zh-CN"/>
        </w:rPr>
        <w:t>5</w:t>
      </w:r>
      <w:r>
        <w:rPr>
          <w:rFonts w:hint="eastAsia" w:ascii="宋体" w:hAnsi="宋体" w:cs="宋体"/>
          <w:highlight w:val="none"/>
        </w:rPr>
        <w:t>%。</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7.4.2 中标人不能按本章第7.4.1项要求提交履约担保的，视为放弃中标，其投标保证金不予退还，给招标人造成的损失超过投标保证金数额的，中标人还应当对超过部分予以赔偿。</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343" w:name="_Toc246996957"/>
      <w:bookmarkStart w:id="344" w:name="_Toc152045570"/>
      <w:bookmarkStart w:id="345" w:name="_Toc144974538"/>
      <w:bookmarkStart w:id="346" w:name="_Toc179632588"/>
      <w:bookmarkStart w:id="347" w:name="_Toc152042346"/>
      <w:bookmarkStart w:id="348" w:name="_Toc247085728"/>
      <w:bookmarkStart w:id="349" w:name="_Toc246996214"/>
      <w:r>
        <w:rPr>
          <w:rFonts w:hint="eastAsia" w:ascii="宋体" w:hAnsi="宋体" w:cs="宋体"/>
          <w:b/>
          <w:bCs/>
          <w:sz w:val="28"/>
          <w:szCs w:val="36"/>
          <w:highlight w:val="none"/>
        </w:rPr>
        <w:t>7.5 签订合同</w:t>
      </w:r>
      <w:bookmarkEnd w:id="343"/>
      <w:bookmarkEnd w:id="344"/>
      <w:bookmarkEnd w:id="345"/>
      <w:bookmarkEnd w:id="346"/>
      <w:bookmarkEnd w:id="347"/>
      <w:bookmarkEnd w:id="348"/>
      <w:bookmarkEnd w:id="349"/>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7.5.1招标人和中标人应当自中标通知书发出之日起30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7.5.2 发出中标通知书后，招标人无正当理由拒签合同的，招标人向中标人退还投标保证金；给中标人造成损失的，还应当赔偿损失。</w:t>
      </w:r>
      <w:bookmarkStart w:id="350" w:name="_Toc19224"/>
      <w:bookmarkStart w:id="351" w:name="_Toc20922"/>
      <w:bookmarkStart w:id="352" w:name="_Toc9453"/>
      <w:bookmarkStart w:id="353" w:name="_Toc18550"/>
      <w:bookmarkStart w:id="354" w:name="_Toc9962"/>
      <w:bookmarkStart w:id="355" w:name="_Toc29062"/>
    </w:p>
    <w:p>
      <w:pPr>
        <w:pStyle w:val="8"/>
        <w:pageBreakBefore w:val="0"/>
        <w:widowControl w:val="0"/>
        <w:kinsoku/>
        <w:wordWrap/>
        <w:overflowPunct/>
        <w:topLinePunct w:val="0"/>
        <w:autoSpaceDE/>
        <w:autoSpaceDN/>
        <w:bidi w:val="0"/>
        <w:adjustRightInd/>
        <w:snapToGrid/>
        <w:spacing w:line="440" w:lineRule="exact"/>
        <w:textAlignment w:val="auto"/>
        <w:rPr>
          <w:rFonts w:ascii="宋体" w:hAnsi="宋体" w:eastAsia="宋体" w:cs="宋体"/>
          <w:highlight w:val="none"/>
        </w:rPr>
      </w:pPr>
      <w:bookmarkStart w:id="356" w:name="_Toc9049"/>
      <w:r>
        <w:rPr>
          <w:rFonts w:hint="eastAsia" w:ascii="宋体" w:hAnsi="宋体" w:eastAsia="宋体" w:cs="宋体"/>
          <w:highlight w:val="none"/>
        </w:rPr>
        <w:t>8. 纪律和监督</w:t>
      </w:r>
      <w:bookmarkEnd w:id="350"/>
      <w:bookmarkEnd w:id="351"/>
      <w:bookmarkEnd w:id="352"/>
      <w:bookmarkEnd w:id="353"/>
      <w:bookmarkEnd w:id="354"/>
      <w:bookmarkEnd w:id="355"/>
      <w:bookmarkEnd w:id="356"/>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357" w:name="_Toc246996962"/>
      <w:bookmarkStart w:id="358" w:name="_Toc152045575"/>
      <w:bookmarkStart w:id="359" w:name="_Toc246996219"/>
      <w:bookmarkStart w:id="360" w:name="_Toc179632593"/>
      <w:bookmarkStart w:id="361" w:name="_Toc296590983"/>
      <w:bookmarkStart w:id="362" w:name="_Toc247085733"/>
      <w:bookmarkStart w:id="363" w:name="_Toc152042351"/>
      <w:bookmarkStart w:id="364" w:name="_Toc144974543"/>
      <w:r>
        <w:rPr>
          <w:rFonts w:hint="eastAsia" w:ascii="宋体" w:hAnsi="宋体" w:cs="宋体"/>
          <w:b/>
          <w:bCs/>
          <w:sz w:val="28"/>
          <w:szCs w:val="36"/>
          <w:highlight w:val="none"/>
        </w:rPr>
        <w:t>8.1 对招标人的纪律要求</w:t>
      </w:r>
      <w:bookmarkEnd w:id="357"/>
      <w:bookmarkEnd w:id="358"/>
      <w:bookmarkEnd w:id="359"/>
      <w:bookmarkEnd w:id="360"/>
      <w:bookmarkEnd w:id="361"/>
      <w:bookmarkEnd w:id="362"/>
      <w:bookmarkEnd w:id="363"/>
      <w:bookmarkEnd w:id="364"/>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招标人不得泄漏招标投标活动中应当保密的情况和资料，不得与投标人串通损害国家利益、社会公共利益或者他人合法权益。</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365" w:name="_Toc152042352"/>
      <w:bookmarkStart w:id="366" w:name="_Toc246996220"/>
      <w:bookmarkStart w:id="367" w:name="_Toc179632594"/>
      <w:bookmarkStart w:id="368" w:name="_Toc247085734"/>
      <w:bookmarkStart w:id="369" w:name="_Toc152045576"/>
      <w:bookmarkStart w:id="370" w:name="_Toc144974544"/>
      <w:bookmarkStart w:id="371" w:name="_Toc246996963"/>
      <w:r>
        <w:rPr>
          <w:rFonts w:hint="eastAsia" w:ascii="宋体" w:hAnsi="宋体" w:cs="宋体"/>
          <w:b/>
          <w:bCs/>
          <w:sz w:val="28"/>
          <w:szCs w:val="36"/>
          <w:highlight w:val="none"/>
        </w:rPr>
        <w:t>8.2 对投标人的纪律要求</w:t>
      </w:r>
      <w:bookmarkEnd w:id="365"/>
      <w:bookmarkEnd w:id="366"/>
      <w:bookmarkEnd w:id="367"/>
      <w:bookmarkEnd w:id="368"/>
      <w:bookmarkEnd w:id="369"/>
      <w:bookmarkEnd w:id="370"/>
      <w:bookmarkEnd w:id="371"/>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372" w:name="_Toc144974545"/>
      <w:bookmarkStart w:id="373" w:name="_Toc247085735"/>
      <w:bookmarkStart w:id="374" w:name="_Toc179632595"/>
      <w:bookmarkStart w:id="375" w:name="_Toc246996964"/>
      <w:bookmarkStart w:id="376" w:name="_Toc152042353"/>
      <w:bookmarkStart w:id="377" w:name="_Toc246996221"/>
      <w:bookmarkStart w:id="378" w:name="_Toc152045577"/>
      <w:r>
        <w:rPr>
          <w:rFonts w:hint="eastAsia" w:ascii="宋体" w:hAnsi="宋体" w:cs="宋体"/>
          <w:b/>
          <w:bCs/>
          <w:sz w:val="28"/>
          <w:szCs w:val="36"/>
          <w:highlight w:val="none"/>
        </w:rPr>
        <w:t>8.3 对评标委员会成员的纪律要求</w:t>
      </w:r>
      <w:bookmarkEnd w:id="372"/>
      <w:bookmarkEnd w:id="373"/>
      <w:bookmarkEnd w:id="374"/>
      <w:bookmarkEnd w:id="375"/>
      <w:bookmarkEnd w:id="376"/>
      <w:bookmarkEnd w:id="377"/>
      <w:bookmarkEnd w:id="378"/>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379" w:name="_Toc152045578"/>
      <w:bookmarkStart w:id="380" w:name="_Toc247085736"/>
      <w:bookmarkStart w:id="381" w:name="_Toc246996222"/>
      <w:bookmarkStart w:id="382" w:name="_Toc152042354"/>
      <w:bookmarkStart w:id="383" w:name="_Toc179632596"/>
      <w:bookmarkStart w:id="384" w:name="_Toc246996965"/>
      <w:bookmarkStart w:id="385" w:name="_Toc144974546"/>
      <w:r>
        <w:rPr>
          <w:rFonts w:hint="eastAsia" w:ascii="宋体" w:hAnsi="宋体" w:cs="宋体"/>
          <w:b/>
          <w:bCs/>
          <w:sz w:val="28"/>
          <w:szCs w:val="36"/>
          <w:highlight w:val="none"/>
        </w:rPr>
        <w:t>8.4 对与评标活动有关的工作人员的纪律要求</w:t>
      </w:r>
      <w:bookmarkEnd w:id="379"/>
      <w:bookmarkEnd w:id="380"/>
      <w:bookmarkEnd w:id="381"/>
      <w:bookmarkEnd w:id="382"/>
      <w:bookmarkEnd w:id="383"/>
      <w:bookmarkEnd w:id="384"/>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bookmarkStart w:id="386" w:name="_Toc152042355"/>
      <w:r>
        <w:rPr>
          <w:rFonts w:hint="eastAsia" w:ascii="宋体" w:hAnsi="宋体" w:cs="宋体"/>
          <w:highlight w:val="none"/>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386"/>
    </w:p>
    <w:p>
      <w:pPr>
        <w:keepNext/>
        <w:keepLines/>
        <w:pageBreakBefore w:val="0"/>
        <w:widowControl w:val="0"/>
        <w:kinsoku/>
        <w:wordWrap/>
        <w:overflowPunct/>
        <w:topLinePunct w:val="0"/>
        <w:autoSpaceDE/>
        <w:autoSpaceDN/>
        <w:bidi w:val="0"/>
        <w:adjustRightInd/>
        <w:snapToGrid/>
        <w:spacing w:line="440" w:lineRule="exact"/>
        <w:textAlignment w:val="auto"/>
        <w:rPr>
          <w:rFonts w:ascii="宋体" w:hAnsi="宋体" w:cs="宋体"/>
          <w:b/>
          <w:bCs/>
          <w:sz w:val="28"/>
          <w:szCs w:val="36"/>
          <w:highlight w:val="none"/>
        </w:rPr>
      </w:pPr>
      <w:bookmarkStart w:id="387" w:name="_Toc246996223"/>
      <w:bookmarkStart w:id="388" w:name="_Toc246996966"/>
      <w:bookmarkStart w:id="389" w:name="_Toc152042356"/>
      <w:bookmarkStart w:id="390" w:name="_Toc152045579"/>
      <w:bookmarkStart w:id="391" w:name="_Toc247085737"/>
      <w:bookmarkStart w:id="392" w:name="_Toc179632597"/>
      <w:r>
        <w:rPr>
          <w:rFonts w:hint="eastAsia" w:ascii="宋体" w:hAnsi="宋体" w:cs="宋体"/>
          <w:b/>
          <w:bCs/>
          <w:sz w:val="28"/>
          <w:szCs w:val="36"/>
          <w:highlight w:val="none"/>
        </w:rPr>
        <w:t xml:space="preserve">8.5 </w:t>
      </w:r>
      <w:r>
        <w:rPr>
          <w:rFonts w:hint="eastAsia" w:ascii="宋体" w:hAnsi="宋体" w:cs="宋体"/>
          <w:b/>
          <w:bCs/>
          <w:sz w:val="28"/>
          <w:szCs w:val="36"/>
          <w:highlight w:val="none"/>
          <w:lang w:eastAsia="zh-CN"/>
        </w:rPr>
        <w:t>异议与</w:t>
      </w:r>
      <w:r>
        <w:rPr>
          <w:rFonts w:hint="eastAsia" w:ascii="宋体" w:hAnsi="宋体" w:cs="宋体"/>
          <w:b/>
          <w:bCs/>
          <w:sz w:val="28"/>
          <w:szCs w:val="36"/>
          <w:highlight w:val="none"/>
        </w:rPr>
        <w:t>投诉</w:t>
      </w:r>
      <w:bookmarkEnd w:id="385"/>
      <w:bookmarkEnd w:id="387"/>
      <w:bookmarkEnd w:id="388"/>
      <w:bookmarkEnd w:id="389"/>
      <w:bookmarkEnd w:id="390"/>
      <w:bookmarkEnd w:id="391"/>
      <w:bookmarkEnd w:id="392"/>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bookmarkStart w:id="393" w:name="_Toc14658"/>
      <w:bookmarkStart w:id="394" w:name="_Toc10325"/>
      <w:bookmarkStart w:id="395" w:name="_Toc6198"/>
      <w:bookmarkStart w:id="396" w:name="_Toc246996224"/>
      <w:bookmarkStart w:id="397" w:name="_Toc152042357"/>
      <w:bookmarkStart w:id="398" w:name="_Toc247085738"/>
      <w:bookmarkStart w:id="399" w:name="_Toc1545"/>
      <w:bookmarkStart w:id="400" w:name="_Toc246996967"/>
      <w:bookmarkStart w:id="401" w:name="_Toc179632598"/>
      <w:bookmarkStart w:id="402" w:name="_Toc25591"/>
      <w:bookmarkStart w:id="403" w:name="_Toc152045580"/>
      <w:bookmarkStart w:id="404" w:name="_Toc144974547"/>
      <w:bookmarkStart w:id="405" w:name="_Toc1595"/>
      <w:r>
        <w:rPr>
          <w:rFonts w:hint="eastAsia" w:ascii="宋体" w:hAnsi="宋体" w:cs="宋体"/>
          <w:highlight w:val="none"/>
        </w:rPr>
        <w:t>8.5.1投标人或者其他利害关系人对依法必须进行招标的项目的评标结果有异议的，应在公示期内以书面形式由法定代表人签字或印盖本人姓名章并加公章向招标人或招标代理机构提出异议；招标人应自收到异议之日起3日内进行书面答复，但答复内容不涉及商业秘密；作出答复前，应当暂停招标投标活动。异议书可同时抄送该招标项目的行政监督部门。</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8.5.2投标人或者其他利害关系人对异议答复不满，应当在知道或者应当知道其权益受到侵害之日起10日内，按照《中华人民共和国招标投标法实施条例》、《工程建设项目招标投标活动投诉处理办法》（七部委第11号令：2004年8月施行，九部委23号令修改）等规定向有关行政监督部门提出书面投诉。未先进行异议的，投诉不予受理。</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8.5.3 异议文件应包括以下主要内容，并按照“谁主张、谁举证”的原则，附上相关证明材料。否则，招标人或代理机构不予受理：</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（1）项目名称、项目编号、招标公告发布时间、开标时间；</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（2）具体的异议事项及法律依据（具体条款）；</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（3）异议相关证明文件或证明材料；</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（4）投标人名称、地址、联系方式（包括手机、传真号码）；</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（5）法定代表人签署本人姓名或印盖本人姓名章并加盖单位公章等。</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8.5.4 投标人不得恶意异议或投诉，并对异议内容的真实性承担责任。投标人或者其他利害关系人通过捏造事实、伪造证明材料等方式提出异议或投诉，或者以非法手段取得证明材料等进行恶意异议、投诉的，阻碍招投标活动正常进行的，属于严重不良行为，由招标人、行政监督部门驳回异议或投诉，</w:t>
      </w:r>
      <w:r>
        <w:rPr>
          <w:rFonts w:hint="eastAsia" w:ascii="宋体" w:hAnsi="宋体" w:cs="宋体"/>
          <w:color w:val="000000"/>
          <w:highlight w:val="none"/>
        </w:rPr>
        <w:t>投标保证金不予退还,</w:t>
      </w:r>
      <w:r>
        <w:rPr>
          <w:rFonts w:hint="eastAsia" w:ascii="宋体" w:hAnsi="宋体" w:cs="宋体"/>
          <w:highlight w:val="none"/>
        </w:rPr>
        <w:t>并由行政监督部门对其记录不良行为，限制一定期限内在温县从事招投标活动，并在温县公共资源交易中心网站予以公示.</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s="宋体"/>
          <w:highlight w:val="none"/>
        </w:rPr>
      </w:pPr>
      <w:r>
        <w:rPr>
          <w:rFonts w:hint="eastAsia" w:ascii="宋体" w:hAnsi="宋体" w:cs="宋体"/>
          <w:highlight w:val="none"/>
        </w:rPr>
        <w:t>8.5.5招标人或代理机构将在收到符合上述条件的书面异议后3日内审查异议事项，作出答复或相关处理决定，并以书面形式通知异议投标人和其他有关投标人，但答复的内容不涉及商业秘密。</w:t>
      </w:r>
    </w:p>
    <w:p>
      <w:pPr>
        <w:pStyle w:val="8"/>
        <w:pageBreakBefore w:val="0"/>
        <w:widowControl w:val="0"/>
        <w:kinsoku/>
        <w:wordWrap/>
        <w:overflowPunct/>
        <w:topLinePunct w:val="0"/>
        <w:autoSpaceDE/>
        <w:autoSpaceDN/>
        <w:bidi w:val="0"/>
        <w:adjustRightInd/>
        <w:snapToGrid/>
        <w:spacing w:line="440" w:lineRule="exact"/>
        <w:textAlignment w:val="auto"/>
        <w:rPr>
          <w:rFonts w:ascii="宋体" w:hAnsi="宋体" w:eastAsia="宋体" w:cs="宋体"/>
          <w:highlight w:val="none"/>
        </w:rPr>
      </w:pPr>
      <w:bookmarkStart w:id="406" w:name="_Toc29342"/>
      <w:r>
        <w:rPr>
          <w:rFonts w:hint="eastAsia" w:ascii="宋体" w:hAnsi="宋体" w:eastAsia="宋体" w:cs="宋体"/>
          <w:highlight w:val="none"/>
        </w:rPr>
        <w:t>9. 需要补充的其他内容</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highlight w:val="none"/>
        </w:rPr>
      </w:pPr>
      <w:bookmarkStart w:id="407" w:name="_Toc9164"/>
      <w:bookmarkStart w:id="408" w:name="_Toc15623"/>
      <w:bookmarkStart w:id="409" w:name="_Toc11744"/>
      <w:bookmarkStart w:id="410" w:name="_Toc3886"/>
      <w:bookmarkStart w:id="411" w:name="_Toc12462"/>
      <w:bookmarkStart w:id="412" w:name="_Toc6787"/>
      <w:r>
        <w:rPr>
          <w:rFonts w:hint="eastAsia" w:ascii="宋体" w:hAnsi="宋体" w:cs="宋体"/>
          <w:highlight w:val="none"/>
        </w:rPr>
        <w:t>需要补充的其他内容：见投标人须知前附表。</w:t>
      </w:r>
      <w:bookmarkEnd w:id="407"/>
      <w:bookmarkEnd w:id="408"/>
      <w:bookmarkEnd w:id="409"/>
      <w:bookmarkEnd w:id="410"/>
      <w:bookmarkEnd w:id="411"/>
      <w:bookmarkEnd w:id="412"/>
    </w:p>
    <w:p>
      <w:pPr>
        <w:ind w:firstLine="420" w:firstLineChars="200"/>
        <w:rPr>
          <w:rFonts w:ascii="宋体" w:hAnsi="宋体"/>
          <w:highlight w:val="none"/>
        </w:rPr>
      </w:pPr>
    </w:p>
    <w:p>
      <w:pPr>
        <w:ind w:firstLine="420" w:firstLineChars="200"/>
        <w:rPr>
          <w:rFonts w:ascii="宋体" w:hAnsi="宋体"/>
          <w:highlight w:val="none"/>
        </w:rPr>
      </w:pPr>
    </w:p>
    <w:p>
      <w:pPr>
        <w:ind w:firstLine="420" w:firstLineChars="200"/>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pStyle w:val="26"/>
        <w:rPr>
          <w:rFonts w:ascii="宋体" w:hAnsi="宋体"/>
          <w:highlight w:val="none"/>
        </w:rPr>
      </w:pPr>
    </w:p>
    <w:p>
      <w:pPr>
        <w:rPr>
          <w:rFonts w:ascii="宋体" w:hAnsi="宋体" w:cs="宋体"/>
          <w:b/>
          <w:sz w:val="28"/>
          <w:szCs w:val="28"/>
          <w:highlight w:val="none"/>
        </w:rPr>
      </w:pPr>
      <w:bookmarkStart w:id="413" w:name="_Toc152045582"/>
      <w:bookmarkStart w:id="414" w:name="_Toc247085740"/>
      <w:bookmarkStart w:id="415" w:name="_Toc144974549"/>
      <w:bookmarkStart w:id="416" w:name="_Toc13234"/>
      <w:bookmarkStart w:id="417" w:name="_Toc296602470"/>
      <w:bookmarkStart w:id="418" w:name="_Toc152042359"/>
      <w:bookmarkStart w:id="419" w:name="_Toc179632600"/>
      <w:bookmarkStart w:id="420" w:name="_Toc246996968"/>
      <w:bookmarkStart w:id="421" w:name="_Toc246996225"/>
      <w:r>
        <w:rPr>
          <w:rFonts w:hint="eastAsia" w:ascii="宋体" w:hAnsi="宋体" w:cs="宋体"/>
          <w:b/>
          <w:sz w:val="28"/>
          <w:szCs w:val="28"/>
          <w:highlight w:val="none"/>
        </w:rPr>
        <w:t>附件一：问题澄清通知</w:t>
      </w:r>
      <w:bookmarkEnd w:id="413"/>
      <w:bookmarkEnd w:id="414"/>
      <w:bookmarkEnd w:id="415"/>
      <w:bookmarkEnd w:id="416"/>
      <w:bookmarkEnd w:id="417"/>
      <w:bookmarkEnd w:id="418"/>
      <w:bookmarkEnd w:id="419"/>
      <w:bookmarkEnd w:id="420"/>
      <w:bookmarkEnd w:id="421"/>
    </w:p>
    <w:p>
      <w:pPr>
        <w:spacing w:line="440" w:lineRule="exact"/>
        <w:jc w:val="center"/>
        <w:rPr>
          <w:rFonts w:ascii="宋体" w:hAnsi="宋体" w:cs="宋体"/>
          <w:szCs w:val="21"/>
          <w:highlight w:val="none"/>
        </w:rPr>
      </w:pPr>
    </w:p>
    <w:p>
      <w:pPr>
        <w:spacing w:line="440" w:lineRule="exact"/>
        <w:jc w:val="center"/>
        <w:rPr>
          <w:rFonts w:ascii="宋体" w:hAnsi="宋体" w:cs="宋体"/>
          <w:sz w:val="28"/>
          <w:szCs w:val="28"/>
          <w:highlight w:val="none"/>
        </w:rPr>
      </w:pPr>
      <w:r>
        <w:rPr>
          <w:rFonts w:hint="eastAsia" w:ascii="宋体" w:hAnsi="宋体" w:cs="宋体"/>
          <w:sz w:val="28"/>
          <w:szCs w:val="28"/>
          <w:highlight w:val="none"/>
        </w:rPr>
        <w:t>问题澄清通知</w:t>
      </w:r>
    </w:p>
    <w:p>
      <w:pPr>
        <w:spacing w:line="440" w:lineRule="exact"/>
        <w:rPr>
          <w:rFonts w:ascii="宋体" w:hAnsi="宋体" w:cs="宋体"/>
          <w:szCs w:val="21"/>
          <w:highlight w:val="none"/>
        </w:rPr>
      </w:pPr>
      <w:r>
        <w:rPr>
          <w:rFonts w:hint="eastAsia" w:ascii="宋体" w:hAnsi="宋体" w:cs="宋体"/>
          <w:szCs w:val="21"/>
          <w:highlight w:val="none"/>
        </w:rPr>
        <w:t xml:space="preserve">                                编号：</w:t>
      </w:r>
    </w:p>
    <w:p>
      <w:pPr>
        <w:spacing w:line="440" w:lineRule="exact"/>
        <w:rPr>
          <w:rFonts w:ascii="宋体" w:hAnsi="宋体" w:cs="宋体"/>
          <w:szCs w:val="21"/>
          <w:highlight w:val="none"/>
        </w:rPr>
      </w:pPr>
    </w:p>
    <w:p>
      <w:pPr>
        <w:spacing w:line="440" w:lineRule="exact"/>
        <w:ind w:firstLine="420" w:firstLineChars="200"/>
        <w:rPr>
          <w:rFonts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 xml:space="preserve"> （投标人名称）：</w:t>
      </w:r>
    </w:p>
    <w:p>
      <w:pPr>
        <w:spacing w:line="440" w:lineRule="exact"/>
        <w:rPr>
          <w:rFonts w:ascii="宋体" w:hAnsi="宋体" w:cs="宋体"/>
          <w:szCs w:val="21"/>
          <w:highlight w:val="none"/>
        </w:rPr>
      </w:pPr>
    </w:p>
    <w:p>
      <w:pPr>
        <w:spacing w:line="440" w:lineRule="exact"/>
        <w:rPr>
          <w:rFonts w:ascii="宋体" w:hAnsi="宋体" w:cs="宋体"/>
          <w:szCs w:val="21"/>
          <w:highlight w:val="none"/>
        </w:rPr>
      </w:pPr>
      <w:r>
        <w:rPr>
          <w:rFonts w:hint="eastAsia" w:ascii="宋体" w:hAnsi="宋体" w:cs="宋体"/>
          <w:szCs w:val="21"/>
          <w:highlight w:val="none"/>
        </w:rPr>
        <w:t xml:space="preserve">　　  </w:t>
      </w:r>
      <w:r>
        <w:rPr>
          <w:rFonts w:hint="eastAsia" w:ascii="宋体" w:hAnsi="宋体" w:cs="宋体"/>
          <w:szCs w:val="21"/>
          <w:highlight w:val="none"/>
          <w:u w:val="single"/>
        </w:rPr>
        <w:t xml:space="preserve">　             </w:t>
      </w:r>
      <w:r>
        <w:rPr>
          <w:rFonts w:hint="eastAsia" w:ascii="宋体" w:hAnsi="宋体" w:cs="宋体"/>
          <w:szCs w:val="21"/>
          <w:highlight w:val="none"/>
        </w:rPr>
        <w:t xml:space="preserve"> （项目名称）招标的评标委员会，对你方的投标文件进行了仔细的审查，现需你方对下列问题以书面形式予以澄清：</w:t>
      </w:r>
    </w:p>
    <w:p>
      <w:pPr>
        <w:spacing w:line="440" w:lineRule="exact"/>
        <w:rPr>
          <w:rFonts w:ascii="宋体" w:hAnsi="宋体" w:cs="宋体"/>
          <w:szCs w:val="21"/>
          <w:highlight w:val="none"/>
        </w:rPr>
      </w:pPr>
      <w:r>
        <w:rPr>
          <w:rFonts w:hint="eastAsia" w:ascii="宋体" w:hAnsi="宋体" w:cs="宋体"/>
          <w:szCs w:val="21"/>
          <w:highlight w:val="none"/>
        </w:rPr>
        <w:t>　　</w:t>
      </w:r>
    </w:p>
    <w:p>
      <w:pPr>
        <w:spacing w:line="440" w:lineRule="exact"/>
        <w:rPr>
          <w:rFonts w:ascii="宋体" w:hAnsi="宋体" w:cs="宋体"/>
          <w:szCs w:val="21"/>
          <w:highlight w:val="none"/>
        </w:rPr>
      </w:pPr>
      <w:r>
        <w:rPr>
          <w:rFonts w:hint="eastAsia" w:ascii="宋体" w:hAnsi="宋体" w:cs="宋体"/>
          <w:szCs w:val="21"/>
          <w:highlight w:val="none"/>
        </w:rPr>
        <w:t xml:space="preserve">    1.</w:t>
      </w:r>
    </w:p>
    <w:p>
      <w:pPr>
        <w:spacing w:line="440" w:lineRule="exact"/>
        <w:rPr>
          <w:rFonts w:ascii="宋体" w:hAnsi="宋体" w:cs="宋体"/>
          <w:szCs w:val="21"/>
          <w:highlight w:val="none"/>
        </w:rPr>
      </w:pPr>
      <w:r>
        <w:rPr>
          <w:rFonts w:hint="eastAsia" w:ascii="宋体" w:hAnsi="宋体" w:cs="宋体"/>
          <w:szCs w:val="21"/>
          <w:highlight w:val="none"/>
        </w:rPr>
        <w:t xml:space="preserve">    2.</w:t>
      </w:r>
    </w:p>
    <w:p>
      <w:pPr>
        <w:spacing w:line="440" w:lineRule="exact"/>
        <w:rPr>
          <w:rFonts w:ascii="宋体" w:hAnsi="宋体" w:cs="宋体"/>
          <w:szCs w:val="21"/>
          <w:highlight w:val="none"/>
        </w:rPr>
      </w:pPr>
      <w:r>
        <w:rPr>
          <w:rFonts w:hint="eastAsia" w:ascii="宋体" w:hAnsi="宋体" w:cs="宋体"/>
          <w:szCs w:val="21"/>
          <w:highlight w:val="none"/>
        </w:rPr>
        <w:t xml:space="preserve">     ......   </w:t>
      </w:r>
    </w:p>
    <w:p>
      <w:pPr>
        <w:spacing w:line="440" w:lineRule="exact"/>
        <w:rPr>
          <w:rFonts w:ascii="宋体" w:hAnsi="宋体" w:cs="宋体"/>
          <w:szCs w:val="21"/>
          <w:highlight w:val="none"/>
        </w:rPr>
      </w:pPr>
      <w:r>
        <w:rPr>
          <w:rFonts w:hint="eastAsia" w:ascii="宋体" w:hAnsi="宋体" w:cs="宋体"/>
          <w:szCs w:val="21"/>
          <w:highlight w:val="none"/>
        </w:rPr>
        <w:t>　　　</w:t>
      </w:r>
    </w:p>
    <w:p>
      <w:pPr>
        <w:spacing w:line="440" w:lineRule="exact"/>
        <w:rPr>
          <w:rFonts w:ascii="宋体" w:hAnsi="宋体" w:cs="宋体"/>
          <w:szCs w:val="21"/>
          <w:highlight w:val="none"/>
        </w:rPr>
      </w:pPr>
      <w:r>
        <w:rPr>
          <w:rFonts w:hint="eastAsia" w:ascii="宋体" w:hAnsi="宋体" w:cs="宋体"/>
          <w:szCs w:val="21"/>
          <w:highlight w:val="none"/>
        </w:rPr>
        <w:t>　　 请将上述问题的澄清于</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r>
        <w:rPr>
          <w:rFonts w:hint="eastAsia" w:ascii="宋体" w:hAnsi="宋体" w:cs="宋体"/>
          <w:szCs w:val="21"/>
          <w:highlight w:val="none"/>
          <w:u w:val="single"/>
        </w:rPr>
        <w:t xml:space="preserve">     </w:t>
      </w:r>
      <w:r>
        <w:rPr>
          <w:rFonts w:hint="eastAsia" w:ascii="宋体" w:hAnsi="宋体" w:cs="宋体"/>
          <w:szCs w:val="21"/>
          <w:highlight w:val="none"/>
        </w:rPr>
        <w:t>时前递交至</w:t>
      </w:r>
      <w:r>
        <w:rPr>
          <w:rFonts w:hint="eastAsia" w:ascii="宋体" w:hAnsi="宋体" w:cs="宋体"/>
          <w:szCs w:val="21"/>
          <w:highlight w:val="none"/>
          <w:u w:val="single"/>
        </w:rPr>
        <w:t xml:space="preserve">                     </w:t>
      </w:r>
    </w:p>
    <w:p>
      <w:pPr>
        <w:spacing w:line="440" w:lineRule="exact"/>
        <w:rPr>
          <w:rFonts w:ascii="宋体" w:hAnsi="宋体" w:cs="宋体"/>
          <w:szCs w:val="21"/>
          <w:highlight w:val="none"/>
        </w:rPr>
      </w:pPr>
      <w:r>
        <w:rPr>
          <w:rFonts w:hint="eastAsia" w:ascii="宋体" w:hAnsi="宋体" w:cs="宋体"/>
          <w:szCs w:val="21"/>
          <w:highlight w:val="none"/>
        </w:rPr>
        <w:t>（详细地址）或传真至</w:t>
      </w:r>
      <w:r>
        <w:rPr>
          <w:rFonts w:hint="eastAsia" w:ascii="宋体" w:hAnsi="宋体" w:cs="宋体"/>
          <w:szCs w:val="21"/>
          <w:highlight w:val="none"/>
          <w:u w:val="single"/>
        </w:rPr>
        <w:t xml:space="preserve">                               </w:t>
      </w:r>
      <w:r>
        <w:rPr>
          <w:rFonts w:hint="eastAsia" w:ascii="宋体" w:hAnsi="宋体" w:cs="宋体"/>
          <w:szCs w:val="21"/>
          <w:highlight w:val="none"/>
        </w:rPr>
        <w:t>（传真号码）。采用传真方式的，应在</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r>
        <w:rPr>
          <w:rFonts w:hint="eastAsia" w:ascii="宋体" w:hAnsi="宋体" w:cs="宋体"/>
          <w:szCs w:val="21"/>
          <w:highlight w:val="none"/>
          <w:u w:val="single"/>
        </w:rPr>
        <w:t xml:space="preserve">     </w:t>
      </w:r>
      <w:r>
        <w:rPr>
          <w:rFonts w:hint="eastAsia" w:ascii="宋体" w:hAnsi="宋体" w:cs="宋体"/>
          <w:szCs w:val="21"/>
          <w:highlight w:val="none"/>
        </w:rPr>
        <w:t>时前将原件递交至</w:t>
      </w:r>
      <w:r>
        <w:rPr>
          <w:rFonts w:hint="eastAsia" w:ascii="宋体" w:hAnsi="宋体" w:cs="宋体"/>
          <w:szCs w:val="21"/>
          <w:highlight w:val="none"/>
          <w:u w:val="single"/>
        </w:rPr>
        <w:t xml:space="preserve">                     </w:t>
      </w:r>
      <w:r>
        <w:rPr>
          <w:rFonts w:hint="eastAsia" w:ascii="宋体" w:hAnsi="宋体" w:cs="宋体"/>
          <w:szCs w:val="21"/>
          <w:highlight w:val="none"/>
        </w:rPr>
        <w:t>（详细地址）。</w:t>
      </w:r>
    </w:p>
    <w:p>
      <w:pPr>
        <w:spacing w:line="440" w:lineRule="exact"/>
        <w:rPr>
          <w:rFonts w:ascii="宋体" w:hAnsi="宋体" w:cs="宋体"/>
          <w:szCs w:val="21"/>
          <w:highlight w:val="none"/>
        </w:rPr>
      </w:pPr>
    </w:p>
    <w:p>
      <w:pPr>
        <w:spacing w:line="440" w:lineRule="exact"/>
        <w:rPr>
          <w:rFonts w:ascii="宋体" w:hAnsi="宋体" w:cs="宋体"/>
          <w:szCs w:val="21"/>
          <w:highlight w:val="none"/>
        </w:rPr>
      </w:pPr>
    </w:p>
    <w:p>
      <w:pPr>
        <w:wordWrap w:val="0"/>
        <w:spacing w:line="440" w:lineRule="exact"/>
        <w:jc w:val="right"/>
        <w:rPr>
          <w:rFonts w:ascii="宋体" w:hAnsi="宋体" w:cs="宋体"/>
          <w:szCs w:val="21"/>
          <w:highlight w:val="none"/>
        </w:rPr>
      </w:pPr>
      <w:r>
        <w:rPr>
          <w:rFonts w:hint="eastAsia" w:ascii="宋体" w:hAnsi="宋体" w:cs="宋体"/>
          <w:szCs w:val="21"/>
          <w:highlight w:val="none"/>
        </w:rPr>
        <w:t xml:space="preserve">                              招标人或招标代理机构：</w:t>
      </w:r>
      <w:r>
        <w:rPr>
          <w:rFonts w:hint="eastAsia" w:ascii="宋体" w:hAnsi="宋体" w:cs="宋体"/>
          <w:szCs w:val="21"/>
          <w:highlight w:val="none"/>
          <w:u w:val="single"/>
        </w:rPr>
        <w:t xml:space="preserve">        </w:t>
      </w:r>
      <w:r>
        <w:rPr>
          <w:rFonts w:hint="eastAsia" w:ascii="宋体" w:hAnsi="宋体" w:cs="宋体"/>
          <w:szCs w:val="21"/>
          <w:highlight w:val="none"/>
        </w:rPr>
        <w:t>（签字或盖章）</w:t>
      </w:r>
    </w:p>
    <w:p>
      <w:pPr>
        <w:spacing w:line="440" w:lineRule="exact"/>
        <w:rPr>
          <w:rFonts w:ascii="宋体" w:hAnsi="宋体" w:cs="宋体"/>
          <w:szCs w:val="21"/>
          <w:highlight w:val="none"/>
        </w:rPr>
      </w:pPr>
    </w:p>
    <w:p>
      <w:pPr>
        <w:spacing w:line="440" w:lineRule="exact"/>
        <w:ind w:firstLine="5145" w:firstLineChars="2450"/>
        <w:rPr>
          <w:rFonts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 xml:space="preserve"> 月</w:t>
      </w:r>
      <w:r>
        <w:rPr>
          <w:rFonts w:hint="eastAsia" w:ascii="宋体" w:hAnsi="宋体" w:cs="宋体"/>
          <w:szCs w:val="21"/>
          <w:highlight w:val="none"/>
          <w:u w:val="single"/>
        </w:rPr>
        <w:t xml:space="preserve">     </w:t>
      </w:r>
      <w:r>
        <w:rPr>
          <w:rFonts w:hint="eastAsia" w:ascii="宋体" w:hAnsi="宋体" w:cs="宋体"/>
          <w:szCs w:val="21"/>
          <w:highlight w:val="none"/>
        </w:rPr>
        <w:t>日</w:t>
      </w:r>
    </w:p>
    <w:p>
      <w:pPr>
        <w:spacing w:line="400" w:lineRule="exact"/>
        <w:rPr>
          <w:rFonts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spacing w:line="400" w:lineRule="exact"/>
        <w:rPr>
          <w:rFonts w:hint="eastAsia" w:ascii="宋体" w:hAnsi="宋体" w:cs="宋体"/>
          <w:highlight w:val="none"/>
        </w:rPr>
      </w:pPr>
    </w:p>
    <w:p>
      <w:pPr>
        <w:rPr>
          <w:rFonts w:ascii="宋体" w:hAnsi="宋体" w:cs="宋体"/>
          <w:b/>
          <w:sz w:val="28"/>
          <w:szCs w:val="28"/>
          <w:highlight w:val="none"/>
        </w:rPr>
      </w:pPr>
      <w:bookmarkStart w:id="422" w:name="_Toc30659"/>
      <w:bookmarkStart w:id="423" w:name="_Toc246996226"/>
      <w:bookmarkStart w:id="424" w:name="_Toc144974550"/>
      <w:bookmarkStart w:id="425" w:name="_Toc152042360"/>
      <w:bookmarkStart w:id="426" w:name="_Toc179632601"/>
      <w:bookmarkStart w:id="427" w:name="_Toc247085741"/>
      <w:bookmarkStart w:id="428" w:name="_Toc296602471"/>
      <w:bookmarkStart w:id="429" w:name="_Toc246996969"/>
      <w:bookmarkStart w:id="430" w:name="_Toc152045583"/>
      <w:r>
        <w:rPr>
          <w:rFonts w:hint="eastAsia" w:ascii="宋体" w:hAnsi="宋体" w:cs="宋体"/>
          <w:b/>
          <w:sz w:val="28"/>
          <w:szCs w:val="28"/>
          <w:highlight w:val="none"/>
        </w:rPr>
        <w:t>附件二：问题的澄清</w:t>
      </w:r>
      <w:bookmarkEnd w:id="422"/>
      <w:bookmarkEnd w:id="423"/>
      <w:bookmarkEnd w:id="424"/>
      <w:bookmarkEnd w:id="425"/>
      <w:bookmarkEnd w:id="426"/>
      <w:bookmarkEnd w:id="427"/>
      <w:bookmarkEnd w:id="428"/>
      <w:bookmarkEnd w:id="429"/>
      <w:bookmarkEnd w:id="430"/>
    </w:p>
    <w:p>
      <w:pPr>
        <w:spacing w:line="400" w:lineRule="exact"/>
        <w:jc w:val="center"/>
        <w:rPr>
          <w:rFonts w:ascii="宋体" w:hAnsi="宋体" w:cs="宋体"/>
          <w:sz w:val="28"/>
          <w:szCs w:val="28"/>
          <w:highlight w:val="none"/>
        </w:rPr>
      </w:pPr>
    </w:p>
    <w:p>
      <w:pPr>
        <w:spacing w:line="400" w:lineRule="exact"/>
        <w:jc w:val="center"/>
        <w:rPr>
          <w:rFonts w:ascii="宋体" w:hAnsi="宋体" w:cs="宋体"/>
          <w:sz w:val="28"/>
          <w:szCs w:val="28"/>
          <w:highlight w:val="none"/>
        </w:rPr>
      </w:pPr>
      <w:r>
        <w:rPr>
          <w:rFonts w:hint="eastAsia" w:ascii="宋体" w:hAnsi="宋体" w:cs="宋体"/>
          <w:sz w:val="28"/>
          <w:szCs w:val="28"/>
          <w:highlight w:val="none"/>
        </w:rPr>
        <w:t>问题的澄清</w:t>
      </w:r>
    </w:p>
    <w:p>
      <w:pPr>
        <w:spacing w:line="400" w:lineRule="exact"/>
        <w:ind w:firstLine="3465" w:firstLineChars="1650"/>
        <w:rPr>
          <w:rFonts w:ascii="宋体" w:hAnsi="宋体" w:cs="宋体"/>
          <w:highlight w:val="none"/>
        </w:rPr>
      </w:pPr>
      <w:r>
        <w:rPr>
          <w:rFonts w:hint="eastAsia" w:ascii="宋体" w:hAnsi="宋体" w:cs="宋体"/>
          <w:highlight w:val="none"/>
        </w:rPr>
        <w:t xml:space="preserve">编号： </w:t>
      </w:r>
    </w:p>
    <w:p>
      <w:pPr>
        <w:spacing w:line="400" w:lineRule="exact"/>
        <w:rPr>
          <w:rFonts w:ascii="宋体" w:hAnsi="宋体" w:cs="宋体"/>
          <w:szCs w:val="21"/>
          <w:highlight w:val="none"/>
        </w:rPr>
      </w:pPr>
    </w:p>
    <w:p>
      <w:pPr>
        <w:spacing w:line="440" w:lineRule="exact"/>
        <w:rPr>
          <w:rFonts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项目名称）招标评标委员会：</w:t>
      </w:r>
    </w:p>
    <w:p>
      <w:pPr>
        <w:spacing w:line="440" w:lineRule="exact"/>
        <w:rPr>
          <w:rFonts w:ascii="宋体" w:hAnsi="宋体" w:cs="宋体"/>
          <w:szCs w:val="21"/>
          <w:highlight w:val="none"/>
        </w:rPr>
      </w:pPr>
    </w:p>
    <w:p>
      <w:pPr>
        <w:spacing w:line="440" w:lineRule="exact"/>
        <w:rPr>
          <w:rFonts w:ascii="宋体" w:hAnsi="宋体" w:cs="宋体"/>
          <w:szCs w:val="21"/>
          <w:highlight w:val="none"/>
        </w:rPr>
      </w:pPr>
      <w:r>
        <w:rPr>
          <w:rFonts w:hint="eastAsia" w:ascii="宋体" w:hAnsi="宋体" w:cs="宋体"/>
          <w:szCs w:val="21"/>
          <w:highlight w:val="none"/>
        </w:rPr>
        <w:t>　　问题澄清通知（编号：</w:t>
      </w:r>
      <w:r>
        <w:rPr>
          <w:rFonts w:hint="eastAsia" w:ascii="宋体" w:hAnsi="宋体" w:cs="宋体"/>
          <w:szCs w:val="21"/>
          <w:highlight w:val="none"/>
          <w:u w:val="single"/>
        </w:rPr>
        <w:t xml:space="preserve">       </w:t>
      </w:r>
      <w:r>
        <w:rPr>
          <w:rFonts w:hint="eastAsia" w:ascii="宋体" w:hAnsi="宋体" w:cs="宋体"/>
          <w:szCs w:val="21"/>
          <w:highlight w:val="none"/>
        </w:rPr>
        <w:t>）已收悉，现澄清如下：</w:t>
      </w:r>
    </w:p>
    <w:p>
      <w:pPr>
        <w:spacing w:line="440" w:lineRule="exact"/>
        <w:rPr>
          <w:rFonts w:ascii="宋体" w:hAnsi="宋体" w:cs="宋体"/>
          <w:szCs w:val="21"/>
          <w:highlight w:val="none"/>
        </w:rPr>
      </w:pPr>
      <w:r>
        <w:rPr>
          <w:rFonts w:hint="eastAsia" w:ascii="宋体" w:hAnsi="宋体" w:cs="宋体"/>
          <w:szCs w:val="21"/>
          <w:highlight w:val="none"/>
        </w:rPr>
        <w:t>　     1.</w:t>
      </w:r>
    </w:p>
    <w:p>
      <w:pPr>
        <w:spacing w:line="440" w:lineRule="exact"/>
        <w:rPr>
          <w:rFonts w:ascii="宋体" w:hAnsi="宋体" w:cs="宋体"/>
          <w:szCs w:val="21"/>
          <w:highlight w:val="none"/>
        </w:rPr>
      </w:pPr>
      <w:r>
        <w:rPr>
          <w:rFonts w:hint="eastAsia" w:ascii="宋体" w:hAnsi="宋体" w:cs="宋体"/>
          <w:szCs w:val="21"/>
          <w:highlight w:val="none"/>
        </w:rPr>
        <w:t>　     2.</w:t>
      </w:r>
    </w:p>
    <w:p>
      <w:pPr>
        <w:spacing w:line="440" w:lineRule="exact"/>
        <w:rPr>
          <w:rFonts w:ascii="宋体" w:hAnsi="宋体" w:cs="宋体"/>
          <w:szCs w:val="21"/>
          <w:highlight w:val="none"/>
        </w:rPr>
      </w:pPr>
      <w:r>
        <w:rPr>
          <w:rFonts w:hint="eastAsia" w:ascii="宋体" w:hAnsi="宋体" w:cs="宋体"/>
          <w:szCs w:val="21"/>
          <w:highlight w:val="none"/>
        </w:rPr>
        <w:t xml:space="preserve">　   </w:t>
      </w:r>
    </w:p>
    <w:p>
      <w:pPr>
        <w:spacing w:line="440" w:lineRule="exact"/>
        <w:rPr>
          <w:rFonts w:ascii="宋体" w:hAnsi="宋体" w:cs="宋体"/>
          <w:szCs w:val="21"/>
          <w:highlight w:val="none"/>
        </w:rPr>
      </w:pPr>
      <w:r>
        <w:rPr>
          <w:rFonts w:hint="eastAsia" w:ascii="宋体" w:hAnsi="宋体" w:cs="宋体"/>
          <w:szCs w:val="21"/>
          <w:highlight w:val="none"/>
        </w:rPr>
        <w:t>　    .....</w:t>
      </w:r>
    </w:p>
    <w:p>
      <w:pPr>
        <w:spacing w:line="440" w:lineRule="exact"/>
        <w:rPr>
          <w:rFonts w:ascii="宋体" w:hAnsi="宋体" w:cs="宋体"/>
          <w:szCs w:val="21"/>
          <w:highlight w:val="none"/>
        </w:rPr>
      </w:pPr>
    </w:p>
    <w:p>
      <w:pPr>
        <w:spacing w:line="440" w:lineRule="exact"/>
        <w:rPr>
          <w:rFonts w:ascii="宋体" w:hAnsi="宋体" w:cs="宋体"/>
          <w:szCs w:val="21"/>
          <w:highlight w:val="none"/>
        </w:rPr>
      </w:pPr>
      <w:r>
        <w:rPr>
          <w:rFonts w:hint="eastAsia" w:ascii="宋体" w:hAnsi="宋体" w:cs="宋体"/>
          <w:szCs w:val="21"/>
          <w:highlight w:val="none"/>
        </w:rPr>
        <w:t xml:space="preserve">　 </w:t>
      </w:r>
    </w:p>
    <w:p>
      <w:pPr>
        <w:spacing w:line="440" w:lineRule="exact"/>
        <w:rPr>
          <w:rFonts w:ascii="宋体" w:hAnsi="宋体" w:cs="宋体"/>
          <w:szCs w:val="21"/>
          <w:highlight w:val="none"/>
        </w:rPr>
      </w:pPr>
    </w:p>
    <w:p>
      <w:pPr>
        <w:spacing w:line="440" w:lineRule="exact"/>
        <w:rPr>
          <w:rFonts w:ascii="宋体" w:hAnsi="宋体" w:cs="宋体"/>
          <w:szCs w:val="21"/>
          <w:highlight w:val="none"/>
        </w:rPr>
      </w:pPr>
    </w:p>
    <w:p>
      <w:pPr>
        <w:spacing w:line="440" w:lineRule="exact"/>
        <w:rPr>
          <w:rFonts w:ascii="宋体" w:hAnsi="宋体" w:cs="宋体"/>
          <w:szCs w:val="21"/>
          <w:highlight w:val="none"/>
        </w:rPr>
      </w:pPr>
    </w:p>
    <w:p>
      <w:pPr>
        <w:spacing w:line="440" w:lineRule="exact"/>
        <w:rPr>
          <w:rFonts w:ascii="宋体" w:hAnsi="宋体" w:cs="宋体"/>
          <w:szCs w:val="21"/>
          <w:highlight w:val="none"/>
        </w:rPr>
      </w:pPr>
    </w:p>
    <w:p>
      <w:pPr>
        <w:spacing w:line="440" w:lineRule="exact"/>
        <w:rPr>
          <w:rFonts w:ascii="宋体" w:hAnsi="宋体" w:cs="宋体"/>
          <w:szCs w:val="21"/>
          <w:highlight w:val="none"/>
        </w:rPr>
      </w:pPr>
      <w:r>
        <w:rPr>
          <w:rFonts w:hint="eastAsia" w:ascii="宋体" w:hAnsi="宋体" w:cs="宋体"/>
          <w:szCs w:val="21"/>
          <w:highlight w:val="none"/>
        </w:rPr>
        <w:t>　　　　　　　　　　　　　　　投标人：</w:t>
      </w:r>
      <w:r>
        <w:rPr>
          <w:rFonts w:hint="eastAsia" w:ascii="宋体" w:hAnsi="宋体" w:cs="宋体"/>
          <w:szCs w:val="21"/>
          <w:highlight w:val="none"/>
          <w:u w:val="single"/>
        </w:rPr>
        <w:t xml:space="preserve">                      </w:t>
      </w:r>
      <w:r>
        <w:rPr>
          <w:rFonts w:hint="eastAsia" w:ascii="宋体" w:hAnsi="宋体" w:cs="宋体"/>
          <w:szCs w:val="21"/>
          <w:highlight w:val="none"/>
        </w:rPr>
        <w:t>（盖单位章）</w:t>
      </w:r>
    </w:p>
    <w:p>
      <w:pPr>
        <w:spacing w:line="440" w:lineRule="exact"/>
        <w:rPr>
          <w:rFonts w:ascii="宋体" w:hAnsi="宋体" w:cs="宋体"/>
          <w:szCs w:val="21"/>
          <w:highlight w:val="none"/>
        </w:rPr>
      </w:pPr>
      <w:r>
        <w:rPr>
          <w:rFonts w:hint="eastAsia" w:ascii="宋体" w:hAnsi="宋体" w:cs="宋体"/>
          <w:szCs w:val="21"/>
          <w:highlight w:val="none"/>
        </w:rPr>
        <w:t>　　　　　　　　　　　　　　　</w:t>
      </w:r>
    </w:p>
    <w:p>
      <w:pPr>
        <w:spacing w:line="440" w:lineRule="exact"/>
        <w:rPr>
          <w:rFonts w:ascii="宋体" w:hAnsi="宋体" w:cs="宋体"/>
          <w:szCs w:val="21"/>
          <w:highlight w:val="none"/>
        </w:rPr>
      </w:pPr>
      <w:r>
        <w:rPr>
          <w:rFonts w:hint="eastAsia" w:ascii="宋体" w:hAnsi="宋体" w:cs="宋体"/>
          <w:szCs w:val="21"/>
          <w:highlight w:val="none"/>
        </w:rPr>
        <w:t>　　　　　　　　　　　　　　　法定代表人或其委托代理人：</w:t>
      </w:r>
      <w:r>
        <w:rPr>
          <w:rFonts w:hint="eastAsia" w:ascii="宋体" w:hAnsi="宋体" w:cs="宋体"/>
          <w:szCs w:val="21"/>
          <w:highlight w:val="none"/>
          <w:u w:val="single"/>
        </w:rPr>
        <w:t xml:space="preserve">       </w:t>
      </w:r>
      <w:r>
        <w:rPr>
          <w:rFonts w:hint="eastAsia" w:ascii="宋体" w:hAnsi="宋体" w:cs="宋体"/>
          <w:szCs w:val="21"/>
          <w:highlight w:val="none"/>
        </w:rPr>
        <w:t>（签字）</w:t>
      </w:r>
    </w:p>
    <w:p>
      <w:pPr>
        <w:spacing w:line="440" w:lineRule="exact"/>
        <w:rPr>
          <w:rFonts w:ascii="宋体" w:hAnsi="宋体" w:cs="宋体"/>
          <w:szCs w:val="21"/>
          <w:highlight w:val="none"/>
        </w:rPr>
      </w:pPr>
      <w:r>
        <w:rPr>
          <w:rFonts w:hint="eastAsia" w:ascii="宋体" w:hAnsi="宋体" w:cs="宋体"/>
          <w:szCs w:val="21"/>
          <w:highlight w:val="none"/>
        </w:rPr>
        <w:t>　　　　　　　　　　　　　　　</w:t>
      </w:r>
    </w:p>
    <w:p>
      <w:pPr>
        <w:spacing w:line="440" w:lineRule="exact"/>
        <w:rPr>
          <w:rFonts w:ascii="宋体" w:hAnsi="宋体" w:cs="宋体"/>
          <w:szCs w:val="21"/>
          <w:highlight w:val="none"/>
        </w:rPr>
      </w:pPr>
      <w:r>
        <w:rPr>
          <w:rFonts w:hint="eastAsia" w:ascii="宋体" w:hAnsi="宋体" w:cs="宋体"/>
          <w:szCs w:val="21"/>
          <w:highlight w:val="none"/>
        </w:rPr>
        <w:t xml:space="preserve">　　　　　　　　　　　　　　　            </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rPr>
          <w:rFonts w:ascii="宋体" w:hAnsi="宋体" w:cs="宋体"/>
          <w:b/>
          <w:sz w:val="28"/>
          <w:szCs w:val="28"/>
          <w:highlight w:val="none"/>
        </w:rPr>
      </w:pPr>
      <w:bookmarkStart w:id="431" w:name="_Toc144974551"/>
      <w:bookmarkStart w:id="432" w:name="_Toc296602472"/>
      <w:bookmarkStart w:id="433" w:name="_Toc247085742"/>
      <w:bookmarkStart w:id="434" w:name="_Toc246996227"/>
      <w:bookmarkStart w:id="435" w:name="_Toc152045584"/>
      <w:bookmarkStart w:id="436" w:name="_Toc11573"/>
      <w:bookmarkStart w:id="437" w:name="_Toc152042361"/>
      <w:bookmarkStart w:id="438" w:name="_Toc179632602"/>
      <w:bookmarkStart w:id="439" w:name="_Toc246996970"/>
      <w:r>
        <w:rPr>
          <w:rFonts w:hint="eastAsia" w:ascii="宋体" w:hAnsi="宋体" w:cs="宋体"/>
          <w:b/>
          <w:sz w:val="28"/>
          <w:szCs w:val="28"/>
          <w:highlight w:val="none"/>
        </w:rPr>
        <w:t>附件三：中标通知书</w:t>
      </w:r>
      <w:bookmarkEnd w:id="431"/>
      <w:bookmarkEnd w:id="432"/>
      <w:bookmarkEnd w:id="433"/>
      <w:bookmarkEnd w:id="434"/>
      <w:bookmarkEnd w:id="435"/>
      <w:bookmarkEnd w:id="436"/>
      <w:bookmarkEnd w:id="437"/>
      <w:bookmarkEnd w:id="438"/>
      <w:bookmarkEnd w:id="439"/>
    </w:p>
    <w:p>
      <w:pPr>
        <w:spacing w:line="400" w:lineRule="exact"/>
        <w:rPr>
          <w:rFonts w:ascii="宋体" w:hAnsi="宋体" w:cs="宋体"/>
          <w:highlight w:val="none"/>
        </w:rPr>
      </w:pPr>
    </w:p>
    <w:p>
      <w:pPr>
        <w:spacing w:line="400" w:lineRule="exact"/>
        <w:jc w:val="center"/>
        <w:rPr>
          <w:rFonts w:ascii="宋体" w:hAnsi="宋体" w:cs="宋体"/>
          <w:sz w:val="28"/>
          <w:szCs w:val="28"/>
          <w:highlight w:val="none"/>
        </w:rPr>
      </w:pPr>
      <w:r>
        <w:rPr>
          <w:rFonts w:hint="eastAsia" w:ascii="宋体" w:hAnsi="宋体" w:cs="宋体"/>
          <w:sz w:val="28"/>
          <w:szCs w:val="28"/>
          <w:highlight w:val="none"/>
        </w:rPr>
        <w:t>中标通知书（参考格式）</w:t>
      </w:r>
    </w:p>
    <w:p>
      <w:pPr>
        <w:spacing w:line="400" w:lineRule="exact"/>
        <w:rPr>
          <w:rFonts w:ascii="宋体" w:hAnsi="宋体" w:cs="宋体"/>
          <w:highlight w:val="none"/>
        </w:rPr>
      </w:pPr>
    </w:p>
    <w:p>
      <w:pPr>
        <w:spacing w:line="440" w:lineRule="exact"/>
        <w:rPr>
          <w:rFonts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（中标人名称）：</w:t>
      </w:r>
    </w:p>
    <w:p>
      <w:pPr>
        <w:spacing w:line="440" w:lineRule="exact"/>
        <w:rPr>
          <w:rFonts w:ascii="宋体" w:hAnsi="宋体" w:cs="宋体"/>
          <w:szCs w:val="21"/>
          <w:highlight w:val="none"/>
        </w:rPr>
      </w:pPr>
    </w:p>
    <w:p>
      <w:pPr>
        <w:spacing w:line="440" w:lineRule="exact"/>
        <w:rPr>
          <w:rFonts w:ascii="宋体" w:hAnsi="宋体" w:cs="宋体"/>
          <w:szCs w:val="21"/>
          <w:highlight w:val="none"/>
        </w:rPr>
      </w:pPr>
      <w:r>
        <w:rPr>
          <w:rFonts w:hint="eastAsia" w:ascii="宋体" w:hAnsi="宋体" w:cs="宋体"/>
          <w:szCs w:val="21"/>
          <w:highlight w:val="none"/>
        </w:rPr>
        <w:t>　　你方于</w:t>
      </w:r>
      <w:r>
        <w:rPr>
          <w:rFonts w:hint="eastAsia" w:ascii="宋体" w:hAnsi="宋体" w:cs="宋体"/>
          <w:szCs w:val="21"/>
          <w:highlight w:val="none"/>
          <w:u w:val="single"/>
        </w:rPr>
        <w:t xml:space="preserve">                  </w:t>
      </w:r>
      <w:r>
        <w:rPr>
          <w:rFonts w:hint="eastAsia" w:ascii="宋体" w:hAnsi="宋体" w:cs="宋体"/>
          <w:szCs w:val="21"/>
          <w:highlight w:val="none"/>
        </w:rPr>
        <w:t>（投标日期）所递交的</w:t>
      </w:r>
      <w:r>
        <w:rPr>
          <w:rFonts w:hint="eastAsia" w:ascii="宋体" w:hAnsi="宋体" w:cs="宋体"/>
          <w:szCs w:val="21"/>
          <w:highlight w:val="none"/>
          <w:u w:val="single"/>
        </w:rPr>
        <w:t xml:space="preserve">              </w:t>
      </w:r>
      <w:r>
        <w:rPr>
          <w:rFonts w:hint="eastAsia" w:ascii="宋体" w:hAnsi="宋体" w:cs="宋体"/>
          <w:szCs w:val="21"/>
          <w:highlight w:val="none"/>
        </w:rPr>
        <w:t>（项目名称）投标文件已被我方接受，被确定为中标人。</w:t>
      </w:r>
    </w:p>
    <w:p>
      <w:pPr>
        <w:spacing w:line="440" w:lineRule="exact"/>
        <w:rPr>
          <w:rFonts w:ascii="宋体" w:hAnsi="宋体" w:cs="宋体"/>
          <w:szCs w:val="21"/>
          <w:highlight w:val="none"/>
        </w:rPr>
      </w:pPr>
      <w:r>
        <w:rPr>
          <w:rFonts w:hint="eastAsia" w:ascii="宋体" w:hAnsi="宋体" w:cs="宋体"/>
          <w:szCs w:val="21"/>
          <w:highlight w:val="none"/>
        </w:rPr>
        <w:t>　　中标价：</w:t>
      </w:r>
      <w:r>
        <w:rPr>
          <w:rFonts w:hint="eastAsia" w:ascii="宋体" w:hAnsi="宋体" w:cs="宋体"/>
          <w:szCs w:val="21"/>
          <w:highlight w:val="none"/>
          <w:u w:val="single"/>
        </w:rPr>
        <w:t xml:space="preserve">     </w:t>
      </w:r>
      <w:r>
        <w:rPr>
          <w:rFonts w:hint="eastAsia" w:ascii="宋体" w:hAnsi="宋体" w:cs="宋体"/>
          <w:szCs w:val="21"/>
          <w:highlight w:val="none"/>
        </w:rPr>
        <w:t>元。</w:t>
      </w:r>
    </w:p>
    <w:p>
      <w:pPr>
        <w:spacing w:line="440" w:lineRule="exact"/>
        <w:rPr>
          <w:rFonts w:ascii="宋体" w:hAnsi="宋体" w:cs="宋体"/>
          <w:szCs w:val="21"/>
          <w:highlight w:val="none"/>
        </w:rPr>
      </w:pPr>
      <w:r>
        <w:rPr>
          <w:rFonts w:hint="eastAsia" w:ascii="宋体" w:hAnsi="宋体" w:cs="宋体"/>
          <w:szCs w:val="21"/>
          <w:highlight w:val="none"/>
        </w:rPr>
        <w:t>　　工期：</w:t>
      </w:r>
      <w:r>
        <w:rPr>
          <w:rFonts w:hint="eastAsia" w:ascii="宋体" w:hAnsi="宋体" w:cs="宋体"/>
          <w:szCs w:val="21"/>
          <w:highlight w:val="none"/>
          <w:u w:val="single"/>
        </w:rPr>
        <w:t xml:space="preserve">     </w:t>
      </w:r>
      <w:r>
        <w:rPr>
          <w:rFonts w:hint="eastAsia" w:ascii="宋体" w:hAnsi="宋体" w:cs="宋体"/>
          <w:szCs w:val="21"/>
          <w:highlight w:val="none"/>
        </w:rPr>
        <w:t>日历天。</w:t>
      </w:r>
    </w:p>
    <w:p>
      <w:pPr>
        <w:spacing w:line="440" w:lineRule="exact"/>
        <w:rPr>
          <w:rFonts w:ascii="宋体" w:hAnsi="宋体" w:cs="宋体"/>
          <w:szCs w:val="21"/>
          <w:highlight w:val="none"/>
        </w:rPr>
      </w:pPr>
      <w:r>
        <w:rPr>
          <w:rFonts w:hint="eastAsia" w:ascii="宋体" w:hAnsi="宋体" w:cs="宋体"/>
          <w:szCs w:val="21"/>
          <w:highlight w:val="none"/>
        </w:rPr>
        <w:t>　  工程质量：符合</w:t>
      </w:r>
      <w:r>
        <w:rPr>
          <w:rFonts w:hint="eastAsia" w:ascii="宋体" w:hAnsi="宋体" w:cs="宋体"/>
          <w:szCs w:val="21"/>
          <w:highlight w:val="none"/>
          <w:u w:val="single"/>
        </w:rPr>
        <w:t xml:space="preserve">     </w:t>
      </w:r>
      <w:r>
        <w:rPr>
          <w:rFonts w:hint="eastAsia" w:ascii="宋体" w:hAnsi="宋体" w:cs="宋体"/>
          <w:szCs w:val="21"/>
          <w:highlight w:val="none"/>
        </w:rPr>
        <w:t>标准。</w:t>
      </w:r>
    </w:p>
    <w:p>
      <w:pPr>
        <w:spacing w:line="440" w:lineRule="exact"/>
        <w:rPr>
          <w:rFonts w:ascii="宋体" w:hAnsi="宋体" w:cs="宋体"/>
          <w:szCs w:val="21"/>
          <w:highlight w:val="none"/>
        </w:rPr>
      </w:pPr>
      <w:r>
        <w:rPr>
          <w:rFonts w:hint="eastAsia" w:ascii="宋体" w:hAnsi="宋体" w:cs="宋体"/>
          <w:szCs w:val="21"/>
          <w:highlight w:val="none"/>
        </w:rPr>
        <w:t>　　项目经理：</w:t>
      </w:r>
      <w:r>
        <w:rPr>
          <w:rFonts w:hint="eastAsia" w:ascii="宋体" w:hAnsi="宋体" w:cs="宋体"/>
          <w:szCs w:val="21"/>
          <w:highlight w:val="none"/>
          <w:u w:val="single"/>
        </w:rPr>
        <w:t xml:space="preserve">     </w:t>
      </w:r>
      <w:r>
        <w:rPr>
          <w:rFonts w:hint="eastAsia" w:ascii="宋体" w:hAnsi="宋体" w:cs="宋体"/>
          <w:szCs w:val="21"/>
          <w:highlight w:val="none"/>
        </w:rPr>
        <w:t>（姓名）。</w:t>
      </w:r>
    </w:p>
    <w:p>
      <w:pPr>
        <w:spacing w:line="440" w:lineRule="exact"/>
        <w:ind w:firstLine="420"/>
        <w:rPr>
          <w:rFonts w:ascii="宋体" w:hAnsi="宋体" w:cs="宋体"/>
          <w:szCs w:val="21"/>
          <w:highlight w:val="none"/>
        </w:rPr>
      </w:pPr>
      <w:r>
        <w:rPr>
          <w:rFonts w:hint="eastAsia" w:ascii="宋体" w:hAnsi="宋体" w:cs="宋体"/>
          <w:szCs w:val="21"/>
          <w:highlight w:val="none"/>
        </w:rPr>
        <w:t>请你方在接到本通知书后的</w:t>
      </w:r>
      <w:r>
        <w:rPr>
          <w:rFonts w:hint="eastAsia" w:ascii="宋体" w:hAnsi="宋体" w:cs="宋体"/>
          <w:szCs w:val="21"/>
          <w:highlight w:val="none"/>
          <w:u w:val="single"/>
        </w:rPr>
        <w:t xml:space="preserve">       </w:t>
      </w:r>
      <w:r>
        <w:rPr>
          <w:rFonts w:hint="eastAsia" w:ascii="宋体" w:hAnsi="宋体" w:cs="宋体"/>
          <w:szCs w:val="21"/>
          <w:highlight w:val="none"/>
        </w:rPr>
        <w:t>日内到</w:t>
      </w:r>
      <w:r>
        <w:rPr>
          <w:rFonts w:hint="eastAsia" w:ascii="宋体" w:hAnsi="宋体" w:cs="宋体"/>
          <w:szCs w:val="21"/>
          <w:highlight w:val="none"/>
          <w:u w:val="single"/>
        </w:rPr>
        <w:t xml:space="preserve">                      </w:t>
      </w:r>
      <w:r>
        <w:rPr>
          <w:rFonts w:hint="eastAsia" w:ascii="宋体" w:hAnsi="宋体" w:cs="宋体"/>
          <w:szCs w:val="21"/>
          <w:highlight w:val="none"/>
        </w:rPr>
        <w:t>（指定地点）与我方签订承包合同，在此之前按招标文件第二章“投标人须知”第7.4款规定向我方提交履约保证金。</w:t>
      </w:r>
    </w:p>
    <w:p>
      <w:pPr>
        <w:spacing w:line="440" w:lineRule="exact"/>
        <w:rPr>
          <w:rFonts w:ascii="宋体" w:hAnsi="宋体" w:cs="宋体"/>
          <w:szCs w:val="21"/>
          <w:highlight w:val="none"/>
        </w:rPr>
      </w:pPr>
      <w:r>
        <w:rPr>
          <w:rFonts w:hint="eastAsia" w:ascii="宋体" w:hAnsi="宋体" w:cs="宋体"/>
          <w:szCs w:val="21"/>
          <w:highlight w:val="none"/>
        </w:rPr>
        <w:t>　　特此通知。</w:t>
      </w:r>
    </w:p>
    <w:p>
      <w:pPr>
        <w:spacing w:line="440" w:lineRule="exact"/>
        <w:rPr>
          <w:rFonts w:ascii="宋体" w:hAnsi="宋体" w:cs="宋体"/>
          <w:szCs w:val="21"/>
          <w:highlight w:val="none"/>
        </w:rPr>
      </w:pPr>
    </w:p>
    <w:p>
      <w:pPr>
        <w:spacing w:line="540" w:lineRule="exact"/>
        <w:jc w:val="left"/>
        <w:rPr>
          <w:rFonts w:ascii="宋体" w:hAnsi="宋体" w:cs="宋体"/>
          <w:szCs w:val="21"/>
          <w:highlight w:val="none"/>
        </w:rPr>
      </w:pPr>
      <w:r>
        <w:rPr>
          <w:rFonts w:hint="eastAsia" w:ascii="宋体" w:hAnsi="宋体" w:cs="宋体"/>
          <w:szCs w:val="21"/>
          <w:highlight w:val="none"/>
        </w:rPr>
        <w:t>招标人：</w:t>
      </w:r>
      <w:r>
        <w:rPr>
          <w:rFonts w:hint="eastAsia" w:ascii="宋体" w:hAnsi="宋体" w:cs="宋体"/>
          <w:szCs w:val="21"/>
          <w:highlight w:val="none"/>
          <w:u w:val="single"/>
        </w:rPr>
        <w:t xml:space="preserve">             </w:t>
      </w:r>
      <w:r>
        <w:rPr>
          <w:rFonts w:hint="eastAsia" w:ascii="宋体" w:hAnsi="宋体" w:cs="宋体"/>
          <w:szCs w:val="21"/>
          <w:highlight w:val="none"/>
        </w:rPr>
        <w:t>（盖单位章）   招标代理机构：</w:t>
      </w:r>
      <w:r>
        <w:rPr>
          <w:rFonts w:hint="eastAsia" w:ascii="宋体" w:hAnsi="宋体" w:cs="宋体"/>
          <w:szCs w:val="21"/>
          <w:highlight w:val="none"/>
          <w:u w:val="single"/>
        </w:rPr>
        <w:t xml:space="preserve">                </w:t>
      </w:r>
      <w:r>
        <w:rPr>
          <w:rFonts w:hint="eastAsia" w:ascii="宋体" w:hAnsi="宋体" w:cs="宋体"/>
          <w:szCs w:val="21"/>
          <w:highlight w:val="none"/>
        </w:rPr>
        <w:t>（盖单位章）</w:t>
      </w:r>
    </w:p>
    <w:p>
      <w:pPr>
        <w:spacing w:line="540" w:lineRule="exact"/>
        <w:jc w:val="left"/>
        <w:rPr>
          <w:rFonts w:ascii="宋体" w:hAnsi="宋体" w:cs="宋体"/>
          <w:szCs w:val="21"/>
          <w:highlight w:val="none"/>
        </w:rPr>
      </w:pPr>
    </w:p>
    <w:p>
      <w:pPr>
        <w:spacing w:line="540" w:lineRule="exact"/>
        <w:rPr>
          <w:rFonts w:ascii="宋体" w:hAnsi="宋体" w:cs="宋体"/>
          <w:szCs w:val="21"/>
          <w:highlight w:val="none"/>
        </w:rPr>
      </w:pPr>
      <w:r>
        <w:rPr>
          <w:rFonts w:hint="eastAsia" w:ascii="宋体" w:hAnsi="宋体" w:cs="宋体"/>
          <w:szCs w:val="21"/>
          <w:highlight w:val="none"/>
        </w:rPr>
        <w:t>法定代表人：</w:t>
      </w:r>
      <w:r>
        <w:rPr>
          <w:rFonts w:hint="eastAsia" w:ascii="宋体" w:hAnsi="宋体" w:cs="宋体"/>
          <w:szCs w:val="21"/>
          <w:highlight w:val="none"/>
          <w:u w:val="single"/>
        </w:rPr>
        <w:t xml:space="preserve">         </w:t>
      </w:r>
      <w:r>
        <w:rPr>
          <w:rFonts w:hint="eastAsia" w:ascii="宋体" w:hAnsi="宋体" w:cs="宋体"/>
          <w:szCs w:val="21"/>
          <w:highlight w:val="none"/>
        </w:rPr>
        <w:t>（签字）      法定代表人或授权委托人：</w:t>
      </w:r>
      <w:r>
        <w:rPr>
          <w:rFonts w:hint="eastAsia" w:ascii="宋体" w:hAnsi="宋体" w:cs="宋体"/>
          <w:szCs w:val="21"/>
          <w:highlight w:val="none"/>
          <w:u w:val="single"/>
        </w:rPr>
        <w:t xml:space="preserve">       </w:t>
      </w:r>
      <w:r>
        <w:rPr>
          <w:rFonts w:hint="eastAsia" w:ascii="宋体" w:hAnsi="宋体" w:cs="宋体"/>
          <w:szCs w:val="21"/>
          <w:highlight w:val="none"/>
        </w:rPr>
        <w:t>（签字）</w:t>
      </w:r>
    </w:p>
    <w:p>
      <w:pPr>
        <w:spacing w:line="540" w:lineRule="exact"/>
        <w:jc w:val="left"/>
        <w:rPr>
          <w:rFonts w:ascii="宋体" w:hAnsi="宋体" w:cs="宋体"/>
          <w:szCs w:val="21"/>
          <w:highlight w:val="none"/>
        </w:rPr>
      </w:pPr>
    </w:p>
    <w:p>
      <w:pPr>
        <w:spacing w:line="540" w:lineRule="exact"/>
        <w:ind w:firstLine="3238" w:firstLineChars="1542"/>
        <w:rPr>
          <w:rFonts w:ascii="宋体" w:hAnsi="宋体" w:cs="宋体"/>
          <w:szCs w:val="21"/>
          <w:highlight w:val="none"/>
        </w:rPr>
      </w:pPr>
    </w:p>
    <w:p>
      <w:pPr>
        <w:spacing w:line="540" w:lineRule="exact"/>
        <w:ind w:firstLine="3238" w:firstLineChars="1542"/>
        <w:rPr>
          <w:rFonts w:ascii="宋体" w:hAnsi="宋体" w:cs="宋体"/>
          <w:szCs w:val="21"/>
          <w:highlight w:val="none"/>
        </w:rPr>
      </w:pPr>
    </w:p>
    <w:p>
      <w:pPr>
        <w:spacing w:line="540" w:lineRule="exact"/>
        <w:rPr>
          <w:rFonts w:ascii="宋体" w:hAnsi="宋体" w:cs="宋体"/>
          <w:szCs w:val="21"/>
          <w:highlight w:val="none"/>
        </w:rPr>
      </w:pPr>
      <w:r>
        <w:rPr>
          <w:rFonts w:hint="eastAsia" w:ascii="宋体" w:hAnsi="宋体" w:cs="宋体"/>
          <w:szCs w:val="21"/>
          <w:highlight w:val="none"/>
        </w:rPr>
        <w:t>交易见证：</w:t>
      </w:r>
      <w:r>
        <w:rPr>
          <w:rFonts w:hint="eastAsia" w:ascii="宋体" w:hAnsi="宋体" w:cs="宋体"/>
          <w:szCs w:val="21"/>
          <w:highlight w:val="none"/>
          <w:u w:val="single"/>
        </w:rPr>
        <w:t xml:space="preserve">           </w:t>
      </w:r>
      <w:r>
        <w:rPr>
          <w:rFonts w:hint="eastAsia" w:ascii="宋体" w:hAnsi="宋体" w:cs="宋体"/>
          <w:szCs w:val="21"/>
          <w:highlight w:val="none"/>
        </w:rPr>
        <w:t>（盖单位章）    监管部门：</w:t>
      </w:r>
      <w:r>
        <w:rPr>
          <w:rFonts w:hint="eastAsia" w:ascii="宋体" w:hAnsi="宋体" w:cs="宋体"/>
          <w:szCs w:val="21"/>
          <w:highlight w:val="none"/>
          <w:u w:val="single"/>
        </w:rPr>
        <w:t xml:space="preserve">               </w:t>
      </w:r>
      <w:r>
        <w:rPr>
          <w:rFonts w:hint="eastAsia" w:ascii="宋体" w:hAnsi="宋体" w:cs="宋体"/>
          <w:szCs w:val="21"/>
          <w:highlight w:val="none"/>
        </w:rPr>
        <w:t>（盖单位章）</w:t>
      </w:r>
    </w:p>
    <w:p>
      <w:pPr>
        <w:spacing w:line="540" w:lineRule="exact"/>
        <w:rPr>
          <w:rFonts w:ascii="宋体" w:hAnsi="宋体" w:cs="宋体"/>
          <w:szCs w:val="21"/>
          <w:highlight w:val="none"/>
        </w:rPr>
      </w:pPr>
    </w:p>
    <w:p>
      <w:pPr>
        <w:spacing w:line="540" w:lineRule="exact"/>
        <w:rPr>
          <w:rFonts w:ascii="宋体" w:hAnsi="宋体" w:cs="宋体"/>
          <w:szCs w:val="21"/>
          <w:highlight w:val="none"/>
        </w:rPr>
      </w:pPr>
    </w:p>
    <w:p>
      <w:pPr>
        <w:spacing w:line="540" w:lineRule="exact"/>
        <w:ind w:firstLine="3238" w:firstLineChars="1542"/>
        <w:rPr>
          <w:rFonts w:ascii="宋体" w:hAnsi="宋体" w:cs="宋体"/>
          <w:szCs w:val="21"/>
          <w:highlight w:val="none"/>
        </w:rPr>
      </w:pPr>
    </w:p>
    <w:p>
      <w:pPr>
        <w:spacing w:line="540" w:lineRule="exact"/>
        <w:ind w:firstLine="3548" w:firstLineChars="1690"/>
        <w:jc w:val="right"/>
        <w:rPr>
          <w:rFonts w:ascii="宋体" w:hAnsi="宋体" w:cs="宋体"/>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pPr>
        <w:spacing w:line="400" w:lineRule="exact"/>
        <w:rPr>
          <w:rFonts w:ascii="宋体" w:hAnsi="宋体" w:cs="宋体"/>
          <w:b/>
          <w:sz w:val="28"/>
          <w:szCs w:val="28"/>
          <w:highlight w:val="none"/>
        </w:rPr>
      </w:pPr>
      <w:r>
        <w:rPr>
          <w:rFonts w:hint="eastAsia" w:ascii="宋体" w:hAnsi="宋体" w:cs="宋体"/>
          <w:highlight w:val="none"/>
        </w:rPr>
        <w:br w:type="page"/>
      </w:r>
      <w:bookmarkStart w:id="440" w:name="_Toc152042363"/>
      <w:bookmarkStart w:id="441" w:name="_Toc14876"/>
      <w:bookmarkStart w:id="442" w:name="_Toc144974553"/>
      <w:bookmarkStart w:id="443" w:name="_Toc152045586"/>
      <w:bookmarkStart w:id="444" w:name="_Toc247085744"/>
      <w:bookmarkStart w:id="445" w:name="_Toc296602474"/>
      <w:bookmarkStart w:id="446" w:name="_Toc246996229"/>
      <w:bookmarkStart w:id="447" w:name="_Toc179632604"/>
      <w:bookmarkStart w:id="448" w:name="_Toc246996972"/>
      <w:r>
        <w:rPr>
          <w:rFonts w:hint="eastAsia" w:ascii="宋体" w:hAnsi="宋体" w:cs="宋体"/>
          <w:b/>
          <w:sz w:val="28"/>
          <w:szCs w:val="28"/>
          <w:highlight w:val="none"/>
        </w:rPr>
        <w:t>附件四：确认通知</w:t>
      </w:r>
      <w:bookmarkEnd w:id="440"/>
      <w:bookmarkEnd w:id="441"/>
      <w:bookmarkEnd w:id="442"/>
      <w:bookmarkEnd w:id="443"/>
      <w:bookmarkEnd w:id="444"/>
      <w:bookmarkEnd w:id="445"/>
      <w:bookmarkEnd w:id="446"/>
      <w:bookmarkEnd w:id="447"/>
      <w:bookmarkEnd w:id="448"/>
    </w:p>
    <w:p>
      <w:pPr>
        <w:spacing w:line="400" w:lineRule="exact"/>
        <w:rPr>
          <w:rFonts w:ascii="宋体" w:hAnsi="宋体" w:cs="宋体"/>
          <w:highlight w:val="none"/>
        </w:rPr>
      </w:pPr>
    </w:p>
    <w:p>
      <w:pPr>
        <w:spacing w:line="400" w:lineRule="exact"/>
        <w:jc w:val="center"/>
        <w:rPr>
          <w:rFonts w:ascii="宋体" w:hAnsi="宋体" w:cs="宋体"/>
          <w:sz w:val="28"/>
          <w:szCs w:val="28"/>
          <w:highlight w:val="none"/>
        </w:rPr>
      </w:pPr>
      <w:r>
        <w:rPr>
          <w:rFonts w:hint="eastAsia" w:ascii="宋体" w:hAnsi="宋体" w:cs="宋体"/>
          <w:sz w:val="28"/>
          <w:szCs w:val="28"/>
          <w:highlight w:val="none"/>
        </w:rPr>
        <w:t>确认通知</w:t>
      </w:r>
    </w:p>
    <w:p>
      <w:pPr>
        <w:spacing w:line="400" w:lineRule="exact"/>
        <w:rPr>
          <w:rFonts w:ascii="宋体" w:hAnsi="宋体" w:cs="宋体"/>
          <w:highlight w:val="none"/>
        </w:rPr>
      </w:pPr>
    </w:p>
    <w:p>
      <w:pPr>
        <w:spacing w:line="440" w:lineRule="exact"/>
        <w:rPr>
          <w:rFonts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（招标人名称）：</w:t>
      </w:r>
    </w:p>
    <w:p>
      <w:pPr>
        <w:spacing w:line="440" w:lineRule="exact"/>
        <w:rPr>
          <w:rFonts w:ascii="宋体" w:hAnsi="宋体" w:cs="宋体"/>
          <w:szCs w:val="21"/>
          <w:highlight w:val="none"/>
        </w:rPr>
      </w:pPr>
      <w:r>
        <w:rPr>
          <w:rFonts w:hint="eastAsia" w:ascii="宋体" w:hAnsi="宋体" w:cs="宋体"/>
          <w:szCs w:val="21"/>
          <w:highlight w:val="none"/>
        </w:rPr>
        <w:t>　　</w:t>
      </w:r>
    </w:p>
    <w:p>
      <w:pPr>
        <w:spacing w:line="440" w:lineRule="exact"/>
        <w:ind w:firstLine="420" w:firstLineChars="200"/>
        <w:rPr>
          <w:rFonts w:ascii="宋体" w:hAnsi="宋体" w:cs="宋体"/>
          <w:szCs w:val="21"/>
          <w:highlight w:val="none"/>
        </w:rPr>
      </w:pPr>
      <w:r>
        <w:rPr>
          <w:rFonts w:hint="eastAsia" w:ascii="宋体" w:hAnsi="宋体" w:cs="宋体"/>
          <w:szCs w:val="21"/>
          <w:highlight w:val="none"/>
        </w:rPr>
        <w:t>你方于</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日发出的</w:t>
      </w:r>
      <w:r>
        <w:rPr>
          <w:rFonts w:hint="eastAsia" w:ascii="宋体" w:hAnsi="宋体" w:cs="宋体"/>
          <w:szCs w:val="21"/>
          <w:highlight w:val="none"/>
          <w:u w:val="single"/>
        </w:rPr>
        <w:t xml:space="preserve">                         </w:t>
      </w:r>
      <w:r>
        <w:rPr>
          <w:rFonts w:hint="eastAsia" w:ascii="宋体" w:hAnsi="宋体" w:cs="宋体"/>
          <w:szCs w:val="21"/>
          <w:highlight w:val="none"/>
        </w:rPr>
        <w:t>（项目名称）关于的通知，我方已于</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日收到。</w:t>
      </w:r>
    </w:p>
    <w:p>
      <w:pPr>
        <w:spacing w:line="440" w:lineRule="exact"/>
        <w:rPr>
          <w:rFonts w:ascii="宋体" w:hAnsi="宋体" w:cs="宋体"/>
          <w:szCs w:val="21"/>
          <w:highlight w:val="none"/>
        </w:rPr>
      </w:pPr>
    </w:p>
    <w:p>
      <w:pPr>
        <w:spacing w:line="440" w:lineRule="exact"/>
        <w:rPr>
          <w:rFonts w:ascii="宋体" w:hAnsi="宋体" w:cs="宋体"/>
          <w:szCs w:val="21"/>
          <w:highlight w:val="none"/>
        </w:rPr>
      </w:pPr>
      <w:r>
        <w:rPr>
          <w:rFonts w:hint="eastAsia" w:ascii="宋体" w:hAnsi="宋体" w:cs="宋体"/>
          <w:szCs w:val="21"/>
          <w:highlight w:val="none"/>
        </w:rPr>
        <w:t>　　特此确认。</w:t>
      </w:r>
    </w:p>
    <w:p>
      <w:pPr>
        <w:spacing w:line="440" w:lineRule="exact"/>
        <w:rPr>
          <w:rFonts w:ascii="宋体" w:hAnsi="宋体" w:cs="宋体"/>
          <w:szCs w:val="21"/>
          <w:highlight w:val="none"/>
        </w:rPr>
      </w:pPr>
    </w:p>
    <w:p>
      <w:pPr>
        <w:spacing w:line="440" w:lineRule="exact"/>
        <w:rPr>
          <w:rFonts w:ascii="宋体" w:hAnsi="宋体" w:cs="宋体"/>
          <w:szCs w:val="21"/>
          <w:highlight w:val="none"/>
        </w:rPr>
      </w:pPr>
    </w:p>
    <w:p>
      <w:pPr>
        <w:spacing w:line="440" w:lineRule="exact"/>
        <w:rPr>
          <w:rFonts w:ascii="宋体" w:hAnsi="宋体" w:cs="宋体"/>
          <w:szCs w:val="21"/>
          <w:highlight w:val="none"/>
        </w:rPr>
      </w:pPr>
      <w:r>
        <w:rPr>
          <w:rFonts w:hint="eastAsia" w:ascii="宋体" w:hAnsi="宋体" w:cs="宋体"/>
          <w:szCs w:val="21"/>
          <w:highlight w:val="none"/>
        </w:rPr>
        <w:t xml:space="preserve">                              投标人： </w:t>
      </w:r>
      <w:r>
        <w:rPr>
          <w:rFonts w:hint="eastAsia" w:ascii="宋体" w:hAnsi="宋体" w:cs="宋体"/>
          <w:szCs w:val="21"/>
          <w:highlight w:val="none"/>
          <w:u w:val="single"/>
        </w:rPr>
        <w:t xml:space="preserve">         </w:t>
      </w:r>
      <w:r>
        <w:rPr>
          <w:rFonts w:hint="eastAsia" w:ascii="宋体" w:hAnsi="宋体" w:cs="宋体"/>
          <w:szCs w:val="21"/>
          <w:highlight w:val="none"/>
        </w:rPr>
        <w:t>（盖单位章）</w:t>
      </w:r>
    </w:p>
    <w:p>
      <w:pPr>
        <w:spacing w:line="440" w:lineRule="exact"/>
        <w:rPr>
          <w:rFonts w:ascii="宋体" w:hAnsi="宋体" w:cs="宋体"/>
          <w:szCs w:val="21"/>
          <w:highlight w:val="none"/>
        </w:rPr>
      </w:pPr>
    </w:p>
    <w:p>
      <w:pPr>
        <w:spacing w:line="400" w:lineRule="exact"/>
        <w:ind w:firstLine="3675" w:firstLineChars="1750"/>
        <w:rPr>
          <w:rFonts w:ascii="宋体" w:hAnsi="宋体" w:cs="宋体"/>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 xml:space="preserve">月 </w:t>
      </w:r>
      <w:r>
        <w:rPr>
          <w:rFonts w:hint="eastAsia" w:ascii="宋体" w:hAnsi="宋体" w:cs="宋体"/>
          <w:szCs w:val="21"/>
          <w:highlight w:val="none"/>
          <w:u w:val="single"/>
        </w:rPr>
        <w:t xml:space="preserve">     </w:t>
      </w:r>
      <w:r>
        <w:rPr>
          <w:rFonts w:hint="eastAsia" w:ascii="宋体" w:hAnsi="宋体" w:cs="宋体"/>
          <w:szCs w:val="21"/>
          <w:highlight w:val="none"/>
        </w:rPr>
        <w:t>日</w:t>
      </w: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pStyle w:val="26"/>
        <w:rPr>
          <w:rFonts w:ascii="宋体" w:hAnsi="宋体" w:cs="宋体"/>
          <w:highlight w:val="none"/>
        </w:rPr>
      </w:pPr>
    </w:p>
    <w:p>
      <w:pPr>
        <w:pStyle w:val="26"/>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400" w:lineRule="exact"/>
        <w:rPr>
          <w:rFonts w:ascii="宋体" w:hAnsi="宋体" w:cs="宋体"/>
          <w:highlight w:val="none"/>
        </w:rPr>
      </w:pPr>
    </w:p>
    <w:p>
      <w:pPr>
        <w:spacing w:line="600" w:lineRule="exact"/>
        <w:jc w:val="center"/>
        <w:outlineLvl w:val="0"/>
        <w:rPr>
          <w:b/>
          <w:bCs/>
          <w:sz w:val="36"/>
          <w:szCs w:val="36"/>
          <w:highlight w:val="none"/>
        </w:rPr>
      </w:pPr>
      <w:bookmarkStart w:id="449" w:name="_Toc247085745"/>
      <w:bookmarkStart w:id="450" w:name="_Toc144974554"/>
      <w:bookmarkStart w:id="451" w:name="_Toc25787"/>
      <w:bookmarkStart w:id="452" w:name="_Toc246996230"/>
      <w:bookmarkStart w:id="453" w:name="_Toc19070"/>
      <w:bookmarkStart w:id="454" w:name="_Toc26877"/>
      <w:bookmarkStart w:id="455" w:name="_Toc4632"/>
      <w:bookmarkStart w:id="456" w:name="_Toc27390"/>
      <w:bookmarkStart w:id="457" w:name="_Toc152042364"/>
      <w:bookmarkStart w:id="458" w:name="_Toc18174"/>
      <w:bookmarkStart w:id="459" w:name="_Toc246996973"/>
      <w:bookmarkStart w:id="460" w:name="_Toc5995"/>
      <w:bookmarkStart w:id="461" w:name="_Toc11626"/>
      <w:bookmarkStart w:id="462" w:name="_Toc152045587"/>
      <w:bookmarkStart w:id="463" w:name="_Toc179632605"/>
      <w:r>
        <w:rPr>
          <w:rFonts w:hint="eastAsia"/>
          <w:b/>
          <w:bCs/>
          <w:sz w:val="36"/>
          <w:szCs w:val="36"/>
          <w:highlight w:val="none"/>
        </w:rPr>
        <w:t>第三章 评标办法</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pPr>
        <w:autoSpaceDE w:val="0"/>
        <w:autoSpaceDN w:val="0"/>
        <w:spacing w:line="360" w:lineRule="auto"/>
        <w:jc w:val="center"/>
        <w:rPr>
          <w:rFonts w:hint="eastAsia" w:ascii="宋体" w:hAnsi="宋体" w:cs="宋体"/>
          <w:b/>
          <w:kern w:val="0"/>
          <w:sz w:val="24"/>
          <w:highlight w:val="none"/>
        </w:rPr>
      </w:pPr>
      <w:r>
        <w:rPr>
          <w:rFonts w:hint="eastAsia" w:ascii="宋体" w:hAnsi="宋体" w:cs="宋体"/>
          <w:b/>
          <w:kern w:val="0"/>
          <w:sz w:val="24"/>
          <w:highlight w:val="none"/>
        </w:rPr>
        <w:t>评标办法前附表</w:t>
      </w:r>
    </w:p>
    <w:p>
      <w:pPr>
        <w:pStyle w:val="26"/>
      </w:pPr>
    </w:p>
    <w:tbl>
      <w:tblPr>
        <w:tblStyle w:val="22"/>
        <w:tblW w:w="95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
        <w:gridCol w:w="1182"/>
        <w:gridCol w:w="2338"/>
        <w:gridCol w:w="5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jc w:val="center"/>
        </w:trPr>
        <w:tc>
          <w:tcPr>
            <w:tcW w:w="2044"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szCs w:val="21"/>
                <w:highlight w:val="none"/>
              </w:rPr>
            </w:pPr>
            <w:r>
              <w:rPr>
                <w:rFonts w:hint="eastAsia" w:ascii="宋体" w:hAnsi="宋体" w:cs="宋体"/>
                <w:b/>
                <w:szCs w:val="21"/>
                <w:highlight w:val="none"/>
              </w:rPr>
              <w:t>条款号</w:t>
            </w: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szCs w:val="21"/>
                <w:highlight w:val="none"/>
              </w:rPr>
            </w:pPr>
            <w:r>
              <w:rPr>
                <w:rFonts w:hint="eastAsia" w:ascii="宋体" w:hAnsi="宋体" w:cs="宋体"/>
                <w:b/>
                <w:szCs w:val="21"/>
                <w:highlight w:val="none"/>
              </w:rPr>
              <w:t>评审因素</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szCs w:val="21"/>
                <w:highlight w:val="none"/>
              </w:rPr>
            </w:pPr>
            <w:r>
              <w:rPr>
                <w:rFonts w:hint="eastAsia" w:ascii="宋体" w:hAnsi="宋体" w:cs="宋体"/>
                <w:b/>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2.1.1</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形式评审标准</w:t>
            </w: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ind w:leftChars="-51" w:hanging="107" w:hangingChars="51"/>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投标人名称</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与营业执照、资质证书</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安全生产许可证一致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59"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360" w:lineRule="exact"/>
              <w:ind w:leftChars="-51" w:hanging="107" w:hangingChars="51"/>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投标函签字盖章</w:t>
            </w:r>
          </w:p>
        </w:tc>
        <w:tc>
          <w:tcPr>
            <w:tcW w:w="5205"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有法定代表人或其委托代理人签字或加盖单位章。</w:t>
            </w:r>
          </w:p>
          <w:p>
            <w:pPr>
              <w:spacing w:line="360" w:lineRule="exact"/>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符合第二章“投标人须知前附表”第3.</w:t>
            </w:r>
            <w:r>
              <w:rPr>
                <w:rFonts w:hint="eastAsia" w:asciiTheme="minorEastAsia" w:hAnsiTheme="minorEastAsia" w:eastAsiaTheme="minorEastAsia" w:cstheme="minorEastAsia"/>
                <w:sz w:val="21"/>
                <w:szCs w:val="21"/>
                <w:highlight w:val="none"/>
                <w:lang w:val="en-US" w:eastAsia="zh-CN"/>
              </w:rPr>
              <w:t>6</w:t>
            </w:r>
            <w:r>
              <w:rPr>
                <w:rFonts w:hint="eastAsia" w:asciiTheme="minorEastAsia" w:hAnsiTheme="minorEastAsia" w:eastAsiaTheme="minorEastAsia" w:cstheme="minorEastAsia"/>
                <w:sz w:val="21"/>
                <w:szCs w:val="21"/>
                <w:highlight w:val="none"/>
              </w:rPr>
              <w:t>.3项要求。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ind w:leftChars="-51" w:hanging="107" w:hangingChars="51"/>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投标文件格式</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符合第八章“投标文件格式”的要求。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ind w:leftChars="-51" w:hanging="107" w:hangingChars="51"/>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报价唯一</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只能有一个有效报价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2.1.2</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资格评审标准</w:t>
            </w: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ind w:leftChars="-51" w:hanging="107" w:hangingChars="51"/>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营业执照</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ind w:leftChars="-51" w:hanging="107" w:hangingChars="51"/>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安全生产许可证</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具备有效的安全生产许可证。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ind w:leftChars="-51" w:hanging="107" w:hangingChars="51"/>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资质等级</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sz w:val="21"/>
                <w:szCs w:val="21"/>
                <w:highlight w:val="none"/>
              </w:rPr>
              <w:t>符合第二章“投标人须知前附表”第1.4.1项要求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ind w:leftChars="-51" w:hanging="107" w:hangingChars="51"/>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财务状况</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符合第二章“投标人须知前附表”第1.4.1项要求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ind w:leftChars="-51" w:hanging="107" w:hangingChars="51"/>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类似项目业绩</w:t>
            </w:r>
          </w:p>
        </w:tc>
        <w:tc>
          <w:tcPr>
            <w:tcW w:w="5205" w:type="dxa"/>
            <w:tcBorders>
              <w:top w:val="single" w:color="auto" w:sz="4" w:space="0"/>
              <w:left w:val="single" w:color="auto" w:sz="4" w:space="0"/>
              <w:bottom w:val="single" w:color="auto" w:sz="4" w:space="0"/>
              <w:right w:val="single" w:color="auto" w:sz="4" w:space="0"/>
            </w:tcBorders>
            <w:vAlign w:val="center"/>
          </w:tcPr>
          <w:p>
            <w:pP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符合第二章“投标人须知前附表”第1.4.1项要求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ind w:left="0" w:leftChars="-51" w:hanging="107" w:hangingChars="51"/>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项目经理</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符合第二章“投标人须知前附表”第1.4.1项要求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300" w:lineRule="exact"/>
              <w:ind w:left="0" w:leftChars="-51" w:hanging="107" w:hangingChars="51"/>
              <w:jc w:val="center"/>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信誉</w:t>
            </w:r>
            <w:r>
              <w:rPr>
                <w:rFonts w:hint="eastAsia" w:asciiTheme="minorEastAsia" w:hAnsiTheme="minorEastAsia" w:eastAsiaTheme="minorEastAsia" w:cstheme="minorEastAsia"/>
                <w:sz w:val="21"/>
                <w:szCs w:val="21"/>
                <w:highlight w:val="none"/>
                <w:lang w:eastAsia="zh-CN"/>
              </w:rPr>
              <w:t>要求</w:t>
            </w:r>
          </w:p>
        </w:tc>
        <w:tc>
          <w:tcPr>
            <w:tcW w:w="5205" w:type="dxa"/>
            <w:tcBorders>
              <w:top w:val="single" w:color="auto" w:sz="4" w:space="0"/>
              <w:left w:val="single" w:color="auto" w:sz="4" w:space="0"/>
              <w:bottom w:val="single" w:color="auto" w:sz="4" w:space="0"/>
              <w:right w:val="single" w:color="auto" w:sz="4" w:space="0"/>
            </w:tcBorders>
            <w:vAlign w:val="center"/>
          </w:tcPr>
          <w:p>
            <w:pPr>
              <w:spacing w:line="300" w:lineRule="exact"/>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sz w:val="21"/>
                <w:szCs w:val="21"/>
                <w:highlight w:val="none"/>
              </w:rPr>
              <w:t>符合第二章“投标人须知前附表”第1.4.1项要求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top"/>
          </w:tcPr>
          <w:p>
            <w:pPr>
              <w:spacing w:line="400" w:lineRule="exact"/>
              <w:ind w:leftChars="-51" w:hanging="107" w:hangingChars="51"/>
              <w:jc w:val="center"/>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eastAsia="zh-CN"/>
              </w:rPr>
              <w:t>诚信要求</w:t>
            </w:r>
          </w:p>
        </w:tc>
        <w:tc>
          <w:tcPr>
            <w:tcW w:w="5205" w:type="dxa"/>
            <w:tcBorders>
              <w:top w:val="single" w:color="auto" w:sz="4" w:space="0"/>
              <w:left w:val="single" w:color="auto" w:sz="4" w:space="0"/>
              <w:bottom w:val="single" w:color="auto" w:sz="4" w:space="0"/>
              <w:right w:val="single" w:color="auto" w:sz="4" w:space="0"/>
            </w:tcBorders>
            <w:vAlign w:val="top"/>
          </w:tcPr>
          <w:p>
            <w:pPr>
              <w:widowControl w:val="0"/>
              <w:wordWrap/>
              <w:adjustRightInd/>
              <w:snapToGrid/>
              <w:spacing w:line="460" w:lineRule="exact"/>
              <w:jc w:val="left"/>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符合第二章“投标人须知前附表”第1.4.1项要求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ind w:leftChars="-51" w:hanging="107" w:hangingChars="51"/>
              <w:jc w:val="center"/>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eastAsia="zh-CN"/>
              </w:rPr>
              <w:t>农民工工资承诺</w:t>
            </w:r>
          </w:p>
        </w:tc>
        <w:tc>
          <w:tcPr>
            <w:tcW w:w="5205" w:type="dxa"/>
            <w:tcBorders>
              <w:top w:val="single" w:color="auto" w:sz="4" w:space="0"/>
              <w:left w:val="single" w:color="auto" w:sz="4" w:space="0"/>
              <w:bottom w:val="single" w:color="auto" w:sz="4" w:space="0"/>
              <w:right w:val="single" w:color="auto" w:sz="4" w:space="0"/>
            </w:tcBorders>
            <w:vAlign w:val="center"/>
          </w:tcPr>
          <w:p>
            <w:pPr>
              <w:widowControl w:val="0"/>
              <w:wordWrap/>
              <w:adjustRightInd/>
              <w:snapToGrid/>
              <w:spacing w:line="460" w:lineRule="exact"/>
              <w:textAlignment w:val="auto"/>
              <w:outlineLvl w:val="9"/>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color w:val="000000"/>
                <w:sz w:val="21"/>
                <w:szCs w:val="21"/>
              </w:rPr>
              <w:t>符合第二章“</w:t>
            </w:r>
            <w:r>
              <w:rPr>
                <w:rFonts w:hint="eastAsia" w:asciiTheme="minorEastAsia" w:hAnsiTheme="minorEastAsia" w:eastAsiaTheme="minorEastAsia" w:cstheme="minorEastAsia"/>
                <w:sz w:val="21"/>
                <w:szCs w:val="21"/>
                <w:highlight w:val="none"/>
              </w:rPr>
              <w:t>投标人须知前附表</w:t>
            </w:r>
            <w:r>
              <w:rPr>
                <w:rFonts w:hint="eastAsia" w:asciiTheme="minorEastAsia" w:hAnsiTheme="minorEastAsia" w:eastAsiaTheme="minorEastAsia" w:cstheme="minorEastAsia"/>
                <w:color w:val="000000"/>
                <w:sz w:val="21"/>
                <w:szCs w:val="21"/>
              </w:rPr>
              <w:t>”第9.12 项</w:t>
            </w:r>
            <w:r>
              <w:rPr>
                <w:rFonts w:hint="eastAsia" w:asciiTheme="minorEastAsia" w:hAnsiTheme="minorEastAsia" w:eastAsiaTheme="minorEastAsia" w:cstheme="minorEastAsia"/>
                <w:color w:val="000000"/>
                <w:sz w:val="21"/>
                <w:szCs w:val="21"/>
                <w:lang w:eastAsia="zh-CN"/>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ind w:leftChars="-51" w:hanging="107" w:hangingChars="51"/>
              <w:jc w:val="center"/>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eastAsia="zh-CN"/>
              </w:rPr>
              <w:t>无行贿犯罪记录承诺书</w:t>
            </w:r>
          </w:p>
        </w:tc>
        <w:tc>
          <w:tcPr>
            <w:tcW w:w="5205" w:type="dxa"/>
            <w:tcBorders>
              <w:top w:val="single" w:color="auto" w:sz="4" w:space="0"/>
              <w:left w:val="single" w:color="auto" w:sz="4" w:space="0"/>
              <w:bottom w:val="single" w:color="auto" w:sz="4" w:space="0"/>
              <w:right w:val="single" w:color="auto" w:sz="4" w:space="0"/>
            </w:tcBorders>
            <w:vAlign w:val="center"/>
          </w:tcPr>
          <w:p>
            <w:pPr>
              <w:widowControl w:val="0"/>
              <w:wordWrap/>
              <w:adjustRightInd/>
              <w:snapToGrid/>
              <w:spacing w:line="460" w:lineRule="exact"/>
              <w:textAlignment w:val="auto"/>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符合第二章“投标人须知前附表”第1.4.1项要求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300" w:lineRule="exact"/>
              <w:ind w:left="0" w:leftChars="-51" w:hanging="107" w:hangingChars="51"/>
              <w:jc w:val="center"/>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eastAsia="zh-CN"/>
              </w:rPr>
              <w:t>其他要求</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sz w:val="21"/>
                <w:szCs w:val="21"/>
                <w:highlight w:val="none"/>
              </w:rPr>
              <w:t>符合第二章“投标人须知前附表”第1.4.1项要求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2.1.3</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响应性  评审标准</w:t>
            </w: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投标内容</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符合第二章“投标人须知前附表”第1.3.1项要求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工期</w:t>
            </w:r>
          </w:p>
        </w:tc>
        <w:tc>
          <w:tcPr>
            <w:tcW w:w="5205" w:type="dxa"/>
            <w:tcBorders>
              <w:top w:val="single" w:color="auto" w:sz="4" w:space="0"/>
              <w:left w:val="single" w:color="auto" w:sz="4" w:space="0"/>
              <w:bottom w:val="single" w:color="auto" w:sz="4" w:space="0"/>
              <w:right w:val="single" w:color="auto" w:sz="4" w:space="0"/>
            </w:tcBorders>
            <w:vAlign w:val="center"/>
          </w:tcPr>
          <w:p>
            <w:pPr>
              <w:tabs>
                <w:tab w:val="left" w:pos="2370"/>
              </w:tabs>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符合第二章“投标人须知前附表”第1.3.2项要求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工程质量</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符合第二章“投标人须知前附表”第1.3.3项要求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投标有效期</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符合第二章“投标人须知前附表”第3.3.1项要求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投标保证金</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ind w:left="630" w:hanging="630" w:hangingChars="3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符合第二章“投标人须知前附表”第3.4.1项要求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权利义务</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符合第四章“合同条款及格式”规定。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ind w:left="630" w:hanging="630" w:hangingChars="30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已标价工程量清单</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ind w:left="630" w:hanging="630" w:hangingChars="300"/>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符合第五章“工程量清单”给出的范围及数量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Theme="minorEastAsia" w:hAnsiTheme="minorEastAsia" w:eastAsiaTheme="minorEastAsia" w:cstheme="minorEastAsia"/>
                <w:sz w:val="21"/>
                <w:szCs w:val="21"/>
                <w:highlight w:val="none"/>
              </w:rPr>
            </w:pPr>
          </w:p>
        </w:tc>
        <w:tc>
          <w:tcPr>
            <w:tcW w:w="233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技术标准和要求</w:t>
            </w:r>
          </w:p>
        </w:tc>
        <w:tc>
          <w:tcPr>
            <w:tcW w:w="52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符合第</w:t>
            </w:r>
            <w:r>
              <w:rPr>
                <w:rFonts w:hint="eastAsia" w:asciiTheme="minorEastAsia" w:hAnsiTheme="minorEastAsia" w:eastAsiaTheme="minorEastAsia" w:cstheme="minorEastAsia"/>
                <w:sz w:val="21"/>
                <w:szCs w:val="21"/>
                <w:highlight w:val="none"/>
                <w:lang w:eastAsia="zh-CN"/>
              </w:rPr>
              <w:t>六</w:t>
            </w:r>
            <w:r>
              <w:rPr>
                <w:rFonts w:hint="eastAsia" w:asciiTheme="minorEastAsia" w:hAnsiTheme="minorEastAsia" w:eastAsiaTheme="minorEastAsia" w:cstheme="minorEastAsia"/>
                <w:sz w:val="21"/>
                <w:szCs w:val="21"/>
                <w:highlight w:val="none"/>
              </w:rPr>
              <w:t>章“技术标准和要求”规定。</w:t>
            </w:r>
          </w:p>
        </w:tc>
      </w:tr>
    </w:tbl>
    <w:p>
      <w:pPr>
        <w:spacing w:line="480" w:lineRule="exact"/>
        <w:ind w:firstLine="291" w:firstLineChars="139"/>
        <w:outlineLvl w:val="1"/>
        <w:rPr>
          <w:rFonts w:hint="eastAsia" w:asciiTheme="minorEastAsia" w:hAnsiTheme="minorEastAsia" w:eastAsiaTheme="minorEastAsia" w:cstheme="minorEastAsia"/>
          <w:b/>
          <w:bCs/>
          <w:sz w:val="21"/>
          <w:szCs w:val="21"/>
          <w:highlight w:val="none"/>
        </w:rPr>
      </w:pPr>
      <w:bookmarkStart w:id="464" w:name="_Toc17330"/>
      <w:bookmarkStart w:id="465" w:name="_Toc488"/>
    </w:p>
    <w:p>
      <w:pPr>
        <w:pStyle w:val="26"/>
        <w:rPr>
          <w:rFonts w:hint="eastAsia" w:asciiTheme="minorEastAsia" w:hAnsiTheme="minorEastAsia" w:eastAsiaTheme="minorEastAsia" w:cstheme="minorEastAsia"/>
          <w:sz w:val="21"/>
          <w:szCs w:val="21"/>
        </w:rPr>
      </w:pPr>
    </w:p>
    <w:bookmarkEnd w:id="464"/>
    <w:bookmarkEnd w:id="465"/>
    <w:tbl>
      <w:tblPr>
        <w:tblStyle w:val="22"/>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1059"/>
        <w:gridCol w:w="2970"/>
        <w:gridCol w:w="16"/>
        <w:gridCol w:w="4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5" w:hRule="atLeast"/>
        </w:trPr>
        <w:tc>
          <w:tcPr>
            <w:tcW w:w="741" w:type="dxa"/>
            <w:vMerge w:val="restart"/>
            <w:noWrap w:val="0"/>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2.1.4</w:t>
            </w:r>
          </w:p>
        </w:tc>
        <w:tc>
          <w:tcPr>
            <w:tcW w:w="1059" w:type="dxa"/>
            <w:vMerge w:val="restart"/>
            <w:noWrap w:val="0"/>
            <w:vAlign w:val="center"/>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施工组织设计和项目管理机构评审标准（100分）</w:t>
            </w:r>
          </w:p>
          <w:p>
            <w:pPr>
              <w:spacing w:line="360" w:lineRule="auto"/>
              <w:rPr>
                <w:rFonts w:hint="eastAsia" w:asciiTheme="minorEastAsia" w:hAnsiTheme="minorEastAsia" w:eastAsiaTheme="minorEastAsia" w:cstheme="minorEastAsia"/>
                <w:sz w:val="21"/>
                <w:szCs w:val="21"/>
              </w:rPr>
            </w:pPr>
          </w:p>
        </w:tc>
        <w:tc>
          <w:tcPr>
            <w:tcW w:w="2986" w:type="dxa"/>
            <w:gridSpan w:val="2"/>
            <w:noWrap w:val="0"/>
            <w:vAlign w:val="top"/>
          </w:tcPr>
          <w:p>
            <w:pPr>
              <w:spacing w:line="360" w:lineRule="auto"/>
              <w:ind w:firstLine="42" w:firstLineChars="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1、施工方案与技术措施</w:t>
            </w:r>
          </w:p>
        </w:tc>
        <w:tc>
          <w:tcPr>
            <w:tcW w:w="4678" w:type="dxa"/>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方案与措施先进12～11分；基本可行10分。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741" w:type="dxa"/>
            <w:vMerge w:val="continue"/>
            <w:noWrap w:val="0"/>
            <w:vAlign w:val="top"/>
          </w:tcPr>
          <w:p>
            <w:pPr>
              <w:rPr>
                <w:rFonts w:hint="eastAsia" w:asciiTheme="minorEastAsia" w:hAnsiTheme="minorEastAsia" w:eastAsiaTheme="minorEastAsia" w:cstheme="minorEastAsia"/>
                <w:sz w:val="21"/>
                <w:szCs w:val="21"/>
              </w:rPr>
            </w:pPr>
          </w:p>
        </w:tc>
        <w:tc>
          <w:tcPr>
            <w:tcW w:w="1059" w:type="dxa"/>
            <w:vMerge w:val="continue"/>
            <w:noWrap w:val="0"/>
            <w:vAlign w:val="top"/>
          </w:tcPr>
          <w:p>
            <w:pPr>
              <w:rPr>
                <w:rFonts w:hint="eastAsia" w:asciiTheme="minorEastAsia" w:hAnsiTheme="minorEastAsia" w:eastAsiaTheme="minorEastAsia" w:cstheme="minorEastAsia"/>
                <w:sz w:val="21"/>
                <w:szCs w:val="21"/>
              </w:rPr>
            </w:pPr>
          </w:p>
        </w:tc>
        <w:tc>
          <w:tcPr>
            <w:tcW w:w="2986" w:type="dxa"/>
            <w:gridSpan w:val="2"/>
            <w:noWrap w:val="0"/>
            <w:vAlign w:val="top"/>
          </w:tcPr>
          <w:p>
            <w:pPr>
              <w:spacing w:line="360" w:lineRule="auto"/>
              <w:ind w:firstLine="42" w:firstLineChars="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2、质量管理体系与措施</w:t>
            </w:r>
          </w:p>
        </w:tc>
        <w:tc>
          <w:tcPr>
            <w:tcW w:w="4678" w:type="dxa"/>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能保障工程质量要求10～9分；基本保障8分。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741" w:type="dxa"/>
            <w:vMerge w:val="continue"/>
            <w:noWrap w:val="0"/>
            <w:vAlign w:val="top"/>
          </w:tcPr>
          <w:p>
            <w:pPr>
              <w:rPr>
                <w:rFonts w:hint="eastAsia" w:asciiTheme="minorEastAsia" w:hAnsiTheme="minorEastAsia" w:eastAsiaTheme="minorEastAsia" w:cstheme="minorEastAsia"/>
                <w:sz w:val="21"/>
                <w:szCs w:val="21"/>
              </w:rPr>
            </w:pPr>
          </w:p>
        </w:tc>
        <w:tc>
          <w:tcPr>
            <w:tcW w:w="1059" w:type="dxa"/>
            <w:vMerge w:val="continue"/>
            <w:noWrap w:val="0"/>
            <w:vAlign w:val="top"/>
          </w:tcPr>
          <w:p>
            <w:pPr>
              <w:rPr>
                <w:rFonts w:hint="eastAsia" w:asciiTheme="minorEastAsia" w:hAnsiTheme="minorEastAsia" w:eastAsiaTheme="minorEastAsia" w:cstheme="minorEastAsia"/>
                <w:sz w:val="21"/>
                <w:szCs w:val="21"/>
              </w:rPr>
            </w:pPr>
          </w:p>
        </w:tc>
        <w:tc>
          <w:tcPr>
            <w:tcW w:w="2986" w:type="dxa"/>
            <w:gridSpan w:val="2"/>
            <w:noWrap w:val="0"/>
            <w:vAlign w:val="top"/>
          </w:tcPr>
          <w:p>
            <w:pPr>
              <w:spacing w:line="360" w:lineRule="auto"/>
              <w:ind w:firstLine="42" w:firstLineChars="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3、安全管理体系与措施</w:t>
            </w:r>
          </w:p>
        </w:tc>
        <w:tc>
          <w:tcPr>
            <w:tcW w:w="4678" w:type="dxa"/>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能保障工程安全生产10～9分；基本保障8分。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741" w:type="dxa"/>
            <w:vMerge w:val="continue"/>
            <w:noWrap w:val="0"/>
            <w:vAlign w:val="top"/>
          </w:tcPr>
          <w:p>
            <w:pPr>
              <w:rPr>
                <w:rFonts w:hint="eastAsia" w:asciiTheme="minorEastAsia" w:hAnsiTheme="minorEastAsia" w:eastAsiaTheme="minorEastAsia" w:cstheme="minorEastAsia"/>
                <w:sz w:val="21"/>
                <w:szCs w:val="21"/>
              </w:rPr>
            </w:pPr>
          </w:p>
        </w:tc>
        <w:tc>
          <w:tcPr>
            <w:tcW w:w="1059" w:type="dxa"/>
            <w:vMerge w:val="continue"/>
            <w:noWrap w:val="0"/>
            <w:vAlign w:val="top"/>
          </w:tcPr>
          <w:p>
            <w:pPr>
              <w:rPr>
                <w:rFonts w:hint="eastAsia" w:asciiTheme="minorEastAsia" w:hAnsiTheme="minorEastAsia" w:eastAsiaTheme="minorEastAsia" w:cstheme="minorEastAsia"/>
                <w:sz w:val="21"/>
                <w:szCs w:val="21"/>
              </w:rPr>
            </w:pPr>
          </w:p>
        </w:tc>
        <w:tc>
          <w:tcPr>
            <w:tcW w:w="2986" w:type="dxa"/>
            <w:gridSpan w:val="2"/>
            <w:noWrap w:val="0"/>
            <w:vAlign w:val="top"/>
          </w:tcPr>
          <w:p>
            <w:pPr>
              <w:spacing w:line="360" w:lineRule="auto"/>
              <w:ind w:firstLine="42" w:firstLineChars="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4、环境保护管理体系与措施</w:t>
            </w:r>
          </w:p>
        </w:tc>
        <w:tc>
          <w:tcPr>
            <w:tcW w:w="4678" w:type="dxa"/>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完整、到位8～7分；基本到位6分。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741" w:type="dxa"/>
            <w:vMerge w:val="continue"/>
            <w:noWrap w:val="0"/>
            <w:vAlign w:val="top"/>
          </w:tcPr>
          <w:p>
            <w:pPr>
              <w:rPr>
                <w:rFonts w:hint="eastAsia" w:asciiTheme="minorEastAsia" w:hAnsiTheme="minorEastAsia" w:eastAsiaTheme="minorEastAsia" w:cstheme="minorEastAsia"/>
                <w:sz w:val="21"/>
                <w:szCs w:val="21"/>
              </w:rPr>
            </w:pPr>
          </w:p>
        </w:tc>
        <w:tc>
          <w:tcPr>
            <w:tcW w:w="1059" w:type="dxa"/>
            <w:vMerge w:val="continue"/>
            <w:noWrap w:val="0"/>
            <w:vAlign w:val="top"/>
          </w:tcPr>
          <w:p>
            <w:pPr>
              <w:rPr>
                <w:rFonts w:hint="eastAsia" w:asciiTheme="minorEastAsia" w:hAnsiTheme="minorEastAsia" w:eastAsiaTheme="minorEastAsia" w:cstheme="minorEastAsia"/>
                <w:sz w:val="21"/>
                <w:szCs w:val="21"/>
              </w:rPr>
            </w:pPr>
          </w:p>
        </w:tc>
        <w:tc>
          <w:tcPr>
            <w:tcW w:w="2986" w:type="dxa"/>
            <w:gridSpan w:val="2"/>
            <w:noWrap w:val="0"/>
            <w:vAlign w:val="top"/>
          </w:tcPr>
          <w:p>
            <w:pPr>
              <w:spacing w:line="360" w:lineRule="auto"/>
              <w:ind w:firstLine="42" w:firstLineChars="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5、建筑节能措施：</w:t>
            </w:r>
          </w:p>
        </w:tc>
        <w:tc>
          <w:tcPr>
            <w:tcW w:w="4678" w:type="dxa"/>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方法科学5分；基本可行4分；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5" w:hRule="atLeast"/>
        </w:trPr>
        <w:tc>
          <w:tcPr>
            <w:tcW w:w="741" w:type="dxa"/>
            <w:vMerge w:val="continue"/>
            <w:noWrap w:val="0"/>
            <w:vAlign w:val="top"/>
          </w:tcPr>
          <w:p>
            <w:pPr>
              <w:rPr>
                <w:rFonts w:hint="eastAsia" w:asciiTheme="minorEastAsia" w:hAnsiTheme="minorEastAsia" w:eastAsiaTheme="minorEastAsia" w:cstheme="minorEastAsia"/>
                <w:sz w:val="21"/>
                <w:szCs w:val="21"/>
              </w:rPr>
            </w:pPr>
          </w:p>
        </w:tc>
        <w:tc>
          <w:tcPr>
            <w:tcW w:w="1059" w:type="dxa"/>
            <w:vMerge w:val="continue"/>
            <w:noWrap w:val="0"/>
            <w:vAlign w:val="top"/>
          </w:tcPr>
          <w:p>
            <w:pPr>
              <w:rPr>
                <w:rFonts w:hint="eastAsia" w:asciiTheme="minorEastAsia" w:hAnsiTheme="minorEastAsia" w:eastAsiaTheme="minorEastAsia" w:cstheme="minorEastAsia"/>
                <w:sz w:val="21"/>
                <w:szCs w:val="21"/>
              </w:rPr>
            </w:pPr>
          </w:p>
        </w:tc>
        <w:tc>
          <w:tcPr>
            <w:tcW w:w="2986" w:type="dxa"/>
            <w:gridSpan w:val="2"/>
            <w:noWrap w:val="0"/>
            <w:vAlign w:val="top"/>
          </w:tcPr>
          <w:p>
            <w:pPr>
              <w:spacing w:line="360" w:lineRule="auto"/>
              <w:ind w:firstLine="42" w:firstLineChars="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6.工程进度计划与措施: </w:t>
            </w:r>
          </w:p>
        </w:tc>
        <w:tc>
          <w:tcPr>
            <w:tcW w:w="4678" w:type="dxa"/>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措施可行10～9分；基本可行8分。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741" w:type="dxa"/>
            <w:vMerge w:val="continue"/>
            <w:noWrap w:val="0"/>
            <w:vAlign w:val="top"/>
          </w:tcPr>
          <w:p>
            <w:pPr>
              <w:rPr>
                <w:rFonts w:hint="eastAsia" w:asciiTheme="minorEastAsia" w:hAnsiTheme="minorEastAsia" w:eastAsiaTheme="minorEastAsia" w:cstheme="minorEastAsia"/>
                <w:sz w:val="21"/>
                <w:szCs w:val="21"/>
              </w:rPr>
            </w:pPr>
          </w:p>
        </w:tc>
        <w:tc>
          <w:tcPr>
            <w:tcW w:w="1059" w:type="dxa"/>
            <w:vMerge w:val="continue"/>
            <w:noWrap w:val="0"/>
            <w:vAlign w:val="top"/>
          </w:tcPr>
          <w:p>
            <w:pPr>
              <w:rPr>
                <w:rFonts w:hint="eastAsia" w:asciiTheme="minorEastAsia" w:hAnsiTheme="minorEastAsia" w:eastAsiaTheme="minorEastAsia" w:cstheme="minorEastAsia"/>
                <w:sz w:val="21"/>
                <w:szCs w:val="21"/>
              </w:rPr>
            </w:pPr>
          </w:p>
        </w:tc>
        <w:tc>
          <w:tcPr>
            <w:tcW w:w="2986" w:type="dxa"/>
            <w:gridSpan w:val="2"/>
            <w:noWrap w:val="0"/>
            <w:vAlign w:val="top"/>
          </w:tcPr>
          <w:p>
            <w:pPr>
              <w:spacing w:line="360" w:lineRule="auto"/>
              <w:ind w:firstLine="42" w:firstLineChars="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7.资源配备计划:</w:t>
            </w:r>
          </w:p>
        </w:tc>
        <w:tc>
          <w:tcPr>
            <w:tcW w:w="4678" w:type="dxa"/>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满足施工需求6～5分；基本满足4分。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741" w:type="dxa"/>
            <w:vMerge w:val="continue"/>
            <w:noWrap w:val="0"/>
            <w:vAlign w:val="top"/>
          </w:tcPr>
          <w:p>
            <w:pPr>
              <w:rPr>
                <w:rFonts w:hint="eastAsia" w:asciiTheme="minorEastAsia" w:hAnsiTheme="minorEastAsia" w:eastAsiaTheme="minorEastAsia" w:cstheme="minorEastAsia"/>
                <w:sz w:val="21"/>
                <w:szCs w:val="21"/>
              </w:rPr>
            </w:pPr>
          </w:p>
        </w:tc>
        <w:tc>
          <w:tcPr>
            <w:tcW w:w="1059" w:type="dxa"/>
            <w:vMerge w:val="continue"/>
            <w:noWrap w:val="0"/>
            <w:vAlign w:val="top"/>
          </w:tcPr>
          <w:p>
            <w:pPr>
              <w:rPr>
                <w:rFonts w:hint="eastAsia" w:asciiTheme="minorEastAsia" w:hAnsiTheme="minorEastAsia" w:eastAsiaTheme="minorEastAsia" w:cstheme="minorEastAsia"/>
                <w:sz w:val="21"/>
                <w:szCs w:val="21"/>
              </w:rPr>
            </w:pPr>
          </w:p>
        </w:tc>
        <w:tc>
          <w:tcPr>
            <w:tcW w:w="2986" w:type="dxa"/>
            <w:gridSpan w:val="2"/>
            <w:noWrap w:val="0"/>
            <w:vAlign w:val="top"/>
          </w:tcPr>
          <w:p>
            <w:pPr>
              <w:spacing w:line="360" w:lineRule="auto"/>
              <w:ind w:firstLine="42" w:firstLineChars="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8.试验、检测仪器设备:</w:t>
            </w:r>
          </w:p>
        </w:tc>
        <w:tc>
          <w:tcPr>
            <w:tcW w:w="4678" w:type="dxa"/>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能满足施工需要6～5分；基本满足4分。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741" w:type="dxa"/>
            <w:vMerge w:val="continue"/>
            <w:noWrap w:val="0"/>
            <w:vAlign w:val="top"/>
          </w:tcPr>
          <w:p>
            <w:pPr>
              <w:rPr>
                <w:rFonts w:hint="eastAsia" w:asciiTheme="minorEastAsia" w:hAnsiTheme="minorEastAsia" w:eastAsiaTheme="minorEastAsia" w:cstheme="minorEastAsia"/>
                <w:sz w:val="21"/>
                <w:szCs w:val="21"/>
              </w:rPr>
            </w:pPr>
          </w:p>
        </w:tc>
        <w:tc>
          <w:tcPr>
            <w:tcW w:w="1059" w:type="dxa"/>
            <w:vMerge w:val="continue"/>
            <w:noWrap w:val="0"/>
            <w:vAlign w:val="top"/>
          </w:tcPr>
          <w:p>
            <w:pPr>
              <w:rPr>
                <w:rFonts w:hint="eastAsia" w:asciiTheme="minorEastAsia" w:hAnsiTheme="minorEastAsia" w:eastAsiaTheme="minorEastAsia" w:cstheme="minorEastAsia"/>
                <w:sz w:val="21"/>
                <w:szCs w:val="21"/>
              </w:rPr>
            </w:pPr>
          </w:p>
        </w:tc>
        <w:tc>
          <w:tcPr>
            <w:tcW w:w="2986" w:type="dxa"/>
            <w:gridSpan w:val="2"/>
            <w:noWrap w:val="0"/>
            <w:vAlign w:val="top"/>
          </w:tcPr>
          <w:p>
            <w:pPr>
              <w:spacing w:line="360" w:lineRule="auto"/>
              <w:ind w:firstLine="42" w:firstLineChars="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9.项目经理：</w:t>
            </w:r>
          </w:p>
        </w:tc>
        <w:tc>
          <w:tcPr>
            <w:tcW w:w="4678" w:type="dxa"/>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8～4分：①获市级以上优秀项目经理奖的得4分,无奖项得2分；②获市级以上文明工地奖的得4分，无奖项得2分。（未提供原件的得最低分）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741" w:type="dxa"/>
            <w:vMerge w:val="continue"/>
            <w:noWrap w:val="0"/>
            <w:vAlign w:val="top"/>
          </w:tcPr>
          <w:p>
            <w:pPr>
              <w:rPr>
                <w:rFonts w:hint="eastAsia" w:asciiTheme="minorEastAsia" w:hAnsiTheme="minorEastAsia" w:eastAsiaTheme="minorEastAsia" w:cstheme="minorEastAsia"/>
                <w:sz w:val="21"/>
                <w:szCs w:val="21"/>
              </w:rPr>
            </w:pPr>
          </w:p>
        </w:tc>
        <w:tc>
          <w:tcPr>
            <w:tcW w:w="1059" w:type="dxa"/>
            <w:vMerge w:val="continue"/>
            <w:noWrap w:val="0"/>
            <w:vAlign w:val="top"/>
          </w:tcPr>
          <w:p>
            <w:pPr>
              <w:rPr>
                <w:rFonts w:hint="eastAsia" w:asciiTheme="minorEastAsia" w:hAnsiTheme="minorEastAsia" w:eastAsiaTheme="minorEastAsia" w:cstheme="minorEastAsia"/>
                <w:sz w:val="21"/>
                <w:szCs w:val="21"/>
              </w:rPr>
            </w:pPr>
          </w:p>
        </w:tc>
        <w:tc>
          <w:tcPr>
            <w:tcW w:w="2986" w:type="dxa"/>
            <w:gridSpan w:val="2"/>
            <w:noWrap w:val="0"/>
            <w:vAlign w:val="top"/>
          </w:tcPr>
          <w:p>
            <w:pPr>
              <w:spacing w:line="360" w:lineRule="auto"/>
              <w:ind w:firstLine="42" w:firstLineChars="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10.其他主要人员: </w:t>
            </w:r>
          </w:p>
        </w:tc>
        <w:tc>
          <w:tcPr>
            <w:tcW w:w="4678" w:type="dxa"/>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五大员证件齐全、与投标文件一致且符合要求的得10分；少一证或不符合要求的扣2分，扣完为止,未提供原件的不得分。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741" w:type="dxa"/>
            <w:vMerge w:val="continue"/>
            <w:noWrap w:val="0"/>
            <w:vAlign w:val="top"/>
          </w:tcPr>
          <w:p>
            <w:pPr>
              <w:rPr>
                <w:rFonts w:hint="eastAsia" w:asciiTheme="minorEastAsia" w:hAnsiTheme="minorEastAsia" w:eastAsiaTheme="minorEastAsia" w:cstheme="minorEastAsia"/>
                <w:sz w:val="21"/>
                <w:szCs w:val="21"/>
              </w:rPr>
            </w:pPr>
          </w:p>
        </w:tc>
        <w:tc>
          <w:tcPr>
            <w:tcW w:w="1059" w:type="dxa"/>
            <w:vMerge w:val="continue"/>
            <w:noWrap w:val="0"/>
            <w:vAlign w:val="top"/>
          </w:tcPr>
          <w:p>
            <w:pPr>
              <w:rPr>
                <w:rFonts w:hint="eastAsia" w:asciiTheme="minorEastAsia" w:hAnsiTheme="minorEastAsia" w:eastAsiaTheme="minorEastAsia" w:cstheme="minorEastAsia"/>
                <w:sz w:val="21"/>
                <w:szCs w:val="21"/>
              </w:rPr>
            </w:pPr>
          </w:p>
        </w:tc>
        <w:tc>
          <w:tcPr>
            <w:tcW w:w="2986" w:type="dxa"/>
            <w:gridSpan w:val="2"/>
            <w:noWrap w:val="0"/>
            <w:vAlign w:val="top"/>
          </w:tcPr>
          <w:p>
            <w:pPr>
              <w:spacing w:line="360" w:lineRule="auto"/>
              <w:ind w:firstLine="42" w:firstLineChars="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11.总平面图：</w:t>
            </w:r>
          </w:p>
        </w:tc>
        <w:tc>
          <w:tcPr>
            <w:tcW w:w="4678" w:type="dxa"/>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布置合理5分；基本合理3分。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741" w:type="dxa"/>
            <w:vMerge w:val="continue"/>
            <w:noWrap w:val="0"/>
            <w:vAlign w:val="top"/>
          </w:tcPr>
          <w:p>
            <w:pPr>
              <w:rPr>
                <w:rFonts w:hint="eastAsia" w:asciiTheme="minorEastAsia" w:hAnsiTheme="minorEastAsia" w:eastAsiaTheme="minorEastAsia" w:cstheme="minorEastAsia"/>
                <w:sz w:val="21"/>
                <w:szCs w:val="21"/>
              </w:rPr>
            </w:pPr>
          </w:p>
        </w:tc>
        <w:tc>
          <w:tcPr>
            <w:tcW w:w="1059" w:type="dxa"/>
            <w:vMerge w:val="continue"/>
            <w:noWrap w:val="0"/>
            <w:vAlign w:val="top"/>
          </w:tcPr>
          <w:p>
            <w:pPr>
              <w:rPr>
                <w:rFonts w:hint="eastAsia" w:asciiTheme="minorEastAsia" w:hAnsiTheme="minorEastAsia" w:eastAsiaTheme="minorEastAsia" w:cstheme="minorEastAsia"/>
                <w:sz w:val="21"/>
                <w:szCs w:val="21"/>
              </w:rPr>
            </w:pPr>
          </w:p>
        </w:tc>
        <w:tc>
          <w:tcPr>
            <w:tcW w:w="2986" w:type="dxa"/>
            <w:gridSpan w:val="2"/>
            <w:noWrap w:val="0"/>
            <w:vAlign w:val="top"/>
          </w:tcPr>
          <w:p>
            <w:pPr>
              <w:spacing w:line="360" w:lineRule="auto"/>
              <w:ind w:firstLine="42" w:firstLineChars="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12.内容完整性和编制水平: </w:t>
            </w:r>
          </w:p>
        </w:tc>
        <w:tc>
          <w:tcPr>
            <w:tcW w:w="4678" w:type="dxa"/>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能符合招标文件要求的得10～8分；基本符合要求的得7～6分。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trPr>
        <w:tc>
          <w:tcPr>
            <w:tcW w:w="9464" w:type="dxa"/>
            <w:gridSpan w:val="5"/>
            <w:noWrap w:val="0"/>
            <w:vAlign w:val="top"/>
          </w:tcPr>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评委可以根据各投标文件编制的内容是否齐全、适用、符合招标文件要求等，在各分项区间进行打分；以上项目若有缺项或不能满足施工要求或与该工程要求不相符，该项为0分。</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技术标（ 施工组织设计和项目管理机构）评审得分：评标委员会由7人以下组成时，去掉一个最高分和一个最低分取平均值；评标委员会由9人及以上组成时，去掉两个最高分和两个最低分取平均值。技术标得分超过80分（含80分）以上为合格，方可进入商务标的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9" w:hRule="atLeast"/>
        </w:trPr>
        <w:tc>
          <w:tcPr>
            <w:tcW w:w="1800" w:type="dxa"/>
            <w:gridSpan w:val="2"/>
            <w:noWrap w:val="0"/>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条款号</w:t>
            </w:r>
          </w:p>
        </w:tc>
        <w:tc>
          <w:tcPr>
            <w:tcW w:w="2970" w:type="dxa"/>
            <w:noWrap w:val="0"/>
            <w:vAlign w:val="top"/>
          </w:tcPr>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量化因素</w:t>
            </w:r>
          </w:p>
        </w:tc>
        <w:tc>
          <w:tcPr>
            <w:tcW w:w="4694" w:type="dxa"/>
            <w:gridSpan w:val="2"/>
            <w:noWrap w:val="0"/>
            <w:vAlign w:val="top"/>
          </w:tcPr>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量化标准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741" w:type="dxa"/>
            <w:vMerge w:val="restart"/>
            <w:noWrap w:val="0"/>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2.2</w:t>
            </w:r>
          </w:p>
        </w:tc>
        <w:tc>
          <w:tcPr>
            <w:tcW w:w="1059" w:type="dxa"/>
            <w:vMerge w:val="restart"/>
            <w:noWrap w:val="0"/>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详细评审标准</w:t>
            </w:r>
          </w:p>
        </w:tc>
        <w:tc>
          <w:tcPr>
            <w:tcW w:w="2970" w:type="dxa"/>
            <w:noWrap w:val="0"/>
            <w:vAlign w:val="center"/>
          </w:tcPr>
          <w:p>
            <w:pPr>
              <w:spacing w:line="360" w:lineRule="auto"/>
              <w:ind w:firstLine="420" w:firstLineChars="20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（一）工程量清单总报价（</w:t>
            </w:r>
            <w:r>
              <w:rPr>
                <w:rFonts w:hint="eastAsia" w:asciiTheme="minorEastAsia" w:hAnsiTheme="minorEastAsia" w:eastAsiaTheme="minorEastAsia" w:cstheme="minorEastAsia"/>
                <w:sz w:val="21"/>
                <w:szCs w:val="21"/>
                <w:lang w:val="en-US" w:eastAsia="zh-CN"/>
              </w:rPr>
              <w:t>8</w:t>
            </w:r>
            <w:r>
              <w:rPr>
                <w:rFonts w:hint="eastAsia" w:asciiTheme="minorEastAsia" w:hAnsiTheme="minorEastAsia" w:eastAsiaTheme="minorEastAsia" w:cstheme="minorEastAsia"/>
                <w:sz w:val="21"/>
                <w:szCs w:val="21"/>
              </w:rPr>
              <w:t>0分）</w:t>
            </w:r>
          </w:p>
        </w:tc>
        <w:tc>
          <w:tcPr>
            <w:tcW w:w="4694" w:type="dxa"/>
            <w:gridSpan w:val="2"/>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1、业主报价和评标基准价的计算方法：</w:t>
            </w:r>
          </w:p>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业主报价=招标控制价×G</w:t>
            </w:r>
          </w:p>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评标基准价＝招标控制价×（1- F）</w:t>
            </w:r>
          </w:p>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G值：92%。</w:t>
            </w:r>
          </w:p>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F值：11%、11.2%、11.4%、11.6%、11.8%、12%。</w:t>
            </w:r>
          </w:p>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F值的抽取：由招标人随机抽取一家投标单位对F值进行随机抽取。</w:t>
            </w:r>
          </w:p>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2、投标报价得分按下列方法计算：</w:t>
            </w:r>
          </w:p>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（1）投标报价等于业主报价或投标报价小于评标基准价时，得10分；</w:t>
            </w:r>
          </w:p>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（2）投标报价等于评标基准价时，得</w:t>
            </w:r>
            <w:r>
              <w:rPr>
                <w:rFonts w:hint="eastAsia" w:asciiTheme="minorEastAsia" w:hAnsiTheme="minorEastAsia" w:eastAsiaTheme="minorEastAsia" w:cstheme="minorEastAsia"/>
                <w:sz w:val="21"/>
                <w:szCs w:val="21"/>
                <w:lang w:val="en-US" w:eastAsia="zh-CN"/>
              </w:rPr>
              <w:t>8</w:t>
            </w:r>
            <w:r>
              <w:rPr>
                <w:rFonts w:hint="eastAsia" w:asciiTheme="minorEastAsia" w:hAnsiTheme="minorEastAsia" w:eastAsiaTheme="minorEastAsia" w:cstheme="minorEastAsia"/>
                <w:sz w:val="21"/>
                <w:szCs w:val="21"/>
              </w:rPr>
              <w:t>0分；</w:t>
            </w:r>
          </w:p>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（3）投标报价在评标基准价与业主报价范围之内的报价得分采用内插法计算相应得分。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26" w:hRule="atLeast"/>
        </w:trPr>
        <w:tc>
          <w:tcPr>
            <w:tcW w:w="741" w:type="dxa"/>
            <w:vMerge w:val="continue"/>
            <w:noWrap w:val="0"/>
            <w:vAlign w:val="top"/>
          </w:tcPr>
          <w:p>
            <w:pPr>
              <w:rPr>
                <w:rFonts w:hint="eastAsia" w:asciiTheme="minorEastAsia" w:hAnsiTheme="minorEastAsia" w:eastAsiaTheme="minorEastAsia" w:cstheme="minorEastAsia"/>
                <w:sz w:val="21"/>
                <w:szCs w:val="21"/>
              </w:rPr>
            </w:pPr>
          </w:p>
        </w:tc>
        <w:tc>
          <w:tcPr>
            <w:tcW w:w="1059" w:type="dxa"/>
            <w:vMerge w:val="continue"/>
            <w:noWrap w:val="0"/>
            <w:vAlign w:val="top"/>
          </w:tcPr>
          <w:p>
            <w:pPr>
              <w:rPr>
                <w:rFonts w:hint="eastAsia" w:asciiTheme="minorEastAsia" w:hAnsiTheme="minorEastAsia" w:eastAsiaTheme="minorEastAsia" w:cstheme="minorEastAsia"/>
                <w:sz w:val="21"/>
                <w:szCs w:val="21"/>
              </w:rPr>
            </w:pPr>
          </w:p>
        </w:tc>
        <w:tc>
          <w:tcPr>
            <w:tcW w:w="2970" w:type="dxa"/>
            <w:noWrap w:val="0"/>
            <w:vAlign w:val="center"/>
          </w:tcPr>
          <w:p>
            <w:pPr>
              <w:spacing w:line="360" w:lineRule="auto"/>
              <w:ind w:firstLine="420" w:firstLineChars="20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（二）分部分项工程量清单项目综合单价</w:t>
            </w:r>
          </w:p>
          <w:p>
            <w:pPr>
              <w:spacing w:line="360" w:lineRule="auto"/>
              <w:ind w:firstLine="420" w:firstLineChars="20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分）</w:t>
            </w:r>
          </w:p>
        </w:tc>
        <w:tc>
          <w:tcPr>
            <w:tcW w:w="4694" w:type="dxa"/>
            <w:gridSpan w:val="2"/>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依据次低报价的有效投标人《分部分项工程量清单与计价表》中的合价，由高到低的顺序抽取10～20项综合单价。清单项目综合单价以各有效投标报价的清单项目综合单价的算术平均值作为基准价，在基准价</w:t>
            </w:r>
            <w:r>
              <w:rPr>
                <w:rStyle w:val="28"/>
                <w:rFonts w:hint="eastAsia" w:asciiTheme="minorEastAsia" w:hAnsiTheme="minorEastAsia" w:eastAsiaTheme="minorEastAsia" w:cstheme="minorEastAsia"/>
                <w:sz w:val="21"/>
                <w:szCs w:val="21"/>
              </w:rPr>
              <w:t> </w:t>
            </w:r>
            <w:r>
              <w:rPr>
                <w:rFonts w:hint="eastAsia" w:asciiTheme="minorEastAsia" w:hAnsiTheme="minorEastAsia" w:eastAsiaTheme="minorEastAsia" w:cstheme="minorEastAsia"/>
                <w:sz w:val="21"/>
                <w:szCs w:val="21"/>
              </w:rPr>
              <w:t>+5%</w:t>
            </w:r>
            <w:r>
              <w:rPr>
                <w:rStyle w:val="28"/>
                <w:rFonts w:hint="eastAsia" w:asciiTheme="minorEastAsia" w:hAnsiTheme="minorEastAsia" w:eastAsiaTheme="minorEastAsia" w:cstheme="minorEastAsia"/>
                <w:sz w:val="21"/>
                <w:szCs w:val="21"/>
              </w:rPr>
              <w:t> </w:t>
            </w:r>
            <w:r>
              <w:rPr>
                <w:rFonts w:hint="eastAsia" w:asciiTheme="minorEastAsia" w:hAnsiTheme="minorEastAsia" w:eastAsiaTheme="minorEastAsia" w:cstheme="minorEastAsia"/>
                <w:sz w:val="21"/>
                <w:szCs w:val="21"/>
              </w:rPr>
              <w:t>～－</w:t>
            </w:r>
            <w:r>
              <w:rPr>
                <w:rStyle w:val="28"/>
                <w:rFonts w:hint="eastAsia" w:asciiTheme="minorEastAsia" w:hAnsiTheme="minorEastAsia" w:eastAsiaTheme="minorEastAsia" w:cstheme="minorEastAsia"/>
                <w:sz w:val="21"/>
                <w:szCs w:val="21"/>
              </w:rPr>
              <w:t> </w:t>
            </w:r>
            <w:r>
              <w:rPr>
                <w:rFonts w:hint="eastAsia" w:asciiTheme="minorEastAsia" w:hAnsiTheme="minorEastAsia" w:eastAsiaTheme="minorEastAsia" w:cstheme="minorEastAsia"/>
                <w:sz w:val="21"/>
                <w:szCs w:val="21"/>
              </w:rPr>
              <w:t>12%</w:t>
            </w:r>
            <w:r>
              <w:rPr>
                <w:rStyle w:val="28"/>
                <w:rFonts w:hint="eastAsia" w:asciiTheme="minorEastAsia" w:hAnsiTheme="minorEastAsia" w:eastAsiaTheme="minorEastAsia" w:cstheme="minorEastAsia"/>
                <w:sz w:val="21"/>
                <w:szCs w:val="21"/>
              </w:rPr>
              <w:t> </w:t>
            </w:r>
            <w:r>
              <w:rPr>
                <w:rFonts w:hint="eastAsia" w:asciiTheme="minorEastAsia" w:hAnsiTheme="minorEastAsia" w:eastAsiaTheme="minorEastAsia" w:cstheme="minorEastAsia"/>
                <w:sz w:val="21"/>
                <w:szCs w:val="21"/>
              </w:rPr>
              <w:t>范围内的综合单价，每项得平均分，共计</w:t>
            </w:r>
            <w:r>
              <w:rPr>
                <w:rStyle w:val="28"/>
                <w:rFonts w:hint="eastAsia" w:asciiTheme="minorEastAsia" w:hAnsiTheme="minorEastAsia" w:eastAsiaTheme="minorEastAsia" w:cstheme="minorEastAsia"/>
                <w:sz w:val="21"/>
                <w:szCs w:val="21"/>
                <w:lang w:val="en-US" w:eastAsia="zh-CN"/>
              </w:rPr>
              <w:t>10</w:t>
            </w:r>
            <w:r>
              <w:rPr>
                <w:rFonts w:hint="eastAsia" w:asciiTheme="minorEastAsia" w:hAnsiTheme="minorEastAsia" w:eastAsiaTheme="minorEastAsia" w:cstheme="minorEastAsia"/>
                <w:sz w:val="21"/>
                <w:szCs w:val="21"/>
              </w:rPr>
              <w:t>分。超出该范围的不得分。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5" w:hRule="atLeast"/>
        </w:trPr>
        <w:tc>
          <w:tcPr>
            <w:tcW w:w="741" w:type="dxa"/>
            <w:noWrap w:val="0"/>
            <w:vAlign w:val="top"/>
          </w:tcPr>
          <w:p>
            <w:pPr>
              <w:spacing w:line="360" w:lineRule="auto"/>
              <w:ind w:firstLine="420" w:firstLineChars="200"/>
              <w:rPr>
                <w:rFonts w:hint="eastAsia" w:asciiTheme="minorEastAsia" w:hAnsiTheme="minorEastAsia" w:eastAsiaTheme="minorEastAsia" w:cstheme="minorEastAsia"/>
                <w:sz w:val="21"/>
                <w:szCs w:val="21"/>
              </w:rPr>
            </w:pPr>
          </w:p>
        </w:tc>
        <w:tc>
          <w:tcPr>
            <w:tcW w:w="1059" w:type="dxa"/>
            <w:noWrap w:val="0"/>
            <w:vAlign w:val="top"/>
          </w:tcPr>
          <w:p>
            <w:pPr>
              <w:spacing w:line="360" w:lineRule="auto"/>
              <w:ind w:firstLine="420" w:firstLineChars="200"/>
              <w:rPr>
                <w:rFonts w:hint="eastAsia" w:asciiTheme="minorEastAsia" w:hAnsiTheme="minorEastAsia" w:eastAsiaTheme="minorEastAsia" w:cstheme="minorEastAsia"/>
                <w:sz w:val="21"/>
                <w:szCs w:val="21"/>
              </w:rPr>
            </w:pPr>
          </w:p>
        </w:tc>
        <w:tc>
          <w:tcPr>
            <w:tcW w:w="2970" w:type="dxa"/>
            <w:noWrap w:val="0"/>
            <w:vAlign w:val="top"/>
          </w:tcPr>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（三）主要材料单价</w:t>
            </w:r>
          </w:p>
          <w:p>
            <w:pPr>
              <w:spacing w:line="360" w:lineRule="auto"/>
              <w:ind w:firstLine="1155" w:firstLineChars="5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6</w:t>
            </w:r>
            <w:r>
              <w:rPr>
                <w:rFonts w:hint="eastAsia" w:asciiTheme="minorEastAsia" w:hAnsiTheme="minorEastAsia" w:eastAsiaTheme="minorEastAsia" w:cstheme="minorEastAsia"/>
                <w:sz w:val="21"/>
                <w:szCs w:val="21"/>
              </w:rPr>
              <w:t>分）</w:t>
            </w:r>
          </w:p>
        </w:tc>
        <w:tc>
          <w:tcPr>
            <w:tcW w:w="4694" w:type="dxa"/>
            <w:gridSpan w:val="2"/>
            <w:noWrap w:val="0"/>
            <w:vAlign w:val="top"/>
          </w:tcPr>
          <w:p>
            <w:pPr>
              <w:spacing w:line="360" w:lineRule="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主要材料项目单价</w:t>
            </w:r>
            <w:r>
              <w:rPr>
                <w:rFonts w:hint="eastAsia" w:asciiTheme="minorEastAsia" w:hAnsiTheme="minorEastAsia" w:eastAsiaTheme="minorEastAsia" w:cstheme="minorEastAsia"/>
                <w:sz w:val="21"/>
                <w:szCs w:val="21"/>
                <w:lang w:eastAsia="zh-CN"/>
              </w:rPr>
              <w:t>依据招标文件抽取</w:t>
            </w:r>
            <w:r>
              <w:rPr>
                <w:rFonts w:hint="eastAsia" w:asciiTheme="minorEastAsia" w:hAnsiTheme="minorEastAsia" w:eastAsiaTheme="minorEastAsia" w:cstheme="minorEastAsia"/>
                <w:sz w:val="21"/>
                <w:szCs w:val="21"/>
                <w:lang w:val="en-US" w:eastAsia="zh-CN"/>
              </w:rPr>
              <w:t>5</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10项材料，材料的单价以各有效投标报价材料单价的算术平均值作为基准价。在基准价+</w:t>
            </w:r>
            <w:r>
              <w:rPr>
                <w:rFonts w:hint="eastAsia" w:asciiTheme="minorEastAsia" w:hAnsiTheme="minorEastAsia" w:eastAsiaTheme="minorEastAsia" w:cstheme="minorEastAsia"/>
                <w:sz w:val="21"/>
                <w:szCs w:val="21"/>
              </w:rPr>
              <w:t>5%–</w:t>
            </w:r>
            <w:r>
              <w:rPr>
                <w:rFonts w:hint="eastAsia" w:asciiTheme="minorEastAsia" w:hAnsiTheme="minorEastAsia" w:eastAsiaTheme="minorEastAsia" w:cstheme="minorEastAsia"/>
                <w:sz w:val="21"/>
                <w:szCs w:val="21"/>
                <w:lang w:val="en-US" w:eastAsia="zh-CN"/>
              </w:rPr>
              <w:t>12</w:t>
            </w:r>
            <w:r>
              <w:rPr>
                <w:rFonts w:hint="eastAsia" w:asciiTheme="minorEastAsia" w:hAnsiTheme="minorEastAsia" w:eastAsiaTheme="minorEastAsia" w:cstheme="minorEastAsia"/>
                <w:sz w:val="21"/>
                <w:szCs w:val="21"/>
              </w:rPr>
              <w:t>%范围内</w:t>
            </w:r>
            <w:r>
              <w:rPr>
                <w:rFonts w:hint="eastAsia" w:asciiTheme="minorEastAsia" w:hAnsiTheme="minorEastAsia" w:eastAsiaTheme="minorEastAsia" w:cstheme="minorEastAsia"/>
                <w:sz w:val="21"/>
                <w:szCs w:val="21"/>
                <w:lang w:eastAsia="zh-CN"/>
              </w:rPr>
              <w:t>的单价，</w:t>
            </w:r>
            <w:r>
              <w:rPr>
                <w:rFonts w:hint="eastAsia" w:asciiTheme="minorEastAsia" w:hAnsiTheme="minorEastAsia" w:eastAsiaTheme="minorEastAsia" w:cstheme="minorEastAsia"/>
                <w:sz w:val="21"/>
                <w:szCs w:val="21"/>
                <w:lang w:val="en-US" w:eastAsia="zh-CN"/>
              </w:rPr>
              <w:t xml:space="preserve"> 每项材料得平均分，共计6分</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eastAsia="zh-CN"/>
              </w:rPr>
              <w:t>超出该范围的不得分。</w:t>
            </w:r>
            <w:bookmarkStart w:id="1464" w:name="_GoBack"/>
            <w:bookmarkEnd w:id="146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6" w:hRule="atLeast"/>
        </w:trPr>
        <w:tc>
          <w:tcPr>
            <w:tcW w:w="741" w:type="dxa"/>
            <w:noWrap w:val="0"/>
            <w:vAlign w:val="top"/>
          </w:tcPr>
          <w:p>
            <w:pPr>
              <w:spacing w:line="360" w:lineRule="auto"/>
              <w:ind w:firstLine="420" w:firstLineChars="200"/>
              <w:rPr>
                <w:rFonts w:hint="eastAsia" w:asciiTheme="minorEastAsia" w:hAnsiTheme="minorEastAsia" w:eastAsiaTheme="minorEastAsia" w:cstheme="minorEastAsia"/>
                <w:sz w:val="21"/>
                <w:szCs w:val="21"/>
              </w:rPr>
            </w:pPr>
          </w:p>
        </w:tc>
        <w:tc>
          <w:tcPr>
            <w:tcW w:w="1059" w:type="dxa"/>
            <w:noWrap w:val="0"/>
            <w:vAlign w:val="top"/>
          </w:tcPr>
          <w:p>
            <w:pPr>
              <w:spacing w:line="360" w:lineRule="auto"/>
              <w:ind w:firstLine="420" w:firstLineChars="200"/>
              <w:rPr>
                <w:rFonts w:hint="eastAsia" w:asciiTheme="minorEastAsia" w:hAnsiTheme="minorEastAsia" w:eastAsiaTheme="minorEastAsia" w:cstheme="minorEastAsia"/>
                <w:sz w:val="21"/>
                <w:szCs w:val="21"/>
              </w:rPr>
            </w:pPr>
          </w:p>
        </w:tc>
        <w:tc>
          <w:tcPr>
            <w:tcW w:w="2970" w:type="dxa"/>
            <w:noWrap w:val="0"/>
            <w:vAlign w:val="top"/>
          </w:tcPr>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（四）</w:t>
            </w:r>
            <w:r>
              <w:rPr>
                <w:rFonts w:hint="eastAsia" w:asciiTheme="minorEastAsia" w:hAnsiTheme="minorEastAsia" w:eastAsiaTheme="minorEastAsia" w:cstheme="minorEastAsia"/>
                <w:sz w:val="21"/>
                <w:szCs w:val="21"/>
              </w:rPr>
              <w:t xml:space="preserve">措施费报价 </w:t>
            </w:r>
          </w:p>
          <w:p>
            <w:pPr>
              <w:spacing w:line="360" w:lineRule="auto"/>
              <w:ind w:firstLine="1155" w:firstLineChars="5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（4分）</w:t>
            </w:r>
          </w:p>
        </w:tc>
        <w:tc>
          <w:tcPr>
            <w:tcW w:w="4694" w:type="dxa"/>
            <w:gridSpan w:val="2"/>
            <w:noWrap w:val="0"/>
            <w:vAlign w:val="top"/>
          </w:tcPr>
          <w:p>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措施费最低报价得4分，最高报价得1分，中间报价得分采用内插法计算相应得分。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trPr>
        <w:tc>
          <w:tcPr>
            <w:tcW w:w="9464" w:type="dxa"/>
            <w:gridSpan w:val="5"/>
            <w:noWrap w:val="0"/>
            <w:vAlign w:val="top"/>
          </w:tcPr>
          <w:p>
            <w:pPr>
              <w:spacing w:line="360" w:lineRule="auto"/>
              <w:ind w:left="284"/>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（五）投标人的最终得分=（一）+（二）+（三）+（</w:t>
            </w:r>
            <w:r>
              <w:rPr>
                <w:rFonts w:hint="eastAsia" w:asciiTheme="minorEastAsia" w:hAnsiTheme="minorEastAsia" w:eastAsiaTheme="minorEastAsia" w:cstheme="minorEastAsia"/>
                <w:sz w:val="21"/>
                <w:szCs w:val="21"/>
                <w:lang w:eastAsia="zh-CN"/>
              </w:rPr>
              <w:t>四</w:t>
            </w:r>
            <w:r>
              <w:rPr>
                <w:rFonts w:hint="eastAsia" w:asciiTheme="minorEastAsia" w:hAnsiTheme="minorEastAsia" w:eastAsiaTheme="minorEastAsia" w:cstheme="minorEastAsia"/>
                <w:sz w:val="21"/>
                <w:szCs w:val="21"/>
              </w:rPr>
              <w:t>）：</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本评标办法在计算数据过程中，均保留两位小数，按四舍五入计算。</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评标委员会按最终得分从高到低的顺序推荐1～3名中标候选人，并形成评标报告。当投标人的报价最终得分相同时，技术标得分高者优先；当投标人的报价最终得分相同，技术标得分也相同时，资质等级高者优先；当投标人的报价最终得分相同，技术标得分也相同，资质等级也相同时，选择技术标中前三项（施工方案与技术措施、质量管理体系与措施、安全管理体系与措施）得分高者优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44" w:hRule="atLeast"/>
        </w:trPr>
        <w:tc>
          <w:tcPr>
            <w:tcW w:w="9464" w:type="dxa"/>
            <w:gridSpan w:val="5"/>
            <w:noWrap w:val="0"/>
            <w:vAlign w:val="top"/>
          </w:tcPr>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（六）有下列情况时，其投标报价为无效投标报价，不再进行商务标的评审。</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1.当投标报价高于业主报价时；</w:t>
            </w:r>
          </w:p>
          <w:p>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2.安全文明施工措施费及规费、税金未按规定计取的。</w:t>
            </w:r>
          </w:p>
        </w:tc>
      </w:tr>
    </w:tbl>
    <w:p>
      <w:pPr>
        <w:pStyle w:val="8"/>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bookmarkStart w:id="466" w:name="_Toc144974556"/>
      <w:bookmarkStart w:id="467" w:name="_Toc246996232"/>
      <w:bookmarkStart w:id="468" w:name="_Toc152042366"/>
      <w:bookmarkStart w:id="469" w:name="_Toc402424985"/>
      <w:bookmarkStart w:id="470" w:name="_Toc152045589"/>
      <w:bookmarkStart w:id="471" w:name="_Toc246996975"/>
      <w:bookmarkStart w:id="472" w:name="_Toc29306"/>
      <w:bookmarkStart w:id="473" w:name="_Toc179632607"/>
      <w:bookmarkStart w:id="474" w:name="_Toc247085747"/>
      <w:r>
        <w:rPr>
          <w:rFonts w:hint="eastAsia" w:ascii="宋体" w:hAnsi="宋体" w:eastAsia="宋体" w:cs="宋体"/>
        </w:rPr>
        <w:t>1. 评标方法</w:t>
      </w:r>
      <w:bookmarkEnd w:id="466"/>
      <w:bookmarkEnd w:id="467"/>
      <w:bookmarkEnd w:id="468"/>
      <w:bookmarkEnd w:id="469"/>
      <w:bookmarkEnd w:id="470"/>
      <w:bookmarkEnd w:id="471"/>
      <w:bookmarkEnd w:id="472"/>
      <w:bookmarkEnd w:id="473"/>
      <w:bookmarkEnd w:id="474"/>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szCs w:val="21"/>
        </w:rPr>
      </w:pPr>
      <w:bookmarkStart w:id="475" w:name="_Toc144974557"/>
      <w:bookmarkStart w:id="476" w:name="_Toc246996233"/>
      <w:bookmarkStart w:id="477" w:name="_Toc246996976"/>
      <w:bookmarkStart w:id="478" w:name="_Toc152045590"/>
      <w:bookmarkStart w:id="479" w:name="_Toc247085748"/>
      <w:bookmarkStart w:id="480" w:name="_Toc179632608"/>
      <w:bookmarkStart w:id="481" w:name="_Toc152042367"/>
      <w:r>
        <w:rPr>
          <w:rFonts w:hint="eastAsia" w:ascii="宋体" w:hAnsi="宋体" w:cs="宋体"/>
          <w:szCs w:val="21"/>
        </w:rPr>
        <w:t>评标委员会对满足招标文件实质要求的投标文件，根据本章第2.2 款规定的量化因素及量化标准进行价格折算，按照经评审的最终得分由高到低的顺序推荐中标候选人，或根据招标人授权直接确定中标人，但投标报价低于其成本的除外。</w:t>
      </w:r>
    </w:p>
    <w:p>
      <w:pPr>
        <w:pStyle w:val="8"/>
        <w:pageBreakBefore w:val="0"/>
        <w:widowControl w:val="0"/>
        <w:numPr>
          <w:ilvl w:val="0"/>
          <w:numId w:val="1"/>
        </w:numPr>
        <w:kinsoku/>
        <w:wordWrap/>
        <w:overflowPunct/>
        <w:topLinePunct w:val="0"/>
        <w:autoSpaceDE/>
        <w:autoSpaceDN/>
        <w:bidi w:val="0"/>
        <w:adjustRightInd/>
        <w:snapToGrid/>
        <w:spacing w:line="400" w:lineRule="exact"/>
        <w:textAlignment w:val="auto"/>
        <w:rPr>
          <w:rFonts w:hint="eastAsia" w:ascii="宋体" w:hAnsi="宋体" w:eastAsia="宋体" w:cs="宋体"/>
        </w:rPr>
      </w:pPr>
      <w:bookmarkStart w:id="482" w:name="_Toc8397"/>
      <w:bookmarkStart w:id="483" w:name="_Toc402424986"/>
      <w:r>
        <w:rPr>
          <w:rFonts w:hint="eastAsia" w:ascii="宋体" w:hAnsi="宋体" w:eastAsia="宋体" w:cs="宋体"/>
        </w:rPr>
        <w:t>评审标准</w:t>
      </w:r>
      <w:bookmarkEnd w:id="475"/>
      <w:bookmarkEnd w:id="476"/>
      <w:bookmarkEnd w:id="477"/>
      <w:bookmarkEnd w:id="478"/>
      <w:bookmarkEnd w:id="479"/>
      <w:bookmarkEnd w:id="480"/>
      <w:bookmarkEnd w:id="481"/>
      <w:bookmarkEnd w:id="482"/>
      <w:bookmarkEnd w:id="483"/>
      <w:bookmarkStart w:id="484" w:name="_Toc246996977"/>
      <w:bookmarkStart w:id="485" w:name="_Toc246996234"/>
      <w:bookmarkStart w:id="486" w:name="_Toc144974558"/>
      <w:bookmarkStart w:id="487" w:name="_Toc152042368"/>
      <w:bookmarkStart w:id="488" w:name="_Toc247085749"/>
      <w:bookmarkStart w:id="489" w:name="_Toc179632609"/>
      <w:bookmarkStart w:id="490" w:name="_Toc152045591"/>
    </w:p>
    <w:p>
      <w:pPr>
        <w:pStyle w:val="8"/>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cs="宋体"/>
          <w:b/>
          <w:sz w:val="28"/>
          <w:szCs w:val="28"/>
        </w:rPr>
      </w:pPr>
      <w:bookmarkStart w:id="491" w:name="_Toc17304"/>
      <w:r>
        <w:rPr>
          <w:rFonts w:hint="eastAsia" w:ascii="宋体" w:hAnsi="宋体" w:cs="宋体"/>
          <w:b/>
          <w:sz w:val="28"/>
          <w:szCs w:val="28"/>
        </w:rPr>
        <w:t>2.1 初步评审标准</w:t>
      </w:r>
      <w:bookmarkEnd w:id="484"/>
      <w:bookmarkEnd w:id="485"/>
      <w:bookmarkEnd w:id="486"/>
      <w:bookmarkEnd w:id="487"/>
      <w:bookmarkEnd w:id="488"/>
      <w:bookmarkEnd w:id="489"/>
      <w:bookmarkEnd w:id="490"/>
      <w:bookmarkEnd w:id="491"/>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szCs w:val="21"/>
        </w:rPr>
      </w:pPr>
      <w:bookmarkStart w:id="492" w:name="_Toc247085750"/>
      <w:bookmarkStart w:id="493" w:name="_Toc246996235"/>
      <w:bookmarkStart w:id="494" w:name="_Toc152045592"/>
      <w:bookmarkStart w:id="495" w:name="_Toc152042369"/>
      <w:bookmarkStart w:id="496" w:name="_Toc179632610"/>
      <w:bookmarkStart w:id="497" w:name="_Toc144974559"/>
      <w:bookmarkStart w:id="498" w:name="_Toc246996978"/>
      <w:r>
        <w:rPr>
          <w:rFonts w:hint="eastAsia" w:ascii="宋体" w:hAnsi="宋体" w:cs="宋体"/>
          <w:szCs w:val="21"/>
        </w:rPr>
        <w:t>2.1.1 形式评审标准：见评标办法前附表。</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szCs w:val="21"/>
        </w:rPr>
      </w:pPr>
      <w:r>
        <w:rPr>
          <w:rFonts w:hint="eastAsia" w:ascii="宋体" w:hAnsi="宋体" w:cs="宋体"/>
          <w:szCs w:val="21"/>
        </w:rPr>
        <w:t>2.1.2 资格评审标准：见评标办法前附表（适用于未进行资格预审的）。</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szCs w:val="21"/>
        </w:rPr>
      </w:pPr>
      <w:r>
        <w:rPr>
          <w:rFonts w:hint="eastAsia" w:ascii="宋体" w:hAnsi="宋体" w:cs="宋体"/>
          <w:szCs w:val="21"/>
        </w:rPr>
        <w:t>2.1.3 响应性评审标准：见评标办法前附表。</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szCs w:val="21"/>
        </w:rPr>
      </w:pPr>
      <w:r>
        <w:rPr>
          <w:rFonts w:hint="eastAsia" w:ascii="宋体" w:hAnsi="宋体" w:cs="宋体"/>
          <w:szCs w:val="21"/>
        </w:rPr>
        <w:t>2.1.4 施工组织设计和项目管理机构评审标准：见评标办法前附表。</w:t>
      </w:r>
    </w:p>
    <w:p>
      <w:pPr>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b/>
          <w:sz w:val="28"/>
          <w:szCs w:val="28"/>
        </w:rPr>
      </w:pPr>
      <w:r>
        <w:rPr>
          <w:rFonts w:hint="eastAsia" w:ascii="宋体" w:hAnsi="宋体" w:cs="宋体"/>
          <w:b/>
          <w:sz w:val="28"/>
          <w:szCs w:val="28"/>
        </w:rPr>
        <w:t>2.2 详细评审标准</w:t>
      </w:r>
      <w:bookmarkEnd w:id="492"/>
      <w:bookmarkEnd w:id="493"/>
      <w:bookmarkEnd w:id="494"/>
      <w:bookmarkEnd w:id="495"/>
      <w:bookmarkEnd w:id="496"/>
      <w:bookmarkEnd w:id="497"/>
      <w:bookmarkEnd w:id="498"/>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rPr>
      </w:pPr>
      <w:r>
        <w:rPr>
          <w:rFonts w:hint="eastAsia" w:ascii="宋体" w:hAnsi="宋体" w:cs="宋体"/>
        </w:rPr>
        <w:t>详细评审标准：见评标办法前附表。</w:t>
      </w:r>
    </w:p>
    <w:p>
      <w:pPr>
        <w:pStyle w:val="8"/>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bookmarkStart w:id="499" w:name="_Toc15707"/>
      <w:bookmarkStart w:id="500" w:name="_Toc152042370"/>
      <w:bookmarkStart w:id="501" w:name="_Toc402424987"/>
      <w:bookmarkStart w:id="502" w:name="_Toc179632611"/>
      <w:bookmarkStart w:id="503" w:name="_Toc152045593"/>
      <w:bookmarkStart w:id="504" w:name="_Toc246996979"/>
      <w:bookmarkStart w:id="505" w:name="_Toc246996236"/>
      <w:bookmarkStart w:id="506" w:name="_Toc247085751"/>
      <w:bookmarkStart w:id="507" w:name="_Toc144974560"/>
      <w:r>
        <w:rPr>
          <w:rFonts w:hint="eastAsia" w:ascii="宋体" w:hAnsi="宋体" w:eastAsia="宋体" w:cs="宋体"/>
        </w:rPr>
        <w:t>3. 评标程序</w:t>
      </w:r>
      <w:bookmarkEnd w:id="499"/>
      <w:bookmarkEnd w:id="500"/>
      <w:bookmarkEnd w:id="501"/>
      <w:bookmarkEnd w:id="502"/>
      <w:bookmarkEnd w:id="503"/>
      <w:bookmarkEnd w:id="504"/>
      <w:bookmarkEnd w:id="505"/>
      <w:bookmarkEnd w:id="506"/>
      <w:bookmarkEnd w:id="507"/>
    </w:p>
    <w:p>
      <w:pPr>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b/>
          <w:sz w:val="28"/>
          <w:szCs w:val="28"/>
        </w:rPr>
      </w:pPr>
      <w:bookmarkStart w:id="508" w:name="_Toc246996980"/>
      <w:bookmarkStart w:id="509" w:name="_Toc179632612"/>
      <w:bookmarkStart w:id="510" w:name="_Toc247085752"/>
      <w:bookmarkStart w:id="511" w:name="_Toc246996237"/>
      <w:bookmarkStart w:id="512" w:name="_Toc144974561"/>
      <w:bookmarkStart w:id="513" w:name="_Toc152045594"/>
      <w:bookmarkStart w:id="514" w:name="_Toc152042371"/>
      <w:r>
        <w:rPr>
          <w:rFonts w:hint="eastAsia" w:ascii="宋体" w:hAnsi="宋体" w:cs="宋体"/>
          <w:b/>
          <w:sz w:val="28"/>
          <w:szCs w:val="28"/>
        </w:rPr>
        <w:t>3.1 初步评审</w:t>
      </w:r>
      <w:bookmarkEnd w:id="508"/>
      <w:bookmarkEnd w:id="509"/>
      <w:bookmarkEnd w:id="510"/>
      <w:bookmarkEnd w:id="511"/>
      <w:bookmarkEnd w:id="512"/>
      <w:bookmarkEnd w:id="513"/>
      <w:bookmarkEnd w:id="514"/>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szCs w:val="21"/>
        </w:rPr>
      </w:pPr>
      <w:bookmarkStart w:id="515" w:name="_Toc152045595"/>
      <w:bookmarkStart w:id="516" w:name="_Toc179632613"/>
      <w:bookmarkStart w:id="517" w:name="_Toc247085753"/>
      <w:bookmarkStart w:id="518" w:name="_Toc246996238"/>
      <w:bookmarkStart w:id="519" w:name="_Toc144974562"/>
      <w:bookmarkStart w:id="520" w:name="_Toc246996981"/>
      <w:bookmarkStart w:id="521" w:name="_Toc152042372"/>
      <w:r>
        <w:rPr>
          <w:rFonts w:hint="eastAsia" w:ascii="宋体" w:hAnsi="宋体" w:cs="宋体"/>
          <w:szCs w:val="21"/>
        </w:rPr>
        <w:t>3.1.1评标委员会可以要求投标人提交第二章“投标人须知”正文第3.5.1 项至第3.5.4项规定的有关证明和证件的原件，以便核验。评标委员会依据本章第2.1 款规定的标准对投标文件进行初步评审。有一项不符合评审标准的，作废标处理。（注：资质证书提供原件或复印件加盖公章，可通过“全国建筑市场监管与诚信信息发布平台”、“河南省建筑市场监管信息系统暨一体化工作平台”以及资质证书二维码标识查阅企业相关信息。）</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szCs w:val="21"/>
        </w:rPr>
      </w:pPr>
      <w:r>
        <w:rPr>
          <w:rFonts w:hint="eastAsia" w:ascii="宋体" w:hAnsi="宋体" w:cs="宋体"/>
          <w:szCs w:val="21"/>
        </w:rPr>
        <w:t>3.1.2 投标人有以下情形之一的，其投标作废标处理：</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szCs w:val="21"/>
        </w:rPr>
      </w:pPr>
      <w:r>
        <w:rPr>
          <w:rFonts w:hint="eastAsia" w:ascii="宋体" w:hAnsi="宋体" w:cs="宋体"/>
          <w:szCs w:val="21"/>
        </w:rPr>
        <w:t>(l）第二章“投标人须知” 第1.4.2 项、第1.4.3 项规定的任何一种情形的；</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szCs w:val="21"/>
        </w:rPr>
      </w:pPr>
      <w:r>
        <w:rPr>
          <w:rFonts w:hint="eastAsia" w:ascii="宋体" w:hAnsi="宋体" w:cs="宋体"/>
          <w:szCs w:val="21"/>
        </w:rPr>
        <w:t>(2）串通投标或弄虚作假或有其他违法行为的；</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szCs w:val="21"/>
        </w:rPr>
      </w:pPr>
      <w:r>
        <w:rPr>
          <w:rFonts w:hint="eastAsia" w:ascii="宋体" w:hAnsi="宋体" w:cs="宋体"/>
          <w:szCs w:val="21"/>
        </w:rPr>
        <w:t>(3）不按评标委员会要求澄清、说明或补正的。</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szCs w:val="21"/>
        </w:rPr>
      </w:pPr>
      <w:r>
        <w:rPr>
          <w:rFonts w:hint="eastAsia" w:ascii="宋体" w:hAnsi="宋体" w:cs="宋体"/>
          <w:szCs w:val="21"/>
        </w:rPr>
        <w:t>3.1.3 投标报价有算术错误的，评标委员会按以下原则对投标报价进行修正，修正的价格经投标人书面确认后具有约束力。投标人不接受修正价格的，其投标作废标处理。</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szCs w:val="21"/>
        </w:rPr>
      </w:pPr>
      <w:r>
        <w:rPr>
          <w:rFonts w:hint="eastAsia" w:ascii="宋体" w:hAnsi="宋体" w:cs="宋体"/>
          <w:szCs w:val="21"/>
        </w:rPr>
        <w:t>(1）投标文件中的大写金额与小写金额不一致的，以大写金额为准；</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szCs w:val="21"/>
        </w:rPr>
      </w:pPr>
      <w:r>
        <w:rPr>
          <w:rFonts w:hint="eastAsia" w:ascii="宋体" w:hAnsi="宋体" w:cs="宋体"/>
          <w:szCs w:val="21"/>
        </w:rPr>
        <w:t>(2）总价金额与依据单价计算出的结果不一致的，以单价金额为准修正总价，但单价金额小数点有明显错误的除外。</w:t>
      </w:r>
    </w:p>
    <w:p>
      <w:pPr>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b/>
          <w:sz w:val="28"/>
          <w:szCs w:val="28"/>
        </w:rPr>
      </w:pPr>
      <w:r>
        <w:rPr>
          <w:rFonts w:hint="eastAsia" w:ascii="宋体" w:hAnsi="宋体" w:cs="宋体"/>
          <w:b/>
          <w:sz w:val="28"/>
          <w:szCs w:val="28"/>
        </w:rPr>
        <w:t>3.2详细评审</w:t>
      </w:r>
      <w:bookmarkEnd w:id="515"/>
      <w:bookmarkEnd w:id="516"/>
      <w:bookmarkEnd w:id="517"/>
      <w:bookmarkEnd w:id="518"/>
      <w:bookmarkEnd w:id="519"/>
      <w:bookmarkEnd w:id="520"/>
      <w:bookmarkEnd w:id="521"/>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szCs w:val="21"/>
        </w:rPr>
      </w:pPr>
      <w:bookmarkStart w:id="522" w:name="_Toc144974563"/>
      <w:bookmarkStart w:id="523" w:name="_Toc179632614"/>
      <w:bookmarkStart w:id="524" w:name="_Toc246996239"/>
      <w:bookmarkStart w:id="525" w:name="_Toc152042373"/>
      <w:bookmarkStart w:id="526" w:name="_Toc247085754"/>
      <w:bookmarkStart w:id="527" w:name="_Toc246996982"/>
      <w:bookmarkStart w:id="528" w:name="_Toc152045596"/>
      <w:r>
        <w:rPr>
          <w:rFonts w:hint="eastAsia" w:ascii="宋体" w:hAnsi="宋体" w:cs="宋体"/>
          <w:szCs w:val="21"/>
        </w:rPr>
        <w:t>3.2.1评标委员会按本章第2.2 款规定的量化因素和标准进行价格折算，计算出评标价，并编制价格比较一览表。</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3.2.2评标委员会发现投标人的报价明显低于其他投标报价，或者在设有标底时明显低于标底，使得其投标报价可能低于其成本的，应当要求该投标人作出书面说明并提供相应的证明材料。投标人不能合理说明或者不能提供相应证明材料的，由评标委员会认定该投标人以低于成本报价竞标，其投标作废标处理。</w:t>
      </w:r>
    </w:p>
    <w:p>
      <w:pPr>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b/>
          <w:sz w:val="28"/>
          <w:szCs w:val="28"/>
        </w:rPr>
      </w:pPr>
      <w:r>
        <w:rPr>
          <w:rFonts w:hint="eastAsia" w:ascii="宋体" w:hAnsi="宋体" w:cs="宋体"/>
          <w:b/>
          <w:sz w:val="28"/>
          <w:szCs w:val="28"/>
        </w:rPr>
        <w:t>3.3投标文件的澄清</w:t>
      </w:r>
      <w:bookmarkEnd w:id="522"/>
      <w:r>
        <w:rPr>
          <w:rFonts w:hint="eastAsia" w:ascii="宋体" w:hAnsi="宋体" w:cs="宋体"/>
          <w:b/>
          <w:sz w:val="28"/>
          <w:szCs w:val="28"/>
        </w:rPr>
        <w:t>和补正</w:t>
      </w:r>
      <w:bookmarkEnd w:id="523"/>
      <w:bookmarkEnd w:id="524"/>
      <w:bookmarkEnd w:id="525"/>
      <w:bookmarkEnd w:id="526"/>
      <w:bookmarkEnd w:id="527"/>
      <w:bookmarkEnd w:id="528"/>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bookmarkStart w:id="529" w:name="_Toc144974564"/>
      <w:bookmarkStart w:id="530" w:name="_Toc246996983"/>
      <w:bookmarkStart w:id="531" w:name="_Toc152045597"/>
      <w:bookmarkStart w:id="532" w:name="_Toc152042374"/>
      <w:bookmarkStart w:id="533" w:name="_Toc179632615"/>
      <w:bookmarkStart w:id="534" w:name="_Toc247085755"/>
      <w:bookmarkStart w:id="535" w:name="_Toc246996240"/>
      <w:r>
        <w:rPr>
          <w:rFonts w:hint="eastAsia" w:ascii="宋体" w:hAnsi="宋体" w:cs="宋体"/>
          <w:szCs w:val="21"/>
        </w:rPr>
        <w:t>3.3.1在评标过程中，评标委员会可以书面形式要求投标人对所提交的投标文件中不明确的内容进行书面澄清或说明，或者对细微偏差进行补正。评标委员会不接受投标人主动提出的澄清、说明或补正。</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3.3.2澄清、说明和补正不得改变投标文件的实质性内容（算术性错误修正的除外）。投标人的书面澄清、说明和补正属于投标文件的组成部分。</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3.3.3评标委员会对投标人提交的澄清、说明或补正有疑问的，可以要求投标人进一步澄清、说明或补正，直至满足评标委员会的要求。</w:t>
      </w:r>
    </w:p>
    <w:p>
      <w:pPr>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b/>
          <w:sz w:val="28"/>
          <w:szCs w:val="28"/>
        </w:rPr>
      </w:pPr>
      <w:r>
        <w:rPr>
          <w:rFonts w:hint="eastAsia" w:ascii="宋体" w:hAnsi="宋体" w:cs="宋体"/>
          <w:b/>
          <w:sz w:val="28"/>
          <w:szCs w:val="28"/>
        </w:rPr>
        <w:t>3.4评标结果</w:t>
      </w:r>
      <w:bookmarkEnd w:id="529"/>
      <w:bookmarkEnd w:id="530"/>
      <w:bookmarkEnd w:id="531"/>
      <w:bookmarkEnd w:id="532"/>
      <w:bookmarkEnd w:id="533"/>
      <w:bookmarkEnd w:id="534"/>
      <w:bookmarkEnd w:id="535"/>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3.4.1除第二章“投标人须知”前附表授权直接确定中标人外，评标委员会按照经评审的最终得分由高到低的顺序推荐中标候选人。</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b/>
          <w:kern w:val="18"/>
          <w:szCs w:val="21"/>
        </w:rPr>
      </w:pPr>
      <w:r>
        <w:rPr>
          <w:rFonts w:hint="eastAsia" w:ascii="宋体" w:hAnsi="宋体" w:cs="宋体"/>
          <w:szCs w:val="21"/>
        </w:rPr>
        <w:t>3.4.2评标委员会完成评标后，应当向招标人提交书面评标报告。</w:t>
      </w:r>
    </w:p>
    <w:p>
      <w:pPr>
        <w:spacing w:line="360" w:lineRule="auto"/>
        <w:ind w:left="340"/>
        <w:rPr>
          <w:rFonts w:hint="eastAsia" w:ascii="宋体" w:hAnsi="宋体"/>
          <w:kern w:val="18"/>
          <w:szCs w:val="21"/>
        </w:rPr>
      </w:pPr>
    </w:p>
    <w:p>
      <w:pPr>
        <w:spacing w:line="360" w:lineRule="auto"/>
        <w:rPr>
          <w:rFonts w:hint="eastAsia" w:ascii="宋体" w:hAnsi="宋体"/>
          <w:kern w:val="18"/>
          <w:szCs w:val="21"/>
        </w:rPr>
      </w:pPr>
    </w:p>
    <w:p>
      <w:pPr>
        <w:pStyle w:val="7"/>
        <w:spacing w:before="0" w:after="0" w:line="360" w:lineRule="auto"/>
        <w:jc w:val="center"/>
        <w:rPr>
          <w:rFonts w:hint="eastAsia" w:ascii="宋体" w:hAnsi="宋体"/>
        </w:rPr>
      </w:pPr>
    </w:p>
    <w:p>
      <w:pPr>
        <w:rPr>
          <w:rFonts w:hint="eastAsia"/>
        </w:rPr>
      </w:pPr>
    </w:p>
    <w:p>
      <w:pPr>
        <w:spacing w:line="360" w:lineRule="auto"/>
        <w:ind w:firstLine="420" w:firstLineChars="200"/>
        <w:rPr>
          <w:rFonts w:ascii="宋体" w:hAnsi="宋体" w:cs="宋体"/>
          <w:szCs w:val="21"/>
          <w:highlight w:val="none"/>
        </w:rPr>
      </w:pPr>
    </w:p>
    <w:p>
      <w:pPr>
        <w:pStyle w:val="26"/>
        <w:rPr>
          <w:rFonts w:ascii="宋体" w:hAnsi="宋体" w:cs="宋体"/>
          <w:szCs w:val="21"/>
          <w:highlight w:val="none"/>
        </w:rPr>
      </w:pPr>
    </w:p>
    <w:p>
      <w:pPr>
        <w:pStyle w:val="26"/>
        <w:rPr>
          <w:rFonts w:ascii="宋体" w:hAnsi="宋体" w:cs="宋体"/>
          <w:szCs w:val="21"/>
          <w:highlight w:val="none"/>
        </w:rPr>
      </w:pPr>
    </w:p>
    <w:p>
      <w:pPr>
        <w:spacing w:line="360" w:lineRule="auto"/>
        <w:ind w:firstLine="420" w:firstLineChars="200"/>
        <w:rPr>
          <w:rFonts w:ascii="宋体" w:hAnsi="宋体" w:cs="宋体"/>
          <w:szCs w:val="21"/>
          <w:highlight w:val="none"/>
        </w:rPr>
      </w:pPr>
    </w:p>
    <w:p>
      <w:pPr>
        <w:pStyle w:val="26"/>
        <w:rPr>
          <w:rFonts w:ascii="宋体" w:hAnsi="宋体" w:cs="宋体"/>
          <w:szCs w:val="21"/>
          <w:highlight w:val="none"/>
        </w:rPr>
      </w:pPr>
    </w:p>
    <w:p>
      <w:pPr>
        <w:pStyle w:val="26"/>
        <w:rPr>
          <w:rFonts w:ascii="宋体" w:hAnsi="宋体" w:cs="宋体"/>
          <w:szCs w:val="21"/>
          <w:highlight w:val="none"/>
        </w:rPr>
      </w:pPr>
    </w:p>
    <w:p>
      <w:pPr>
        <w:pStyle w:val="26"/>
        <w:rPr>
          <w:rFonts w:ascii="宋体" w:hAnsi="宋体" w:cs="宋体"/>
          <w:szCs w:val="21"/>
          <w:highlight w:val="none"/>
        </w:rPr>
      </w:pPr>
    </w:p>
    <w:p>
      <w:pPr>
        <w:pStyle w:val="26"/>
        <w:rPr>
          <w:rFonts w:ascii="宋体" w:hAnsi="宋体" w:cs="宋体"/>
          <w:szCs w:val="21"/>
          <w:highlight w:val="none"/>
        </w:rPr>
      </w:pPr>
    </w:p>
    <w:p>
      <w:pPr>
        <w:pStyle w:val="26"/>
        <w:rPr>
          <w:rFonts w:ascii="宋体" w:hAnsi="宋体" w:cs="宋体"/>
          <w:szCs w:val="21"/>
          <w:highlight w:val="none"/>
        </w:rPr>
      </w:pPr>
    </w:p>
    <w:p>
      <w:pPr>
        <w:pStyle w:val="26"/>
        <w:rPr>
          <w:rFonts w:ascii="宋体" w:hAnsi="宋体" w:cs="宋体"/>
          <w:szCs w:val="21"/>
          <w:highlight w:val="none"/>
        </w:rPr>
      </w:pPr>
    </w:p>
    <w:p>
      <w:pPr>
        <w:spacing w:line="360" w:lineRule="auto"/>
        <w:ind w:firstLine="420" w:firstLineChars="200"/>
        <w:rPr>
          <w:rFonts w:ascii="宋体" w:hAnsi="宋体" w:cs="宋体"/>
          <w:szCs w:val="21"/>
          <w:highlight w:val="none"/>
        </w:rPr>
      </w:pPr>
    </w:p>
    <w:p>
      <w:pPr>
        <w:pStyle w:val="26"/>
        <w:rPr>
          <w:rFonts w:ascii="宋体" w:hAnsi="宋体" w:cs="宋体"/>
          <w:szCs w:val="21"/>
          <w:highlight w:val="none"/>
        </w:rPr>
      </w:pPr>
    </w:p>
    <w:p>
      <w:pPr>
        <w:pStyle w:val="26"/>
        <w:rPr>
          <w:rFonts w:ascii="宋体" w:hAnsi="宋体" w:cs="宋体"/>
          <w:szCs w:val="21"/>
          <w:highlight w:val="none"/>
        </w:rPr>
      </w:pPr>
    </w:p>
    <w:p>
      <w:pPr>
        <w:spacing w:line="600" w:lineRule="exact"/>
        <w:jc w:val="center"/>
        <w:outlineLvl w:val="0"/>
        <w:rPr>
          <w:b/>
          <w:bCs/>
          <w:sz w:val="36"/>
          <w:szCs w:val="36"/>
          <w:highlight w:val="none"/>
        </w:rPr>
      </w:pPr>
      <w:bookmarkStart w:id="536" w:name="_Toc247085767"/>
      <w:bookmarkStart w:id="537" w:name="_Toc246996252"/>
      <w:bookmarkStart w:id="538" w:name="_Toc152042387"/>
      <w:bookmarkStart w:id="539" w:name="_Toc144974577"/>
      <w:bookmarkStart w:id="540" w:name="_Toc12208"/>
      <w:bookmarkStart w:id="541" w:name="_Toc179632627"/>
      <w:bookmarkStart w:id="542" w:name="_Toc152045609"/>
      <w:bookmarkStart w:id="543" w:name="_Toc246996995"/>
      <w:bookmarkStart w:id="544" w:name="_Toc8283"/>
      <w:bookmarkStart w:id="545" w:name="_Toc21329"/>
      <w:bookmarkStart w:id="546" w:name="_Toc16468"/>
      <w:bookmarkStart w:id="547" w:name="_Toc26973"/>
      <w:bookmarkStart w:id="548" w:name="_Toc12520"/>
      <w:bookmarkStart w:id="549" w:name="_Toc7693"/>
      <w:r>
        <w:rPr>
          <w:rFonts w:hint="eastAsia"/>
          <w:b/>
          <w:bCs/>
          <w:sz w:val="36"/>
          <w:szCs w:val="36"/>
          <w:highlight w:val="none"/>
        </w:rPr>
        <w:t xml:space="preserve">  </w:t>
      </w:r>
      <w:bookmarkStart w:id="550" w:name="_Toc10072"/>
      <w:r>
        <w:rPr>
          <w:rFonts w:hint="eastAsia"/>
          <w:b/>
          <w:bCs/>
          <w:sz w:val="36"/>
          <w:szCs w:val="36"/>
          <w:highlight w:val="none"/>
        </w:rPr>
        <w:t>第四章  合同条款及格式</w:t>
      </w:r>
      <w:bookmarkEnd w:id="536"/>
      <w:bookmarkEnd w:id="537"/>
      <w:bookmarkEnd w:id="538"/>
      <w:bookmarkEnd w:id="539"/>
      <w:bookmarkEnd w:id="540"/>
      <w:bookmarkEnd w:id="541"/>
      <w:bookmarkEnd w:id="542"/>
      <w:bookmarkEnd w:id="543"/>
      <w:bookmarkEnd w:id="544"/>
      <w:bookmarkEnd w:id="550"/>
      <w:bookmarkStart w:id="551" w:name="_Toc246996996"/>
      <w:bookmarkStart w:id="552" w:name="_Toc246996253"/>
      <w:bookmarkStart w:id="553" w:name="_Toc152045610"/>
      <w:bookmarkStart w:id="554" w:name="_Toc247085768"/>
      <w:bookmarkStart w:id="555" w:name="_Toc144974578"/>
      <w:bookmarkStart w:id="556" w:name="_Toc152042388"/>
      <w:bookmarkStart w:id="557" w:name="_Toc179632628"/>
    </w:p>
    <w:p>
      <w:pPr>
        <w:keepNext/>
        <w:keepLines/>
        <w:jc w:val="center"/>
        <w:rPr>
          <w:rFonts w:hint="eastAsia" w:ascii="宋体" w:hAnsi="宋体" w:cs="宋体"/>
          <w:sz w:val="32"/>
          <w:szCs w:val="32"/>
          <w:highlight w:val="none"/>
        </w:rPr>
      </w:pPr>
      <w:bookmarkStart w:id="558" w:name="_Toc5512"/>
      <w:bookmarkStart w:id="559" w:name="_Toc20224"/>
      <w:bookmarkStart w:id="560" w:name="_Toc29551"/>
      <w:r>
        <w:rPr>
          <w:rFonts w:hint="eastAsia" w:ascii="宋体" w:hAnsi="宋体" w:cs="宋体"/>
          <w:sz w:val="32"/>
          <w:szCs w:val="32"/>
          <w:highlight w:val="none"/>
        </w:rPr>
        <w:t>第一节 通用合同条款</w:t>
      </w:r>
      <w:bookmarkEnd w:id="545"/>
      <w:bookmarkEnd w:id="546"/>
      <w:bookmarkEnd w:id="547"/>
      <w:bookmarkEnd w:id="548"/>
      <w:bookmarkEnd w:id="549"/>
      <w:bookmarkEnd w:id="551"/>
      <w:bookmarkEnd w:id="552"/>
      <w:bookmarkEnd w:id="553"/>
      <w:bookmarkEnd w:id="554"/>
      <w:bookmarkEnd w:id="555"/>
      <w:bookmarkEnd w:id="556"/>
      <w:bookmarkEnd w:id="557"/>
      <w:bookmarkEnd w:id="558"/>
      <w:bookmarkEnd w:id="559"/>
      <w:bookmarkEnd w:id="560"/>
    </w:p>
    <w:p>
      <w:pPr>
        <w:pStyle w:val="8"/>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561" w:name="_Toc28096"/>
      <w:bookmarkStart w:id="562" w:name="_Toc5389"/>
      <w:bookmarkStart w:id="563" w:name="_Toc466470928"/>
      <w:bookmarkStart w:id="564" w:name="_Toc26504"/>
      <w:bookmarkStart w:id="565" w:name="_Toc466470798"/>
      <w:r>
        <w:rPr>
          <w:rFonts w:hint="eastAsia" w:ascii="宋体" w:eastAsia="宋体" w:cs="宋体"/>
          <w:color w:val="auto"/>
        </w:rPr>
        <w:t>1. 一般约定</w:t>
      </w:r>
      <w:bookmarkEnd w:id="561"/>
      <w:bookmarkEnd w:id="562"/>
      <w:bookmarkEnd w:id="563"/>
      <w:bookmarkEnd w:id="564"/>
      <w:bookmarkEnd w:id="565"/>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566" w:name="_Toc14264"/>
      <w:bookmarkStart w:id="567" w:name="_Toc247085770"/>
      <w:bookmarkStart w:id="568" w:name="_Toc20911"/>
      <w:bookmarkStart w:id="569" w:name="_Toc246996255"/>
      <w:bookmarkStart w:id="570" w:name="_Toc246996998"/>
      <w:bookmarkStart w:id="571" w:name="_Toc21724"/>
      <w:r>
        <w:rPr>
          <w:rFonts w:hint="eastAsia" w:ascii="宋体" w:hAnsi="宋体" w:cs="宋体"/>
          <w:b/>
          <w:bCs/>
          <w:color w:val="auto"/>
        </w:rPr>
        <w:t>1.1 词语定义</w:t>
      </w:r>
      <w:bookmarkEnd w:id="566"/>
      <w:bookmarkEnd w:id="567"/>
      <w:bookmarkEnd w:id="568"/>
      <w:bookmarkEnd w:id="569"/>
      <w:bookmarkEnd w:id="570"/>
      <w:bookmarkEnd w:id="571"/>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通用合同条款、专用合同条款中的下列词语应具有本款所赋予的含义。</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1.1.1 合同</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1.1.1.1 合同文件（或称合同）：指合同协议书、中标通知书、投标函及投标函附录、专用合同条款、通用合同条款、技术标准和要求、图纸、已标价工程量清单，以及其他合同文件。</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1.1.1.2 合同协议书：指第1.5 款所指的合同协议书。</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1.1.1.3 中标通知书：指发包人通知承包人中标的函件。中标通知书随附的澄清、说明、补正事项纪要等，是中标通知书的组成部分。</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1.1.1.4 投标函：指构成合同文件组成部分的由承包人填写并签署的投标函。</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1.1.1.5 投标函附录：指附在投标函后构成合同文件的投标函附录。</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1.1.1.6 技术标准和要求：指构成合同文件组成部分的名为技术标准和要求的文件，以及合同双方当事人约定对其所作的修改或补充。</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1.1.1.7 图纸：指包含在合同中的工程图纸，以及由发包人按合同约定提供的任何补充和修改的图纸，包括配套的说明。</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1.1.1.8 已标价工程量清单：指构成合同文件组成部分的由承包人按照规定的格式和要求填写并标明价格的工程量清单。</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1.1.1.9 其他合同文件：指经合同双方当事人确认构成合同文件的其他文件。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1.1.2 合同当事人和人员</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1.1.2.1 合同当事人：指发包人和（或）承包人。</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 xml:space="preserve">1.1.2.2 发包人：指专用合同条款中指明并与承包人在合同协议书中签字的当事人。 </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1.1.2.3 承包人：指与发包人签订合同协议书的当事人。</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1.1.2.4 承包人项目经理：指承包人派驻施工场地的全权负责人。</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1.1.2.5 监理人：</w:t>
      </w:r>
      <w:r>
        <w:rPr>
          <w:rFonts w:hint="eastAsia" w:ascii="宋体" w:hAnsi="宋体" w:cs="宋体"/>
          <w:color w:val="auto"/>
        </w:rPr>
        <w:t>指在专用</w:t>
      </w:r>
      <w:r>
        <w:rPr>
          <w:rFonts w:hint="eastAsia" w:ascii="宋体" w:hAnsi="宋体" w:cs="宋体"/>
          <w:color w:val="auto"/>
          <w:szCs w:val="21"/>
        </w:rPr>
        <w:t>合同条款中指明的，受发包人委托对合同履行实施管理的法人或其他组织。属于国家强制监理的，监理人应当具有相应的监理资质。</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1.1.2.6 总监理工程师（总监）：指由监理人委派常驻施工场地对合同履行实施管理的全权负责人。</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1.1.3 工程和设备</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1.1.3.1 工程：指永久工程和（或）临时工程。</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1.1.3.2 工程设备：指构成或计划构成永久工程一部分的机电设备、仪器装置、运载工具及其他类似的设备和装置。</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1.1.3.3 施工场地（或称工地、现场）：指用于合同工程施工的场所，以及在合同中指定作为施工场地组成部分的其他场所，包括永久占地和临时占地。</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1.1.4 日期</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1.1.4.1 开工通知：指监理人按第6.2款通知承包人开工的函件。</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1.1.4.2 开工日期：指监理人按第6.2款发出的开工通知中写明的开工日期。</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1.1.4.3 工期：指承包人在投标函中承诺的完成合同工程所需的期限，包括按第6.3款、第6.4款约定所作的变更。</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1.1.4.4 竣工日期：指第1.1.4.3目约定工期届满时的日期。实际竣工日期以工程接收证书中写明的日期为准。</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1.1.4.5 缺陷责任期：指履行第12.1款约定的缺陷责任的期限，具体期限由专用合同条款约定。</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1.1.4.6 天：除特别指明外，指日历天。合同中按天计算时间的，开始当天不计入，从次日开始计算。期限最后一天的截止时间为当天24:00。</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1.1.5 合同价格和费用</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1.1.5.1 签约合同价：指签定合同时合同协议书中写明的，包括了暂列金额的合同总金额。</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1.1.5.2 合同价格：指承包人按合同约定完成了包括缺陷责任期内的全部承包工作后，发包人应付给承包人的金额，包括在履行合同过程中按合同约定进行的变更和调整。</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1.1.5.3 费用：指为履行合同所发生的或将要发生的所有合理开支，包括管理费和应分摊的其他费用，但不包括利润。</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1.1.5.4 暂列金额：指已标价工程量清单中所列的暂列金额，用于在签订协议书时尚未确定或不可预见变更的施工及其所需材料、工程设备、服务等的金额，包括以计日工方式支付的金额。</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1.1.5.5 计日工：指对零星工作采取的一种计价方式，按合同中的计日工子目及其单价计价付款。</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1.1.5.6 质量保证金（或称保留金）：指按第10.4款约定用于保证在缺陷责任期内履行缺陷修复义务的金额。</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1.1.6 其他</w:t>
      </w:r>
    </w:p>
    <w:p>
      <w:pPr>
        <w:keepNext w:val="0"/>
        <w:keepLines w:val="0"/>
        <w:pageBreakBefore w:val="0"/>
        <w:widowControl w:val="0"/>
        <w:kinsoku/>
        <w:wordWrap/>
        <w:overflowPunct/>
        <w:topLinePunct w:val="0"/>
        <w:autoSpaceDE/>
        <w:autoSpaceDN/>
        <w:bidi w:val="0"/>
        <w:adjustRightInd/>
        <w:snapToGrid/>
        <w:spacing w:line="440" w:lineRule="exact"/>
        <w:ind w:firstLine="840" w:firstLineChars="400"/>
        <w:jc w:val="left"/>
        <w:textAlignment w:val="auto"/>
        <w:rPr>
          <w:rFonts w:ascii="宋体" w:hAnsi="宋体" w:cs="宋体"/>
          <w:color w:val="auto"/>
          <w:szCs w:val="21"/>
        </w:rPr>
      </w:pPr>
      <w:r>
        <w:rPr>
          <w:rFonts w:hint="eastAsia" w:ascii="宋体" w:hAnsi="宋体" w:cs="宋体"/>
          <w:color w:val="auto"/>
          <w:szCs w:val="21"/>
        </w:rPr>
        <w:t>1.1.6.1 书面形式：指合同文件、信函、电报、传真、电子数据交换和电子邮件等可以有形地表现所载内容的形式。</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572" w:name="_Toc246996999"/>
      <w:bookmarkStart w:id="573" w:name="_Toc19800"/>
      <w:bookmarkStart w:id="574" w:name="_Toc4966"/>
      <w:bookmarkStart w:id="575" w:name="_Toc246996256"/>
      <w:bookmarkStart w:id="576" w:name="_Toc247085771"/>
      <w:bookmarkStart w:id="577" w:name="_Toc29001"/>
      <w:r>
        <w:rPr>
          <w:rFonts w:hint="eastAsia" w:ascii="宋体" w:hAnsi="宋体" w:cs="宋体"/>
          <w:b/>
          <w:bCs/>
          <w:color w:val="auto"/>
        </w:rPr>
        <w:t>1.2 语言文字</w:t>
      </w:r>
      <w:bookmarkEnd w:id="572"/>
      <w:bookmarkEnd w:id="573"/>
      <w:bookmarkEnd w:id="574"/>
      <w:bookmarkEnd w:id="575"/>
      <w:bookmarkEnd w:id="576"/>
      <w:bookmarkEnd w:id="577"/>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bookmarkStart w:id="578" w:name="_Toc246997000"/>
      <w:bookmarkStart w:id="579" w:name="_Toc246996257"/>
      <w:bookmarkStart w:id="580" w:name="_Toc247085772"/>
      <w:r>
        <w:rPr>
          <w:rFonts w:hint="eastAsia" w:ascii="宋体" w:hAnsi="宋体" w:cs="宋体"/>
          <w:color w:val="auto"/>
          <w:szCs w:val="21"/>
        </w:rPr>
        <w:t>合同使用的语言文字为中文。专用术语使用外文的，应附有中文注释。</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581" w:name="_Toc14106"/>
      <w:bookmarkStart w:id="582" w:name="_Toc3094"/>
      <w:bookmarkStart w:id="583" w:name="_Toc25966"/>
      <w:r>
        <w:rPr>
          <w:rFonts w:hint="eastAsia" w:ascii="宋体" w:hAnsi="宋体" w:cs="宋体"/>
          <w:b/>
          <w:bCs/>
          <w:color w:val="auto"/>
        </w:rPr>
        <w:t>1.3 法律</w:t>
      </w:r>
      <w:bookmarkEnd w:id="578"/>
      <w:bookmarkEnd w:id="579"/>
      <w:bookmarkEnd w:id="580"/>
      <w:bookmarkEnd w:id="581"/>
      <w:bookmarkEnd w:id="582"/>
      <w:bookmarkEnd w:id="583"/>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适用于合同的法律包括中华人民共和国法律、行政法规、部门规章，以及工程所在地的地方法规、自治条例、单行条例和地方政府规章。</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584" w:name="_Toc246996258"/>
      <w:bookmarkStart w:id="585" w:name="_Toc14986"/>
      <w:bookmarkStart w:id="586" w:name="_Toc4011"/>
      <w:bookmarkStart w:id="587" w:name="_Toc246997001"/>
      <w:bookmarkStart w:id="588" w:name="_Toc9036"/>
      <w:bookmarkStart w:id="589" w:name="_Toc247085773"/>
      <w:r>
        <w:rPr>
          <w:rFonts w:hint="eastAsia" w:ascii="宋体" w:hAnsi="宋体" w:cs="宋体"/>
          <w:b/>
          <w:bCs/>
          <w:color w:val="auto"/>
        </w:rPr>
        <w:t>1.4 合同文件的优先顺序</w:t>
      </w:r>
      <w:bookmarkEnd w:id="584"/>
      <w:bookmarkEnd w:id="585"/>
      <w:bookmarkEnd w:id="586"/>
      <w:bookmarkEnd w:id="587"/>
      <w:bookmarkEnd w:id="588"/>
      <w:bookmarkEnd w:id="589"/>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组成合同的各项文件应互相解释，互为说明。除专用合同条款另有约定外，解释合同文件的优先顺序如下：</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（1）合同协议书；</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（2）中标通知书；</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（3）投标函及投标函附录；</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（4）通用合同条款；</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（5）技术标准和要求；</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（6）图纸；</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（7）已标价工程量清单；</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（8）其他合同文件。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590" w:name="_Toc246997002"/>
      <w:bookmarkStart w:id="591" w:name="_Toc247085774"/>
      <w:bookmarkStart w:id="592" w:name="_Toc1362"/>
      <w:bookmarkStart w:id="593" w:name="_Toc15982"/>
      <w:bookmarkStart w:id="594" w:name="_Toc9782"/>
      <w:bookmarkStart w:id="595" w:name="_Toc246996259"/>
      <w:r>
        <w:rPr>
          <w:rFonts w:hint="eastAsia" w:ascii="宋体" w:hAnsi="宋体" w:cs="宋体"/>
          <w:b/>
          <w:bCs/>
          <w:color w:val="auto"/>
        </w:rPr>
        <w:t>1.5 合同协议书</w:t>
      </w:r>
      <w:bookmarkEnd w:id="590"/>
      <w:bookmarkEnd w:id="591"/>
      <w:bookmarkEnd w:id="592"/>
      <w:bookmarkEnd w:id="593"/>
      <w:bookmarkEnd w:id="594"/>
      <w:bookmarkEnd w:id="595"/>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承包人按中标通知书规定的时间与发包人签订合同协议书。除法律另有规定或合同另有约定外，发包人和承包人的法定代表人或其委托代理人在合同协议书上签字并盖单位章后，合同生效。</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596" w:name="_Toc247085775"/>
      <w:bookmarkStart w:id="597" w:name="_Toc896"/>
      <w:bookmarkStart w:id="598" w:name="_Toc246996260"/>
      <w:bookmarkStart w:id="599" w:name="_Toc246997003"/>
      <w:bookmarkStart w:id="600" w:name="_Toc23269"/>
      <w:bookmarkStart w:id="601" w:name="_Toc1449"/>
      <w:r>
        <w:rPr>
          <w:rFonts w:hint="eastAsia" w:ascii="宋体" w:hAnsi="宋体" w:cs="宋体"/>
          <w:b/>
          <w:bCs/>
          <w:color w:val="auto"/>
        </w:rPr>
        <w:t>1.6 图纸和承包人文件</w:t>
      </w:r>
      <w:bookmarkEnd w:id="596"/>
      <w:bookmarkEnd w:id="597"/>
      <w:bookmarkEnd w:id="598"/>
      <w:bookmarkEnd w:id="599"/>
      <w:bookmarkEnd w:id="600"/>
      <w:bookmarkEnd w:id="601"/>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1.6.1 发包人提供的图纸</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除专用合同条款另有约定外，图纸应在合理的期限内按照合同约定的数量提供给承包人。</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1.6.2 承包人提供的文件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按专用合同条款约定由承包人提供的文件，包括部分工程的大样图、加工图等，承包人应按约定的数量和期限报送监理人。监理人应在专用合同条款约定的期限内批复。</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02" w:name="_Toc14255"/>
      <w:bookmarkStart w:id="603" w:name="_Toc247085776"/>
      <w:bookmarkStart w:id="604" w:name="_Toc2710"/>
      <w:bookmarkStart w:id="605" w:name="_Toc12973"/>
      <w:bookmarkStart w:id="606" w:name="_Toc246997004"/>
      <w:bookmarkStart w:id="607" w:name="_Toc246996261"/>
      <w:r>
        <w:rPr>
          <w:rFonts w:hint="eastAsia" w:ascii="宋体" w:hAnsi="宋体" w:cs="宋体"/>
          <w:b/>
          <w:bCs/>
          <w:color w:val="auto"/>
        </w:rPr>
        <w:t>1.7 联络</w:t>
      </w:r>
      <w:bookmarkEnd w:id="602"/>
      <w:bookmarkEnd w:id="603"/>
      <w:bookmarkEnd w:id="604"/>
      <w:bookmarkEnd w:id="605"/>
      <w:bookmarkEnd w:id="606"/>
      <w:bookmarkEnd w:id="607"/>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与合同有关的通知、批准、证明、证书、指示、要求、请求、同意、意见、确定和决定等重要文件，均应采用书面形式。</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按合同约定应当由监理人审核、批准、确认或者提出修改意见的承包人的要求、请求、申请和报批等，监理人在合同约定的期限内未回复的，视同认可，合同中未明确约定回复期限的，其相应期限均为收到相关文件后7天。</w:t>
      </w:r>
    </w:p>
    <w:p>
      <w:pPr>
        <w:pStyle w:val="8"/>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608" w:name="_Toc466470799"/>
      <w:bookmarkStart w:id="609" w:name="_Toc246996263"/>
      <w:bookmarkStart w:id="610" w:name="_Toc246997006"/>
      <w:bookmarkStart w:id="611" w:name="_Toc466470929"/>
      <w:bookmarkStart w:id="612" w:name="_Toc184635099"/>
      <w:bookmarkStart w:id="613" w:name="_Toc17780"/>
      <w:bookmarkStart w:id="614" w:name="_Toc32180"/>
      <w:bookmarkStart w:id="615" w:name="_Toc247085778"/>
      <w:bookmarkStart w:id="616" w:name="_Toc22758"/>
      <w:r>
        <w:rPr>
          <w:rFonts w:hint="eastAsia" w:ascii="宋体" w:eastAsia="宋体" w:cs="宋体"/>
          <w:color w:val="auto"/>
        </w:rPr>
        <w:t>2. 发包人义务</w:t>
      </w:r>
      <w:bookmarkEnd w:id="608"/>
      <w:bookmarkEnd w:id="609"/>
      <w:bookmarkEnd w:id="610"/>
      <w:bookmarkEnd w:id="611"/>
      <w:bookmarkEnd w:id="612"/>
      <w:bookmarkEnd w:id="613"/>
      <w:bookmarkEnd w:id="614"/>
      <w:bookmarkEnd w:id="615"/>
      <w:bookmarkEnd w:id="616"/>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17" w:name="_Toc16298"/>
      <w:bookmarkStart w:id="618" w:name="_Toc18905"/>
      <w:bookmarkStart w:id="619" w:name="_Toc246996264"/>
      <w:bookmarkStart w:id="620" w:name="_Toc246997007"/>
      <w:bookmarkStart w:id="621" w:name="_Toc247085779"/>
      <w:bookmarkStart w:id="622" w:name="_Toc18928"/>
      <w:r>
        <w:rPr>
          <w:rFonts w:hint="eastAsia" w:ascii="宋体" w:hAnsi="宋体" w:cs="宋体"/>
          <w:b/>
          <w:bCs/>
          <w:color w:val="auto"/>
        </w:rPr>
        <w:t>2.1 遵守法律</w:t>
      </w:r>
      <w:bookmarkEnd w:id="617"/>
      <w:bookmarkEnd w:id="618"/>
      <w:bookmarkEnd w:id="619"/>
      <w:bookmarkEnd w:id="620"/>
      <w:bookmarkEnd w:id="621"/>
      <w:bookmarkEnd w:id="622"/>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发包人在履行合同过程中应遵守法律，并保证承包人免于承担因发包人违反法律而引起的任何责任。</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23" w:name="_Toc247085780"/>
      <w:bookmarkStart w:id="624" w:name="_Toc246997008"/>
      <w:bookmarkStart w:id="625" w:name="_Toc3794"/>
      <w:bookmarkStart w:id="626" w:name="_Toc246996265"/>
      <w:bookmarkStart w:id="627" w:name="_Toc30375"/>
      <w:bookmarkStart w:id="628" w:name="_Toc13164"/>
      <w:r>
        <w:rPr>
          <w:rFonts w:hint="eastAsia" w:ascii="宋体" w:hAnsi="宋体" w:cs="宋体"/>
          <w:b/>
          <w:bCs/>
          <w:color w:val="auto"/>
        </w:rPr>
        <w:t>2.2 发出开工通知</w:t>
      </w:r>
      <w:bookmarkEnd w:id="623"/>
      <w:bookmarkEnd w:id="624"/>
      <w:bookmarkEnd w:id="625"/>
      <w:bookmarkEnd w:id="626"/>
      <w:bookmarkEnd w:id="627"/>
      <w:bookmarkEnd w:id="628"/>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发包人应委托监理人按第6.2 款的约定向承包人发出开工通知。</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29" w:name="_Toc246997009"/>
      <w:bookmarkStart w:id="630" w:name="_Toc19354"/>
      <w:bookmarkStart w:id="631" w:name="_Toc247085781"/>
      <w:bookmarkStart w:id="632" w:name="_Toc246996266"/>
      <w:bookmarkStart w:id="633" w:name="_Toc28743"/>
      <w:bookmarkStart w:id="634" w:name="_Toc13401"/>
      <w:r>
        <w:rPr>
          <w:rFonts w:hint="eastAsia" w:ascii="宋体" w:hAnsi="宋体" w:cs="宋体"/>
          <w:b/>
          <w:bCs/>
          <w:color w:val="auto"/>
        </w:rPr>
        <w:t>2.3 提供施工场地</w:t>
      </w:r>
      <w:bookmarkEnd w:id="629"/>
      <w:bookmarkEnd w:id="630"/>
      <w:bookmarkEnd w:id="631"/>
      <w:bookmarkEnd w:id="632"/>
      <w:bookmarkEnd w:id="633"/>
      <w:bookmarkEnd w:id="634"/>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发包人应按专用合同条款约定向承包人提供施工场地，以及施工场地内地下管线和地下设施等有关资料，并保证资料的真实、准确、完整。</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35" w:name="_Toc31927"/>
      <w:bookmarkStart w:id="636" w:name="_Toc247085782"/>
      <w:bookmarkStart w:id="637" w:name="_Toc246996267"/>
      <w:bookmarkStart w:id="638" w:name="_Toc14669"/>
      <w:bookmarkStart w:id="639" w:name="_Toc246997010"/>
      <w:bookmarkStart w:id="640" w:name="_Toc29358"/>
      <w:r>
        <w:rPr>
          <w:rFonts w:hint="eastAsia" w:ascii="宋体" w:hAnsi="宋体" w:cs="宋体"/>
          <w:b/>
          <w:bCs/>
          <w:color w:val="auto"/>
        </w:rPr>
        <w:t>2.4 协助承包人办理证件和批件</w:t>
      </w:r>
      <w:bookmarkEnd w:id="635"/>
      <w:bookmarkEnd w:id="636"/>
      <w:bookmarkEnd w:id="637"/>
      <w:bookmarkEnd w:id="638"/>
      <w:bookmarkEnd w:id="639"/>
      <w:bookmarkEnd w:id="640"/>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发包人应协助承包人办理法律规定的有关施工证件和批件。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41" w:name="_Toc246997011"/>
      <w:bookmarkStart w:id="642" w:name="_Toc246996268"/>
      <w:bookmarkStart w:id="643" w:name="_Toc247085783"/>
      <w:bookmarkStart w:id="644" w:name="_Toc18588"/>
      <w:bookmarkStart w:id="645" w:name="_Toc18297"/>
      <w:r>
        <w:rPr>
          <w:rFonts w:hint="eastAsia" w:ascii="宋体" w:hAnsi="宋体" w:cs="宋体"/>
          <w:b/>
          <w:bCs/>
          <w:color w:val="auto"/>
        </w:rPr>
        <w:t>2.5 组织设计交底</w:t>
      </w:r>
      <w:bookmarkEnd w:id="641"/>
      <w:bookmarkEnd w:id="642"/>
      <w:bookmarkEnd w:id="643"/>
      <w:bookmarkEnd w:id="644"/>
      <w:bookmarkEnd w:id="645"/>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发包人应根据合同进度计划，组织设计单位向承包人进行设计交底。</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46" w:name="_Toc246997012"/>
      <w:bookmarkStart w:id="647" w:name="_Toc32047"/>
      <w:bookmarkStart w:id="648" w:name="_Toc31483"/>
      <w:bookmarkStart w:id="649" w:name="_Toc247085784"/>
      <w:bookmarkStart w:id="650" w:name="_Toc246996269"/>
      <w:bookmarkStart w:id="651" w:name="_Toc109"/>
      <w:r>
        <w:rPr>
          <w:rFonts w:hint="eastAsia" w:ascii="宋体" w:hAnsi="宋体" w:cs="宋体"/>
          <w:b/>
          <w:bCs/>
          <w:color w:val="auto"/>
        </w:rPr>
        <w:t>2.6 支付合同价款</w:t>
      </w:r>
      <w:bookmarkEnd w:id="646"/>
      <w:bookmarkEnd w:id="647"/>
      <w:bookmarkEnd w:id="648"/>
      <w:bookmarkEnd w:id="649"/>
      <w:bookmarkEnd w:id="650"/>
      <w:bookmarkEnd w:id="651"/>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发包人应按合同约定向承包人及时支付合同价款。</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52" w:name="_Toc21139"/>
      <w:bookmarkStart w:id="653" w:name="_Toc13816"/>
      <w:bookmarkStart w:id="654" w:name="_Toc246997013"/>
      <w:bookmarkStart w:id="655" w:name="_Toc246996270"/>
      <w:bookmarkStart w:id="656" w:name="_Toc3487"/>
      <w:bookmarkStart w:id="657" w:name="_Toc247085785"/>
      <w:r>
        <w:rPr>
          <w:rFonts w:hint="eastAsia" w:ascii="宋体" w:hAnsi="宋体" w:cs="宋体"/>
          <w:b/>
          <w:bCs/>
          <w:color w:val="auto"/>
        </w:rPr>
        <w:t>2.7 组织竣工验收</w:t>
      </w:r>
      <w:bookmarkEnd w:id="652"/>
      <w:bookmarkEnd w:id="653"/>
      <w:bookmarkEnd w:id="654"/>
      <w:bookmarkEnd w:id="655"/>
      <w:bookmarkEnd w:id="656"/>
      <w:bookmarkEnd w:id="657"/>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发包人应按合同约定及时组织竣工验收。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58" w:name="_Toc247085786"/>
      <w:bookmarkStart w:id="659" w:name="_Toc246996271"/>
      <w:bookmarkStart w:id="660" w:name="_Toc246997014"/>
      <w:bookmarkStart w:id="661" w:name="_Toc27184"/>
      <w:bookmarkStart w:id="662" w:name="_Toc7710"/>
      <w:bookmarkStart w:id="663" w:name="_Toc22156"/>
      <w:r>
        <w:rPr>
          <w:rFonts w:hint="eastAsia" w:ascii="宋体" w:hAnsi="宋体" w:cs="宋体"/>
          <w:b/>
          <w:bCs/>
          <w:color w:val="auto"/>
        </w:rPr>
        <w:t>2.8 其他义务</w:t>
      </w:r>
      <w:bookmarkEnd w:id="658"/>
      <w:bookmarkEnd w:id="659"/>
      <w:bookmarkEnd w:id="660"/>
      <w:bookmarkEnd w:id="661"/>
      <w:bookmarkEnd w:id="662"/>
      <w:bookmarkEnd w:id="663"/>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发包人应履行合同约定的其他义务。</w:t>
      </w:r>
    </w:p>
    <w:p>
      <w:pPr>
        <w:pStyle w:val="8"/>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664" w:name="_Toc466470800"/>
      <w:bookmarkStart w:id="665" w:name="_Toc8230"/>
      <w:bookmarkStart w:id="666" w:name="_Toc246997015"/>
      <w:bookmarkStart w:id="667" w:name="_Toc10554"/>
      <w:bookmarkStart w:id="668" w:name="_Toc184635100"/>
      <w:bookmarkStart w:id="669" w:name="_Toc17795"/>
      <w:bookmarkStart w:id="670" w:name="_Toc466470930"/>
      <w:bookmarkStart w:id="671" w:name="_Toc246996272"/>
      <w:bookmarkStart w:id="672" w:name="_Toc247085787"/>
      <w:r>
        <w:rPr>
          <w:rFonts w:hint="eastAsia" w:ascii="宋体" w:eastAsia="宋体" w:cs="宋体"/>
          <w:color w:val="auto"/>
        </w:rPr>
        <w:t>3. 监理人</w:t>
      </w:r>
      <w:bookmarkEnd w:id="664"/>
      <w:bookmarkEnd w:id="665"/>
      <w:bookmarkEnd w:id="666"/>
      <w:bookmarkEnd w:id="667"/>
      <w:bookmarkEnd w:id="668"/>
      <w:bookmarkEnd w:id="669"/>
      <w:bookmarkEnd w:id="670"/>
      <w:bookmarkEnd w:id="671"/>
      <w:bookmarkEnd w:id="672"/>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73" w:name="_Toc20641"/>
      <w:bookmarkStart w:id="674" w:name="_Toc20613"/>
      <w:bookmarkStart w:id="675" w:name="_Toc247085788"/>
      <w:bookmarkStart w:id="676" w:name="_Toc246996273"/>
      <w:bookmarkStart w:id="677" w:name="_Toc246997016"/>
      <w:bookmarkStart w:id="678" w:name="_Toc13411"/>
      <w:r>
        <w:rPr>
          <w:rFonts w:hint="eastAsia" w:ascii="宋体" w:hAnsi="宋体" w:cs="宋体"/>
          <w:b/>
          <w:bCs/>
          <w:color w:val="auto"/>
        </w:rPr>
        <w:t>3.1 监理人的职责和权力</w:t>
      </w:r>
      <w:bookmarkEnd w:id="673"/>
      <w:bookmarkEnd w:id="674"/>
      <w:bookmarkEnd w:id="675"/>
      <w:bookmarkEnd w:id="676"/>
      <w:bookmarkEnd w:id="677"/>
      <w:bookmarkEnd w:id="678"/>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3.1.1 监理人受发包人委托，享有合同约定的权力，其所发出的任何指示应视为已得到发包人的批准。监理人在行使某项权力前需要经发包人事先批准而通用合同条款没有指明的，应在专用合同条款中指明。未经发包人批准，监理人无权修改合同。</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3.1.2 合同约定应由承包人承担的义务和责任，不因监理人对承包人文件的审查或批准，对工程、材料和工程设备的检查和检验，以及为实施监理作出的指示等职务行为而减轻或解除。</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79" w:name="_Toc2661"/>
      <w:bookmarkStart w:id="680" w:name="_Toc246997017"/>
      <w:bookmarkStart w:id="681" w:name="_Toc2496"/>
      <w:bookmarkStart w:id="682" w:name="_Toc246996274"/>
      <w:bookmarkStart w:id="683" w:name="_Toc18942"/>
      <w:bookmarkStart w:id="684" w:name="_Toc247085789"/>
      <w:r>
        <w:rPr>
          <w:rFonts w:hint="eastAsia" w:ascii="宋体" w:hAnsi="宋体" w:cs="宋体"/>
          <w:b/>
          <w:bCs/>
          <w:color w:val="auto"/>
        </w:rPr>
        <w:t>3.2 总监理工程师</w:t>
      </w:r>
      <w:bookmarkEnd w:id="679"/>
      <w:bookmarkEnd w:id="680"/>
      <w:bookmarkEnd w:id="681"/>
      <w:bookmarkEnd w:id="682"/>
      <w:bookmarkEnd w:id="683"/>
      <w:bookmarkEnd w:id="684"/>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发包人应在发出开工通知前将总监理工程师的任命通知承包人。</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85" w:name="_Toc246996275"/>
      <w:bookmarkStart w:id="686" w:name="_Toc246997018"/>
      <w:bookmarkStart w:id="687" w:name="_Toc28316"/>
      <w:bookmarkStart w:id="688" w:name="_Toc25066"/>
      <w:bookmarkStart w:id="689" w:name="_Toc247085790"/>
      <w:bookmarkStart w:id="690" w:name="_Toc31676"/>
      <w:r>
        <w:rPr>
          <w:rFonts w:hint="eastAsia" w:ascii="宋体" w:hAnsi="宋体" w:cs="宋体"/>
          <w:b/>
          <w:bCs/>
          <w:color w:val="auto"/>
        </w:rPr>
        <w:t>3.3 监理人员</w:t>
      </w:r>
      <w:bookmarkEnd w:id="685"/>
      <w:bookmarkEnd w:id="686"/>
      <w:bookmarkEnd w:id="687"/>
      <w:bookmarkEnd w:id="688"/>
      <w:bookmarkEnd w:id="689"/>
      <w:bookmarkEnd w:id="690"/>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3.3.1 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发包人和承包人。</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3.3.2监理人员对承包人文件、工程或其采用的材料和工程设备未在约定的或合理的期限内提出否定意见的，视为已获批准，但不影响监理人在以后拒绝该项工作、工程、材料或工程设备的权利，监理人的拒绝应当符合法律规定和合同约定。</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3.3.3 承包人对总监理工程师授权的监理人员发出的指示有疑问的，可在该指示发出的48小时内向总监理工程师提出书面异议，总监理工程师应在48小时内对该指示予以确认、更改或撤销。</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3.3.4 除专用合同条款另有约定外，总监理工程师不应将第3.5 款约定应由总监理工程师作出确定的权力授权或委托给其他监理人员。</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91" w:name="_Toc26911"/>
      <w:bookmarkStart w:id="692" w:name="_Toc247085791"/>
      <w:bookmarkStart w:id="693" w:name="_Toc1901"/>
      <w:bookmarkStart w:id="694" w:name="_Toc24792"/>
      <w:bookmarkStart w:id="695" w:name="_Toc246996276"/>
      <w:bookmarkStart w:id="696" w:name="_Toc246997019"/>
      <w:r>
        <w:rPr>
          <w:rFonts w:hint="eastAsia" w:ascii="宋体" w:hAnsi="宋体" w:cs="宋体"/>
          <w:b/>
          <w:bCs/>
          <w:color w:val="auto"/>
        </w:rPr>
        <w:t>3.4 监理人的指示</w:t>
      </w:r>
      <w:bookmarkEnd w:id="691"/>
      <w:bookmarkEnd w:id="692"/>
      <w:bookmarkEnd w:id="693"/>
      <w:bookmarkEnd w:id="694"/>
      <w:bookmarkEnd w:id="695"/>
      <w:bookmarkEnd w:id="696"/>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3.4.1 监理人应按第3.1 款的约定向承包人发出指示，监理人的指示应盖有监理人授权的施工场地机构章，并由总监理工程师或总监理工程师按第3.3.1 项约定授权的监理人员签字。</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3.4.2 承包人收到监理人按第3.4.1 项作出的指示后应遵照执行。指示构成变更的，应按第9条处理。</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3.4.3 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3.4.4 除合同另有约定外，承包人只从总监理工程师或按第3.3.1 项被授权的监理人员处取得指示。</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3.4.5 由于监理人未能按合同约定发出指示、指示延误或指示错误而导致承包人费用增加和（或）工期延误的，由发包人承担赔偿责任。</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697" w:name="_Toc12561"/>
      <w:bookmarkStart w:id="698" w:name="_Toc247085792"/>
      <w:bookmarkStart w:id="699" w:name="_Toc23851"/>
      <w:bookmarkStart w:id="700" w:name="_Toc246997020"/>
      <w:bookmarkStart w:id="701" w:name="_Toc246996277"/>
      <w:bookmarkStart w:id="702" w:name="_Toc20319"/>
      <w:r>
        <w:rPr>
          <w:rFonts w:hint="eastAsia" w:ascii="宋体" w:hAnsi="宋体" w:cs="宋体"/>
          <w:b/>
          <w:bCs/>
          <w:color w:val="auto"/>
        </w:rPr>
        <w:t>3.5 商定或确定</w:t>
      </w:r>
      <w:bookmarkEnd w:id="697"/>
      <w:bookmarkEnd w:id="698"/>
      <w:bookmarkEnd w:id="699"/>
      <w:bookmarkEnd w:id="700"/>
      <w:bookmarkEnd w:id="701"/>
      <w:bookmarkEnd w:id="702"/>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3.5.1 合同约定总监理工程师应按照本款对任何事项进行商定或确定时，总监理工程师应与合同当事人协商，尽量达成一致。不能达成一致的，总监理工程师应认真研究后审慎确定。</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3.5.2 总监理工程师应将商定或确定的事项通知合同当事人，并附详细依据。对总监理工程师的确定有异议的，构成争议，按照第17条的约定处理。在争议解决前，双方应暂按总监理工程师的确定执行，按照第17 条的约定对总监理工程师的确定作出修改的，按修改后的结果执行。</w:t>
      </w:r>
    </w:p>
    <w:p>
      <w:pPr>
        <w:pStyle w:val="8"/>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703" w:name="_Toc27639"/>
      <w:bookmarkStart w:id="704" w:name="_Toc21840"/>
      <w:bookmarkStart w:id="705" w:name="_Toc18087"/>
      <w:bookmarkStart w:id="706" w:name="_Toc246997021"/>
      <w:bookmarkStart w:id="707" w:name="_Toc466470801"/>
      <w:bookmarkStart w:id="708" w:name="_Toc247085793"/>
      <w:bookmarkStart w:id="709" w:name="_Toc246996278"/>
      <w:bookmarkStart w:id="710" w:name="_Toc466470931"/>
      <w:bookmarkStart w:id="711" w:name="_Toc184635101"/>
      <w:r>
        <w:rPr>
          <w:rFonts w:hint="eastAsia" w:ascii="宋体" w:eastAsia="宋体" w:cs="宋体"/>
          <w:color w:val="auto"/>
        </w:rPr>
        <w:t>4. 承包人</w:t>
      </w:r>
      <w:bookmarkEnd w:id="703"/>
      <w:bookmarkEnd w:id="704"/>
      <w:bookmarkEnd w:id="705"/>
      <w:bookmarkEnd w:id="706"/>
      <w:bookmarkEnd w:id="707"/>
      <w:bookmarkEnd w:id="708"/>
      <w:bookmarkEnd w:id="709"/>
      <w:bookmarkEnd w:id="710"/>
      <w:bookmarkEnd w:id="711"/>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712" w:name="_Toc743"/>
      <w:bookmarkStart w:id="713" w:name="_Toc247085794"/>
      <w:bookmarkStart w:id="714" w:name="_Toc246996279"/>
      <w:bookmarkStart w:id="715" w:name="_Toc246997022"/>
      <w:bookmarkStart w:id="716" w:name="_Toc6021"/>
      <w:bookmarkStart w:id="717" w:name="_Toc23607"/>
      <w:r>
        <w:rPr>
          <w:rFonts w:hint="eastAsia" w:ascii="宋体" w:hAnsi="宋体" w:cs="宋体"/>
          <w:b/>
          <w:bCs/>
          <w:color w:val="auto"/>
        </w:rPr>
        <w:t>4.1 承包人的一般义务</w:t>
      </w:r>
      <w:bookmarkEnd w:id="712"/>
      <w:bookmarkEnd w:id="713"/>
      <w:bookmarkEnd w:id="714"/>
      <w:bookmarkEnd w:id="715"/>
      <w:bookmarkEnd w:id="716"/>
      <w:bookmarkEnd w:id="717"/>
    </w:p>
    <w:p>
      <w:pPr>
        <w:keepNext w:val="0"/>
        <w:keepLines w:val="0"/>
        <w:pageBreakBefore w:val="0"/>
        <w:widowControl w:val="0"/>
        <w:kinsoku/>
        <w:wordWrap/>
        <w:overflowPunct/>
        <w:topLinePunct w:val="0"/>
        <w:autoSpaceDE/>
        <w:autoSpaceDN/>
        <w:bidi w:val="0"/>
        <w:adjustRightInd/>
        <w:snapToGrid/>
        <w:spacing w:line="440" w:lineRule="exact"/>
        <w:ind w:firstLine="420"/>
        <w:jc w:val="left"/>
        <w:textAlignment w:val="auto"/>
        <w:rPr>
          <w:rFonts w:ascii="宋体" w:hAnsi="宋体" w:cs="宋体"/>
          <w:color w:val="auto"/>
          <w:szCs w:val="21"/>
        </w:rPr>
      </w:pPr>
      <w:r>
        <w:rPr>
          <w:rFonts w:hint="eastAsia" w:ascii="宋体" w:hAnsi="宋体" w:cs="宋体"/>
          <w:color w:val="auto"/>
          <w:szCs w:val="21"/>
        </w:rPr>
        <w:t>4.1.1 承包人应按合同约定以及监理人根据第3.4 款作出的指示，实施、完成全部工程，并修补工程中的任何缺陷。</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4.1.2 除合同另有约定外，承包人应提供为按照合同完成工程所需的劳务、材料、施工设备、工程设备和其他物品，以及按合同约定的临时设施等。</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4.1.3 承包人应对所有现场作业、所有施工方法和全部工程的完备性、稳定性和安全性负责。</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4.1.4 承包人应按照法律规定和合同约定，负责施工场地及其周边环境与生态的保护工作。</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4.1.5 工程接收证书颁发前，承包人应负责照管和维护工程。工程接收证书颁发时尚有部分未竣工工程的，承包人还应负责该未竣工工程的照管和维护工作，直至竣工后移交给发包人为止。</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4.1.6 承包人应履行合同约定的其他义务。</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718" w:name="_Toc5487"/>
      <w:bookmarkStart w:id="719" w:name="_Toc246997023"/>
      <w:bookmarkStart w:id="720" w:name="_Toc247085795"/>
      <w:bookmarkStart w:id="721" w:name="_Toc713"/>
      <w:bookmarkStart w:id="722" w:name="_Toc31119"/>
      <w:bookmarkStart w:id="723" w:name="_Toc246996280"/>
      <w:r>
        <w:rPr>
          <w:rFonts w:hint="eastAsia" w:ascii="宋体" w:hAnsi="宋体" w:cs="宋体"/>
          <w:b/>
          <w:bCs/>
          <w:color w:val="auto"/>
        </w:rPr>
        <w:t>4.2 履约担保</w:t>
      </w:r>
      <w:bookmarkEnd w:id="718"/>
      <w:bookmarkEnd w:id="719"/>
      <w:bookmarkEnd w:id="720"/>
      <w:bookmarkEnd w:id="721"/>
      <w:bookmarkEnd w:id="722"/>
      <w:bookmarkEnd w:id="723"/>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宋体"/>
          <w:color w:val="auto"/>
        </w:rPr>
      </w:pPr>
      <w:bookmarkStart w:id="724" w:name="_Toc7764"/>
      <w:bookmarkStart w:id="725" w:name="_Toc246996282"/>
      <w:bookmarkStart w:id="726" w:name="_Toc246997025"/>
      <w:bookmarkStart w:id="727" w:name="_Toc12069"/>
      <w:bookmarkStart w:id="728" w:name="_Toc27695"/>
      <w:bookmarkStart w:id="729" w:name="_Toc247085797"/>
      <w:r>
        <w:rPr>
          <w:rFonts w:hint="eastAsia" w:ascii="宋体" w:hAnsi="宋体" w:cs="宋体"/>
          <w:color w:val="auto"/>
        </w:rPr>
        <w:t>按谈判须知表15规定执行。</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r>
        <w:rPr>
          <w:rFonts w:hint="eastAsia" w:ascii="宋体" w:hAnsi="宋体" w:cs="宋体"/>
          <w:b/>
          <w:bCs/>
          <w:color w:val="auto"/>
        </w:rPr>
        <w:t>4.3 承包人项目经理</w:t>
      </w:r>
      <w:bookmarkEnd w:id="724"/>
      <w:bookmarkEnd w:id="725"/>
      <w:bookmarkEnd w:id="726"/>
      <w:bookmarkEnd w:id="727"/>
      <w:bookmarkEnd w:id="728"/>
      <w:bookmarkEnd w:id="729"/>
    </w:p>
    <w:p>
      <w:pPr>
        <w:keepNext w:val="0"/>
        <w:keepLines w:val="0"/>
        <w:pageBreakBefore w:val="0"/>
        <w:widowControl w:val="0"/>
        <w:kinsoku/>
        <w:wordWrap/>
        <w:overflowPunct/>
        <w:topLinePunct w:val="0"/>
        <w:autoSpaceDE/>
        <w:autoSpaceDN/>
        <w:bidi w:val="0"/>
        <w:adjustRightInd/>
        <w:snapToGrid/>
        <w:spacing w:line="440" w:lineRule="exact"/>
        <w:ind w:firstLine="420"/>
        <w:jc w:val="left"/>
        <w:textAlignment w:val="auto"/>
        <w:rPr>
          <w:rFonts w:ascii="宋体" w:hAnsi="宋体" w:cs="宋体"/>
          <w:color w:val="auto"/>
          <w:szCs w:val="21"/>
        </w:rPr>
      </w:pPr>
      <w:r>
        <w:rPr>
          <w:rFonts w:hint="eastAsia" w:ascii="宋体" w:hAnsi="宋体" w:cs="宋体"/>
          <w:color w:val="auto"/>
          <w:szCs w:val="21"/>
        </w:rPr>
        <w:t>承包人应按合同约定指派项目经理，并在约定的期限内到职。承包人项目经理应按合同约定以及监理人按第3.4款作出的指示，负责组织合同工程的实施。承包人为履行合同发出的一切函件均应盖有承包人授权的施工场地管理机构章，并由承包人项目经理或其授权代表签字。</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730" w:name="_Toc13561"/>
      <w:bookmarkStart w:id="731" w:name="_Toc247085798"/>
      <w:bookmarkStart w:id="732" w:name="_Toc23590"/>
      <w:bookmarkStart w:id="733" w:name="_Toc30663"/>
      <w:bookmarkStart w:id="734" w:name="_Toc246997026"/>
      <w:bookmarkStart w:id="735" w:name="_Toc246996283"/>
      <w:r>
        <w:rPr>
          <w:rFonts w:hint="eastAsia" w:ascii="宋体" w:hAnsi="宋体" w:cs="宋体"/>
          <w:b/>
          <w:bCs/>
          <w:color w:val="auto"/>
        </w:rPr>
        <w:t>4.4 工程价款应专款专用</w:t>
      </w:r>
      <w:bookmarkEnd w:id="730"/>
      <w:bookmarkEnd w:id="731"/>
      <w:bookmarkEnd w:id="732"/>
      <w:bookmarkEnd w:id="733"/>
      <w:bookmarkEnd w:id="734"/>
      <w:bookmarkEnd w:id="735"/>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发包人按合同约定支付给承包人的各项价款应专用于合同工程。</w:t>
      </w:r>
      <w:bookmarkStart w:id="736" w:name="_Toc247085799"/>
      <w:bookmarkStart w:id="737" w:name="_Toc246996284"/>
      <w:bookmarkStart w:id="738" w:name="_Toc246997027"/>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739" w:name="_Toc17561"/>
      <w:bookmarkStart w:id="740" w:name="_Toc7599"/>
      <w:bookmarkStart w:id="741" w:name="_Toc152042428"/>
      <w:bookmarkStart w:id="742" w:name="_Toc152045650"/>
      <w:bookmarkStart w:id="743" w:name="_Toc179632668"/>
      <w:bookmarkStart w:id="744" w:name="_Toc11308"/>
      <w:bookmarkStart w:id="745" w:name="_Toc144974618"/>
      <w:r>
        <w:rPr>
          <w:rFonts w:hint="eastAsia" w:ascii="宋体" w:hAnsi="宋体" w:cs="宋体"/>
          <w:b/>
          <w:bCs/>
          <w:color w:val="auto"/>
        </w:rPr>
        <w:t>4.5 不利物质条件</w:t>
      </w:r>
      <w:bookmarkEnd w:id="739"/>
      <w:bookmarkEnd w:id="740"/>
      <w:bookmarkEnd w:id="741"/>
      <w:bookmarkEnd w:id="742"/>
      <w:bookmarkEnd w:id="743"/>
      <w:bookmarkEnd w:id="744"/>
      <w:bookmarkEnd w:id="745"/>
    </w:p>
    <w:p>
      <w:pPr>
        <w:keepNext w:val="0"/>
        <w:keepLines w:val="0"/>
        <w:pageBreakBefore w:val="0"/>
        <w:widowControl w:val="0"/>
        <w:kinsoku/>
        <w:wordWrap/>
        <w:overflowPunct/>
        <w:topLinePunct w:val="0"/>
        <w:autoSpaceDE/>
        <w:autoSpaceDN/>
        <w:bidi w:val="0"/>
        <w:adjustRightInd/>
        <w:snapToGrid/>
        <w:spacing w:line="440" w:lineRule="exact"/>
        <w:ind w:firstLine="420"/>
        <w:jc w:val="left"/>
        <w:textAlignment w:val="auto"/>
        <w:rPr>
          <w:rFonts w:ascii="宋体" w:hAnsi="宋体" w:cs="宋体"/>
          <w:color w:val="auto"/>
          <w:szCs w:val="21"/>
        </w:rPr>
      </w:pPr>
      <w:r>
        <w:rPr>
          <w:rFonts w:hint="eastAsia" w:ascii="宋体" w:hAnsi="宋体" w:cs="宋体"/>
          <w:color w:val="auto"/>
          <w:szCs w:val="21"/>
        </w:rPr>
        <w:t>4.5.1 不利物质条件，除专用合同条款另有约定外，是指承包人在施工场地遇到的不可预见的自然物质条件、非自然的物质障碍和污染物，包括地下和水文条件，但不包括气候条件。</w:t>
      </w:r>
    </w:p>
    <w:p>
      <w:pPr>
        <w:keepNext w:val="0"/>
        <w:keepLines w:val="0"/>
        <w:pageBreakBefore w:val="0"/>
        <w:widowControl w:val="0"/>
        <w:kinsoku/>
        <w:wordWrap/>
        <w:overflowPunct/>
        <w:topLinePunct w:val="0"/>
        <w:autoSpaceDE/>
        <w:autoSpaceDN/>
        <w:bidi w:val="0"/>
        <w:adjustRightInd/>
        <w:snapToGrid/>
        <w:spacing w:line="440" w:lineRule="exact"/>
        <w:ind w:firstLine="420"/>
        <w:jc w:val="left"/>
        <w:textAlignment w:val="auto"/>
        <w:rPr>
          <w:rFonts w:ascii="宋体" w:hAnsi="宋体" w:cs="宋体"/>
          <w:color w:val="auto"/>
          <w:szCs w:val="21"/>
        </w:rPr>
      </w:pPr>
      <w:r>
        <w:rPr>
          <w:rFonts w:hint="eastAsia" w:ascii="宋体" w:hAnsi="宋体" w:cs="宋体"/>
          <w:color w:val="auto"/>
          <w:szCs w:val="21"/>
        </w:rPr>
        <w:t>4.5.2 承包人遇到不利物质条件时，应采取适应不利物质条件的合理措施继续施工，并及时通知监理人，通知应载明不利物质条件的内容以及承包人认为不可预见的理由。监理人应当及时发出指示，指示构成变更的，按第9条约定执行。监理人没有发出指示的，承包人因采取合理措施而增加的费用和（或）工期延误，由发包人承担。</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hAnsi="宋体" w:cs="宋体"/>
          <w:b/>
          <w:bCs/>
          <w:color w:val="auto"/>
          <w:sz w:val="32"/>
          <w:szCs w:val="32"/>
        </w:rPr>
      </w:pPr>
      <w:bookmarkStart w:id="746" w:name="_Toc179632686"/>
      <w:bookmarkStart w:id="747" w:name="_Toc152042446"/>
      <w:bookmarkStart w:id="748" w:name="_Toc144974636"/>
      <w:bookmarkStart w:id="749" w:name="_Toc152045668"/>
      <w:bookmarkStart w:id="750" w:name="_Toc27702"/>
      <w:bookmarkStart w:id="751" w:name="_Toc15821"/>
      <w:bookmarkStart w:id="752" w:name="_Toc13246"/>
      <w:r>
        <w:rPr>
          <w:rFonts w:hint="eastAsia" w:ascii="宋体" w:hAnsi="宋体" w:cs="宋体"/>
          <w:b/>
          <w:bCs/>
          <w:color w:val="auto"/>
          <w:sz w:val="32"/>
          <w:szCs w:val="32"/>
        </w:rPr>
        <w:t xml:space="preserve">5. </w:t>
      </w:r>
      <w:bookmarkEnd w:id="746"/>
      <w:bookmarkEnd w:id="747"/>
      <w:bookmarkEnd w:id="748"/>
      <w:bookmarkEnd w:id="749"/>
      <w:bookmarkStart w:id="753" w:name="_Toc144974637"/>
      <w:bookmarkStart w:id="754" w:name="_Toc152042447"/>
      <w:bookmarkStart w:id="755" w:name="_Toc152045669"/>
      <w:bookmarkStart w:id="756" w:name="_Toc179632687"/>
      <w:r>
        <w:rPr>
          <w:rFonts w:hint="eastAsia" w:ascii="宋体" w:hAnsi="宋体" w:cs="宋体"/>
          <w:b/>
          <w:bCs/>
          <w:color w:val="auto"/>
          <w:sz w:val="32"/>
          <w:szCs w:val="32"/>
        </w:rPr>
        <w:t>施工控制网</w:t>
      </w:r>
      <w:bookmarkEnd w:id="750"/>
      <w:bookmarkEnd w:id="751"/>
      <w:bookmarkEnd w:id="752"/>
      <w:bookmarkEnd w:id="753"/>
      <w:bookmarkEnd w:id="754"/>
      <w:bookmarkEnd w:id="755"/>
      <w:bookmarkEnd w:id="756"/>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szCs w:val="21"/>
        </w:rPr>
        <w:t>5.1 发包人应在专用合同条款约定的期限内，通过监理人向承包人提供测量基准点、基准线和水准点及其书面资料。除专用合同条款另有约定外，承包人应根据国家测绘基准、测绘系统和工程测量技术规范，按上述基准点（线）以及合同工程精度要求，测设施工控制网，</w:t>
      </w:r>
      <w:r>
        <w:rPr>
          <w:rFonts w:hint="eastAsia" w:ascii="宋体" w:hAnsi="宋体" w:cs="宋体"/>
          <w:color w:val="auto"/>
        </w:rPr>
        <w:t>并在专用合同条款约定的期限内，将施工控制网资料报送监理人审批。</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宋体"/>
          <w:color w:val="auto"/>
        </w:rPr>
      </w:pPr>
      <w:r>
        <w:rPr>
          <w:rFonts w:hint="eastAsia" w:ascii="宋体" w:hAnsi="宋体" w:cs="宋体"/>
          <w:color w:val="auto"/>
        </w:rPr>
        <w:t>5.2 承包人应负责管理施工控制网点。施工控制网点丢失或损坏的，承包人应及时修复。承包人应承担施工控制网点的管理与修复费用，并在工程竣工后将施工控制网点移交发包人。</w:t>
      </w:r>
    </w:p>
    <w:p>
      <w:pPr>
        <w:pStyle w:val="8"/>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757" w:name="_Toc144974647"/>
      <w:bookmarkStart w:id="758" w:name="_Toc179632697"/>
      <w:bookmarkStart w:id="759" w:name="_Toc152042457"/>
      <w:bookmarkStart w:id="760" w:name="_Toc152045679"/>
      <w:bookmarkStart w:id="761" w:name="_Toc12139"/>
      <w:bookmarkStart w:id="762" w:name="_Toc466470802"/>
      <w:bookmarkStart w:id="763" w:name="_Toc561"/>
      <w:bookmarkStart w:id="764" w:name="_Toc32765"/>
      <w:bookmarkStart w:id="765" w:name="_Toc466470932"/>
      <w:r>
        <w:rPr>
          <w:rFonts w:hint="eastAsia" w:ascii="宋体" w:eastAsia="宋体" w:cs="宋体"/>
          <w:color w:val="auto"/>
        </w:rPr>
        <w:t xml:space="preserve">6. </w:t>
      </w:r>
      <w:bookmarkEnd w:id="757"/>
      <w:bookmarkEnd w:id="758"/>
      <w:bookmarkEnd w:id="759"/>
      <w:bookmarkEnd w:id="760"/>
      <w:r>
        <w:rPr>
          <w:rFonts w:hint="eastAsia" w:ascii="宋体" w:eastAsia="宋体" w:cs="宋体"/>
          <w:color w:val="auto"/>
        </w:rPr>
        <w:t>工期</w:t>
      </w:r>
      <w:bookmarkEnd w:id="761"/>
      <w:bookmarkEnd w:id="762"/>
      <w:bookmarkEnd w:id="763"/>
      <w:bookmarkEnd w:id="764"/>
      <w:bookmarkEnd w:id="765"/>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766" w:name="_Toc23360"/>
      <w:bookmarkStart w:id="767" w:name="_Toc8548"/>
      <w:bookmarkStart w:id="768" w:name="_Toc3649"/>
      <w:bookmarkStart w:id="769" w:name="_Toc179632700"/>
      <w:bookmarkStart w:id="770" w:name="_Toc152042460"/>
      <w:bookmarkStart w:id="771" w:name="_Toc152045682"/>
      <w:bookmarkStart w:id="772" w:name="_Toc144974650"/>
      <w:r>
        <w:rPr>
          <w:rFonts w:hint="eastAsia" w:ascii="宋体" w:hAnsi="宋体" w:cs="宋体"/>
          <w:b/>
          <w:bCs/>
          <w:color w:val="auto"/>
        </w:rPr>
        <w:t>6.1 进度计划</w:t>
      </w:r>
      <w:bookmarkEnd w:id="766"/>
      <w:bookmarkEnd w:id="767"/>
      <w:bookmarkEnd w:id="768"/>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承包人应按照专用合同条款约定的时间，向监理人提交进度计划。经监理人审批后的进度计划具有合同约束力，承包人应当严格执行。实际进度与进度计划不符时，监理人应当指示承包人对进度计划进行修订，重新提交给监理人审批。</w:t>
      </w:r>
      <w:bookmarkEnd w:id="769"/>
      <w:bookmarkEnd w:id="770"/>
      <w:bookmarkEnd w:id="771"/>
      <w:bookmarkEnd w:id="772"/>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773" w:name="_Toc1952"/>
      <w:bookmarkStart w:id="774" w:name="_Toc8480"/>
      <w:bookmarkStart w:id="775" w:name="_Toc18843"/>
      <w:r>
        <w:rPr>
          <w:rFonts w:hint="eastAsia" w:ascii="宋体" w:hAnsi="宋体" w:cs="宋体"/>
          <w:b/>
          <w:bCs/>
          <w:color w:val="auto"/>
        </w:rPr>
        <w:t>6.2 工程实施</w:t>
      </w:r>
      <w:bookmarkEnd w:id="773"/>
      <w:bookmarkEnd w:id="774"/>
      <w:bookmarkEnd w:id="775"/>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监理人应在开工日期7天前向承包人发出开工通知。承包人应在第1.1.4.3目约定的期限内完成合同工程。实际竣工日期在接收证书中写明。</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776" w:name="_Toc144974653"/>
      <w:bookmarkStart w:id="777" w:name="_Toc179632703"/>
      <w:bookmarkStart w:id="778" w:name="_Toc566"/>
      <w:bookmarkStart w:id="779" w:name="_Toc152045685"/>
      <w:bookmarkStart w:id="780" w:name="_Toc3893"/>
      <w:bookmarkStart w:id="781" w:name="_Toc152042463"/>
      <w:bookmarkStart w:id="782" w:name="_Toc15120"/>
      <w:r>
        <w:rPr>
          <w:rFonts w:hint="eastAsia" w:ascii="宋体" w:hAnsi="宋体" w:cs="宋体"/>
          <w:b/>
          <w:bCs/>
          <w:color w:val="auto"/>
        </w:rPr>
        <w:t>6.3 发包人引起的工期延误</w:t>
      </w:r>
      <w:bookmarkEnd w:id="776"/>
      <w:bookmarkEnd w:id="777"/>
      <w:bookmarkEnd w:id="778"/>
      <w:bookmarkEnd w:id="779"/>
      <w:bookmarkEnd w:id="780"/>
      <w:bookmarkEnd w:id="781"/>
      <w:bookmarkEnd w:id="782"/>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在履行合同过程中，由于发包人的下列原因造成工期延误的，承包人有权要求发包人延长工期和（或）增加费用，并支付合理利润。需要修订合同进度计划的，按照第6.1款的约定执行。</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（1）增加合同工作内容；</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（2）改变合同中任何一项工作的质量要求或其他特性；</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（3）发包人迟延提供材料、工程设备或变更交货地点；</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（4）因发包人原因导致的暂停施工；</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（5）提供图纸延误；</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（6）未按合同约定及时支付预付款、进度款；</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（7）发包人造成工期延误的其他原因。</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783" w:name="_Toc144974654"/>
      <w:bookmarkStart w:id="784" w:name="_Toc4995"/>
      <w:bookmarkStart w:id="785" w:name="_Toc21657"/>
      <w:bookmarkStart w:id="786" w:name="_Toc152045686"/>
      <w:bookmarkStart w:id="787" w:name="_Toc9411"/>
      <w:bookmarkStart w:id="788" w:name="_Toc152042464"/>
      <w:bookmarkStart w:id="789" w:name="_Toc179632704"/>
      <w:r>
        <w:rPr>
          <w:rFonts w:hint="eastAsia" w:ascii="宋体" w:hAnsi="宋体" w:cs="宋体"/>
          <w:b/>
          <w:bCs/>
          <w:color w:val="auto"/>
        </w:rPr>
        <w:t>6.4 异常恶劣的气候条件</w:t>
      </w:r>
      <w:bookmarkEnd w:id="783"/>
      <w:bookmarkEnd w:id="784"/>
      <w:bookmarkEnd w:id="785"/>
      <w:bookmarkEnd w:id="786"/>
      <w:bookmarkEnd w:id="787"/>
      <w:bookmarkEnd w:id="788"/>
      <w:bookmarkEnd w:id="789"/>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由于出现专用合同条款约定的异常恶劣气候导致工期延误的，承包人有权要求发包人延长工期。</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790" w:name="_Toc179632705"/>
      <w:bookmarkStart w:id="791" w:name="_Toc144974655"/>
      <w:bookmarkStart w:id="792" w:name="_Toc152045687"/>
      <w:bookmarkStart w:id="793" w:name="_Toc152042465"/>
      <w:bookmarkStart w:id="794" w:name="_Toc4575"/>
      <w:bookmarkStart w:id="795" w:name="_Toc32143"/>
      <w:bookmarkStart w:id="796" w:name="_Toc3848"/>
      <w:r>
        <w:rPr>
          <w:rFonts w:hint="eastAsia" w:ascii="宋体" w:hAnsi="宋体" w:cs="宋体"/>
          <w:b/>
          <w:bCs/>
          <w:color w:val="auto"/>
        </w:rPr>
        <w:t>6.5 承包人引起的工期延误</w:t>
      </w:r>
      <w:bookmarkEnd w:id="790"/>
      <w:bookmarkEnd w:id="791"/>
      <w:bookmarkEnd w:id="792"/>
      <w:bookmarkEnd w:id="793"/>
      <w:bookmarkEnd w:id="794"/>
      <w:bookmarkEnd w:id="795"/>
      <w:bookmarkEnd w:id="796"/>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由于承包人原因造成工期延误，承包人应按照专用合同条款中约定的逾期竣工违约金计算方法和最高限额，支付逾期竣工违约金。承包人支付逾期竣工违约金，不免除承包人完成工程及修补缺陷的义务。</w:t>
      </w:r>
      <w:bookmarkEnd w:id="736"/>
      <w:bookmarkEnd w:id="737"/>
      <w:bookmarkEnd w:id="738"/>
    </w:p>
    <w:p>
      <w:pPr>
        <w:pStyle w:val="8"/>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797" w:name="_Toc26932"/>
      <w:bookmarkStart w:id="798" w:name="_Toc246997034"/>
      <w:bookmarkStart w:id="799" w:name="_Toc6231"/>
      <w:bookmarkStart w:id="800" w:name="_Toc466470803"/>
      <w:bookmarkStart w:id="801" w:name="_Toc247085806"/>
      <w:bookmarkStart w:id="802" w:name="_Toc4410"/>
      <w:bookmarkStart w:id="803" w:name="_Toc246996291"/>
      <w:bookmarkStart w:id="804" w:name="_Toc466470933"/>
      <w:bookmarkStart w:id="805" w:name="_Toc184635110"/>
      <w:r>
        <w:rPr>
          <w:rFonts w:hint="eastAsia" w:ascii="宋体" w:eastAsia="宋体" w:cs="宋体"/>
          <w:color w:val="auto"/>
        </w:rPr>
        <w:t>7. 工程质量</w:t>
      </w:r>
      <w:bookmarkEnd w:id="797"/>
      <w:bookmarkEnd w:id="798"/>
      <w:bookmarkEnd w:id="799"/>
      <w:bookmarkEnd w:id="800"/>
      <w:bookmarkEnd w:id="801"/>
      <w:bookmarkEnd w:id="802"/>
      <w:bookmarkEnd w:id="803"/>
      <w:bookmarkEnd w:id="804"/>
      <w:bookmarkEnd w:id="805"/>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806" w:name="_Toc246997035"/>
      <w:bookmarkStart w:id="807" w:name="_Toc2370"/>
      <w:bookmarkStart w:id="808" w:name="_Toc13513"/>
      <w:bookmarkStart w:id="809" w:name="_Toc28777"/>
      <w:bookmarkStart w:id="810" w:name="_Toc246996292"/>
      <w:bookmarkStart w:id="811" w:name="_Toc247085807"/>
      <w:r>
        <w:rPr>
          <w:rFonts w:hint="eastAsia" w:ascii="宋体" w:hAnsi="宋体" w:cs="宋体"/>
          <w:b/>
          <w:bCs/>
          <w:color w:val="auto"/>
        </w:rPr>
        <w:t>7.1 工程质量要求</w:t>
      </w:r>
      <w:bookmarkEnd w:id="806"/>
      <w:bookmarkEnd w:id="807"/>
      <w:bookmarkEnd w:id="808"/>
      <w:bookmarkEnd w:id="809"/>
      <w:bookmarkEnd w:id="810"/>
      <w:bookmarkEnd w:id="811"/>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工程质量验收按照合同约定的验收标准执行。</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812" w:name="_Toc247085808"/>
      <w:bookmarkStart w:id="813" w:name="_Toc14231"/>
      <w:bookmarkStart w:id="814" w:name="_Toc8626"/>
      <w:bookmarkStart w:id="815" w:name="_Toc11246"/>
      <w:bookmarkStart w:id="816" w:name="_Toc246996293"/>
      <w:bookmarkStart w:id="817" w:name="_Toc246997036"/>
      <w:r>
        <w:rPr>
          <w:rFonts w:hint="eastAsia" w:ascii="宋体" w:hAnsi="宋体" w:cs="宋体"/>
          <w:b/>
          <w:bCs/>
          <w:color w:val="auto"/>
        </w:rPr>
        <w:t>7.2 监理人的质量检查</w:t>
      </w:r>
      <w:bookmarkEnd w:id="812"/>
      <w:bookmarkEnd w:id="813"/>
      <w:bookmarkEnd w:id="814"/>
      <w:bookmarkEnd w:id="815"/>
      <w:bookmarkEnd w:id="816"/>
      <w:bookmarkEnd w:id="817"/>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监理人有权对工程的所有部位及其施工工艺、材料和工程设备进行检查和检验。监理人的检查和检验，不免除承包人按合同约定应负的责任。</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818" w:name="_Toc246997037"/>
      <w:bookmarkStart w:id="819" w:name="_Toc5287"/>
      <w:bookmarkStart w:id="820" w:name="_Toc247085809"/>
      <w:bookmarkStart w:id="821" w:name="_Toc246996294"/>
      <w:bookmarkStart w:id="822" w:name="_Toc20433"/>
      <w:bookmarkStart w:id="823" w:name="_Toc32343"/>
      <w:r>
        <w:rPr>
          <w:rFonts w:hint="eastAsia" w:ascii="宋体" w:hAnsi="宋体" w:cs="宋体"/>
          <w:b/>
          <w:bCs/>
          <w:color w:val="auto"/>
        </w:rPr>
        <w:t>7.3 工程隐蔽部位覆盖前的检查</w:t>
      </w:r>
      <w:bookmarkEnd w:id="818"/>
      <w:bookmarkEnd w:id="819"/>
      <w:bookmarkEnd w:id="820"/>
      <w:bookmarkEnd w:id="821"/>
      <w:bookmarkEnd w:id="822"/>
      <w:bookmarkEnd w:id="823"/>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经承包人自检确认的工程隐蔽部位具备覆盖条件后，承包人应通知监理人在约定的期限内检查。监理人应按时到场检查。监理人未到场检查的，除监理人另有指示外，承包人可自行完成覆盖工作。无论监理人是否到场检查，对已覆盖的工程隐蔽部位，监理人可要求承包人对已覆盖的部位进行钻孔探测或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承包人未通知监理人到场检查，私自将工程隐蔽部位覆盖的，监理人有权指示承包人钻孔探测或揭开检查，无论工程隐蔽部位质量是否合格，由此增加的费用和（或）工期延误由承包人承担。</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824" w:name="_Toc246996295"/>
      <w:bookmarkStart w:id="825" w:name="_Toc247085810"/>
      <w:bookmarkStart w:id="826" w:name="_Toc15327"/>
      <w:bookmarkStart w:id="827" w:name="_Toc32043"/>
      <w:bookmarkStart w:id="828" w:name="_Toc3432"/>
      <w:bookmarkStart w:id="829" w:name="_Toc246997038"/>
      <w:r>
        <w:rPr>
          <w:rFonts w:hint="eastAsia" w:ascii="宋体" w:hAnsi="宋体" w:cs="宋体"/>
          <w:b/>
          <w:bCs/>
          <w:color w:val="auto"/>
        </w:rPr>
        <w:t>7.4 清除不合格工程</w:t>
      </w:r>
      <w:bookmarkEnd w:id="824"/>
      <w:bookmarkEnd w:id="825"/>
      <w:bookmarkEnd w:id="826"/>
      <w:bookmarkEnd w:id="827"/>
      <w:bookmarkEnd w:id="828"/>
      <w:bookmarkEnd w:id="829"/>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由于承包人的材料、工程设备，或采用施工工艺不符合合同要求造成的任何缺陷，监理人可以随时发出指示，要求承包人立即采取措施进行补救，直至达到合同要求的质量标准，由此增加的费用和（或）工期延误由承包人承担。</w:t>
      </w:r>
    </w:p>
    <w:p>
      <w:pPr>
        <w:pStyle w:val="8"/>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830" w:name="_Toc29237"/>
      <w:bookmarkStart w:id="831" w:name="_Toc466470804"/>
      <w:bookmarkStart w:id="832" w:name="_Toc246997039"/>
      <w:bookmarkStart w:id="833" w:name="_Toc20387"/>
      <w:bookmarkStart w:id="834" w:name="_Toc246996296"/>
      <w:bookmarkStart w:id="835" w:name="_Toc15935"/>
      <w:bookmarkStart w:id="836" w:name="_Toc466470934"/>
      <w:bookmarkStart w:id="837" w:name="_Toc247085811"/>
      <w:r>
        <w:rPr>
          <w:rFonts w:hint="eastAsia" w:ascii="宋体" w:eastAsia="宋体" w:cs="宋体"/>
          <w:color w:val="auto"/>
        </w:rPr>
        <w:t>8. 试验和检验</w:t>
      </w:r>
      <w:bookmarkEnd w:id="830"/>
      <w:bookmarkEnd w:id="831"/>
      <w:bookmarkEnd w:id="832"/>
      <w:bookmarkEnd w:id="833"/>
      <w:bookmarkEnd w:id="834"/>
      <w:bookmarkEnd w:id="835"/>
      <w:bookmarkEnd w:id="836"/>
      <w:bookmarkEnd w:id="837"/>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838" w:name="_Toc19154"/>
      <w:bookmarkStart w:id="839" w:name="_Toc144974672"/>
      <w:bookmarkStart w:id="840" w:name="_Toc179632721"/>
      <w:bookmarkStart w:id="841" w:name="_Toc21201"/>
      <w:bookmarkStart w:id="842" w:name="_Toc14965"/>
      <w:bookmarkStart w:id="843" w:name="_Toc152045703"/>
      <w:bookmarkStart w:id="844" w:name="_Toc152042481"/>
      <w:r>
        <w:rPr>
          <w:rFonts w:hint="eastAsia" w:ascii="宋体" w:hAnsi="宋体" w:cs="宋体"/>
          <w:b/>
          <w:bCs/>
          <w:color w:val="auto"/>
        </w:rPr>
        <w:t>8.1 材料、工程设备和工程的试验和检验</w:t>
      </w:r>
      <w:bookmarkEnd w:id="838"/>
      <w:bookmarkEnd w:id="839"/>
      <w:bookmarkEnd w:id="840"/>
      <w:bookmarkEnd w:id="841"/>
      <w:bookmarkEnd w:id="842"/>
      <w:bookmarkEnd w:id="843"/>
      <w:bookmarkEnd w:id="844"/>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8.1.1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8.1.2 监理人未按合同约定派员参加试验和检验的，除监理人另有指示外，承包人可自行试验和检验，并应立即将试验和检验结果报送监理人，监理人应签字确认。</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8.1.3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845" w:name="_Toc144974673"/>
      <w:bookmarkStart w:id="846" w:name="_Toc152045704"/>
      <w:bookmarkStart w:id="847" w:name="_Toc30469"/>
      <w:bookmarkStart w:id="848" w:name="_Toc3940"/>
      <w:bookmarkStart w:id="849" w:name="_Toc179632722"/>
      <w:bookmarkStart w:id="850" w:name="_Toc152042482"/>
      <w:bookmarkStart w:id="851" w:name="_Toc25397"/>
      <w:r>
        <w:rPr>
          <w:rFonts w:hint="eastAsia" w:ascii="宋体" w:hAnsi="宋体" w:cs="宋体"/>
          <w:b/>
          <w:bCs/>
          <w:color w:val="auto"/>
        </w:rPr>
        <w:t>8.2 现场材料试验</w:t>
      </w:r>
      <w:bookmarkEnd w:id="845"/>
      <w:bookmarkEnd w:id="846"/>
      <w:bookmarkEnd w:id="847"/>
      <w:bookmarkEnd w:id="848"/>
      <w:bookmarkEnd w:id="849"/>
      <w:bookmarkEnd w:id="850"/>
      <w:bookmarkEnd w:id="851"/>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8.2.1 承包人根据合同约定或监理人指示进行的现场材料试验，应由承包人提供试验场所、试验人员、试验设备器材以及其他必要的试验条件。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8.2.2 监理人在必要时可以使用承包人的试验场所、试验设备器材以及其他试验条件，进行以工程质量检查为目的的复核性材料试验，承包人应予以协助。</w:t>
      </w:r>
    </w:p>
    <w:p>
      <w:pPr>
        <w:pStyle w:val="8"/>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852" w:name="_Toc466470935"/>
      <w:bookmarkStart w:id="853" w:name="_Toc15409"/>
      <w:bookmarkStart w:id="854" w:name="_Toc184635112"/>
      <w:bookmarkStart w:id="855" w:name="_Toc246996297"/>
      <w:bookmarkStart w:id="856" w:name="_Toc466470805"/>
      <w:bookmarkStart w:id="857" w:name="_Toc247085812"/>
      <w:bookmarkStart w:id="858" w:name="_Toc246997040"/>
      <w:bookmarkStart w:id="859" w:name="_Toc27682"/>
      <w:bookmarkStart w:id="860" w:name="_Toc1844"/>
      <w:r>
        <w:rPr>
          <w:rFonts w:hint="eastAsia" w:ascii="宋体" w:eastAsia="宋体" w:cs="宋体"/>
          <w:color w:val="auto"/>
        </w:rPr>
        <w:t>9. 变更</w:t>
      </w:r>
      <w:bookmarkEnd w:id="852"/>
      <w:bookmarkEnd w:id="853"/>
      <w:bookmarkEnd w:id="854"/>
      <w:bookmarkEnd w:id="855"/>
      <w:bookmarkEnd w:id="856"/>
      <w:bookmarkEnd w:id="857"/>
      <w:bookmarkEnd w:id="858"/>
      <w:bookmarkEnd w:id="859"/>
      <w:bookmarkEnd w:id="860"/>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861" w:name="_Toc4292"/>
      <w:bookmarkStart w:id="862" w:name="_Toc29411"/>
      <w:bookmarkStart w:id="863" w:name="_Toc21887"/>
      <w:bookmarkStart w:id="864" w:name="_Toc246997041"/>
      <w:bookmarkStart w:id="865" w:name="_Toc246996298"/>
      <w:bookmarkStart w:id="866" w:name="_Toc247085813"/>
      <w:r>
        <w:rPr>
          <w:rFonts w:hint="eastAsia" w:ascii="宋体" w:hAnsi="宋体" w:cs="宋体"/>
          <w:b/>
          <w:bCs/>
          <w:color w:val="auto"/>
        </w:rPr>
        <w:t>9.1 变更权</w:t>
      </w:r>
      <w:bookmarkEnd w:id="861"/>
      <w:bookmarkEnd w:id="862"/>
      <w:bookmarkEnd w:id="863"/>
      <w:bookmarkEnd w:id="864"/>
      <w:bookmarkEnd w:id="865"/>
      <w:bookmarkEnd w:id="866"/>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在履行合同过程中，经发包人同意，监理人可按第9.2款约定的变更程序向承包人作出变更指示，承包人应遵照执行。</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867" w:name="_Toc28166"/>
      <w:bookmarkStart w:id="868" w:name="_Toc247085814"/>
      <w:bookmarkStart w:id="869" w:name="_Toc246997042"/>
      <w:bookmarkStart w:id="870" w:name="_Toc10420"/>
      <w:bookmarkStart w:id="871" w:name="_Toc25410"/>
      <w:bookmarkStart w:id="872" w:name="_Toc246996299"/>
      <w:r>
        <w:rPr>
          <w:rFonts w:hint="eastAsia" w:ascii="宋体" w:hAnsi="宋体" w:cs="宋体"/>
          <w:b/>
          <w:bCs/>
          <w:color w:val="auto"/>
        </w:rPr>
        <w:t>9.2 变更程序</w:t>
      </w:r>
      <w:bookmarkEnd w:id="867"/>
      <w:bookmarkEnd w:id="868"/>
      <w:bookmarkEnd w:id="869"/>
      <w:bookmarkEnd w:id="870"/>
      <w:bookmarkEnd w:id="871"/>
      <w:bookmarkEnd w:id="872"/>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承包人应在收到变更指示14天内，向监理人提交变更报价书。监理人应审查，并在收到承包人变更报价书后14天内，与发包人和承包人共同商定此估价。在未达成协议的情况下，监理人应确定该估价。</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873" w:name="_Toc247085815"/>
      <w:bookmarkStart w:id="874" w:name="_Toc246997043"/>
      <w:bookmarkStart w:id="875" w:name="_Toc246996300"/>
      <w:bookmarkStart w:id="876" w:name="_Toc2192"/>
      <w:bookmarkStart w:id="877" w:name="_Toc23065"/>
      <w:bookmarkStart w:id="878" w:name="_Toc7820"/>
      <w:r>
        <w:rPr>
          <w:rFonts w:hint="eastAsia" w:ascii="宋体" w:hAnsi="宋体" w:cs="宋体"/>
          <w:b/>
          <w:bCs/>
          <w:color w:val="auto"/>
        </w:rPr>
        <w:t>9.3 变更的估价原则</w:t>
      </w:r>
      <w:bookmarkEnd w:id="873"/>
      <w:bookmarkEnd w:id="874"/>
      <w:bookmarkEnd w:id="875"/>
      <w:bookmarkEnd w:id="876"/>
      <w:bookmarkEnd w:id="877"/>
      <w:bookmarkEnd w:id="878"/>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除专用合同条款另有约定外，因变更引起的价格调整按照本款约定处理：</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（1）已标价工程量清单中有适用于变更工作的子目的，采用该子目的单价；</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 xml:space="preserve">（2）已标价工程量清单中无适用于变更工作的子目，但有类似子目的，可在合理范围内参照类似项目，由监理人按第3.5款商定或确定变更工作的单价；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（3）已标价工程量清单中无适用或类似子目的单价，可按照成本加利润的原则，由监理人按第3.5款商定或确定变更工作的单价。</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879" w:name="_Toc17237"/>
      <w:bookmarkStart w:id="880" w:name="_Toc246996301"/>
      <w:bookmarkStart w:id="881" w:name="_Toc27578"/>
      <w:bookmarkStart w:id="882" w:name="_Toc247085816"/>
      <w:bookmarkStart w:id="883" w:name="_Toc246997044"/>
      <w:bookmarkStart w:id="884" w:name="_Toc4998"/>
      <w:r>
        <w:rPr>
          <w:rFonts w:hint="eastAsia" w:ascii="宋体" w:hAnsi="宋体" w:cs="宋体"/>
          <w:b/>
          <w:bCs/>
          <w:color w:val="auto"/>
        </w:rPr>
        <w:t>9.4 暂列金额</w:t>
      </w:r>
      <w:bookmarkEnd w:id="879"/>
      <w:bookmarkEnd w:id="880"/>
      <w:bookmarkEnd w:id="881"/>
      <w:bookmarkEnd w:id="882"/>
      <w:bookmarkEnd w:id="883"/>
      <w:bookmarkEnd w:id="884"/>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暂列金额只能按照监理人的指示使用，并对合同价格进行相应调整。</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885" w:name="_Toc247085817"/>
      <w:bookmarkStart w:id="886" w:name="_Toc25384"/>
      <w:bookmarkStart w:id="887" w:name="_Toc10536"/>
      <w:bookmarkStart w:id="888" w:name="_Toc246996302"/>
      <w:bookmarkStart w:id="889" w:name="_Toc20763"/>
      <w:bookmarkStart w:id="890" w:name="_Toc246997045"/>
      <w:r>
        <w:rPr>
          <w:rFonts w:hint="eastAsia" w:ascii="宋体" w:hAnsi="宋体" w:cs="宋体"/>
          <w:b/>
          <w:bCs/>
          <w:color w:val="auto"/>
        </w:rPr>
        <w:t>9.5 计日工</w:t>
      </w:r>
      <w:bookmarkEnd w:id="885"/>
      <w:bookmarkEnd w:id="886"/>
      <w:bookmarkEnd w:id="887"/>
      <w:bookmarkEnd w:id="888"/>
      <w:bookmarkEnd w:id="889"/>
      <w:bookmarkEnd w:id="890"/>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9.5.1 发包人认为有必要时，由监理人通知承包人以计日工方式实施变更的零星工作。其价款按列入已标价工程量清单中的计日工计价子目及其单价进行计算。</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9.5.2 采用计日工计价的任何一项变更工作，应从暂列金额中支付，承包人应在该项变更的实施过程中，每天提交以下报表和有关凭证报送监理人审批：</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（l）工作名称、内容和数量；</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（2）投入该工作所有人员的姓名、工种、级别和耗用工时；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（3）投入该工作的材料类别和数量；</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（4）投入该工作的施工设备型号、台数和耗用台时；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（5）监理人要求提交的其他资料和凭证。</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rPr>
      </w:pPr>
      <w:r>
        <w:rPr>
          <w:rFonts w:hint="eastAsia" w:ascii="宋体" w:hAnsi="宋体" w:cs="宋体"/>
          <w:color w:val="auto"/>
        </w:rPr>
        <w:t>9.5.3 计日工由承包人汇总后，按第10.3款的约定列入进度付款申请单，由监理人复核并经发包人同意后列入进度付款。</w:t>
      </w:r>
    </w:p>
    <w:p>
      <w:pPr>
        <w:pStyle w:val="8"/>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891" w:name="_Toc12989"/>
      <w:bookmarkStart w:id="892" w:name="_Toc28447"/>
      <w:bookmarkStart w:id="893" w:name="_Toc25090"/>
      <w:bookmarkStart w:id="894" w:name="_Toc247085819"/>
      <w:bookmarkStart w:id="895" w:name="_Toc246997047"/>
      <w:bookmarkStart w:id="896" w:name="_Toc466470806"/>
      <w:bookmarkStart w:id="897" w:name="_Toc466470936"/>
      <w:bookmarkStart w:id="898" w:name="_Toc184635114"/>
      <w:bookmarkStart w:id="899" w:name="_Toc246996304"/>
      <w:r>
        <w:rPr>
          <w:rFonts w:hint="eastAsia" w:ascii="宋体" w:eastAsia="宋体" w:cs="宋体"/>
          <w:color w:val="auto"/>
        </w:rPr>
        <w:t>10. 计量与支付</w:t>
      </w:r>
      <w:bookmarkEnd w:id="891"/>
      <w:bookmarkEnd w:id="892"/>
      <w:bookmarkEnd w:id="893"/>
      <w:bookmarkEnd w:id="894"/>
      <w:bookmarkEnd w:id="895"/>
      <w:bookmarkEnd w:id="896"/>
      <w:bookmarkEnd w:id="897"/>
      <w:bookmarkEnd w:id="898"/>
      <w:bookmarkEnd w:id="899"/>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900" w:name="_Toc11396"/>
      <w:bookmarkStart w:id="901" w:name="_Toc246996305"/>
      <w:bookmarkStart w:id="902" w:name="_Toc28640"/>
      <w:bookmarkStart w:id="903" w:name="_Toc246997048"/>
      <w:bookmarkStart w:id="904" w:name="_Toc247085820"/>
      <w:bookmarkStart w:id="905" w:name="_Toc5065"/>
      <w:r>
        <w:rPr>
          <w:rFonts w:hint="eastAsia" w:ascii="宋体" w:hAnsi="宋体" w:cs="宋体"/>
          <w:b/>
          <w:bCs/>
          <w:color w:val="auto"/>
        </w:rPr>
        <w:t>10.1 计量</w:t>
      </w:r>
      <w:bookmarkEnd w:id="900"/>
      <w:bookmarkEnd w:id="901"/>
      <w:bookmarkEnd w:id="902"/>
      <w:bookmarkEnd w:id="903"/>
      <w:bookmarkEnd w:id="904"/>
      <w:bookmarkEnd w:id="905"/>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除专用合同条款另有约定外，承包人应根据有合同约束力的进度计划，按月分解签约合同价，形成支付分解报告，送监理人批准后成为有合同约束力的支付分解表，按有合同约束力的支付分解表分期计量和支付；支付分解表应随进度计划的修订而调整；除按照第9条约定的变更外，签约合同价所基于的工程量即是用于竣工结算的最终工程量。</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906" w:name="_Toc246996306"/>
      <w:bookmarkStart w:id="907" w:name="_Toc11800"/>
      <w:bookmarkStart w:id="908" w:name="_Toc27634"/>
      <w:bookmarkStart w:id="909" w:name="_Toc246997049"/>
      <w:bookmarkStart w:id="910" w:name="_Toc25740"/>
      <w:bookmarkStart w:id="911" w:name="_Toc247085821"/>
      <w:r>
        <w:rPr>
          <w:rFonts w:hint="eastAsia" w:ascii="宋体" w:hAnsi="宋体" w:cs="宋体"/>
          <w:b/>
          <w:bCs/>
          <w:color w:val="auto"/>
        </w:rPr>
        <w:t>10.2 预付款</w:t>
      </w:r>
      <w:bookmarkEnd w:id="906"/>
      <w:bookmarkEnd w:id="907"/>
      <w:bookmarkEnd w:id="908"/>
      <w:bookmarkEnd w:id="909"/>
      <w:bookmarkEnd w:id="910"/>
      <w:bookmarkEnd w:id="911"/>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hAnsi="宋体" w:cs="宋体"/>
          <w:b w:val="0"/>
          <w:bCs w:val="0"/>
          <w:color w:val="auto"/>
          <w:sz w:val="21"/>
          <w:szCs w:val="21"/>
        </w:rPr>
      </w:pPr>
      <w:bookmarkStart w:id="912" w:name="_Toc30964"/>
      <w:bookmarkStart w:id="913" w:name="_Toc247085822"/>
      <w:bookmarkStart w:id="914" w:name="_Toc246997050"/>
      <w:bookmarkStart w:id="915" w:name="_Toc30700"/>
      <w:bookmarkStart w:id="916" w:name="_Toc20870"/>
      <w:bookmarkStart w:id="917" w:name="_Toc246996307"/>
      <w:r>
        <w:rPr>
          <w:rFonts w:hint="eastAsia" w:ascii="宋体" w:hAnsi="宋体" w:cs="宋体"/>
          <w:b w:val="0"/>
          <w:bCs w:val="0"/>
          <w:color w:val="auto"/>
          <w:sz w:val="21"/>
          <w:szCs w:val="21"/>
        </w:rPr>
        <w:t xml:space="preserve"> </w:t>
      </w:r>
      <w:r>
        <w:rPr>
          <w:rFonts w:hint="eastAsia" w:ascii="宋体" w:hAnsi="宋体" w:cs="宋体"/>
          <w:b w:val="0"/>
          <w:bCs w:val="0"/>
          <w:color w:val="auto"/>
          <w:sz w:val="21"/>
          <w:szCs w:val="21"/>
          <w:lang w:val="en-US" w:eastAsia="zh-CN"/>
        </w:rPr>
        <w:t xml:space="preserve">  </w:t>
      </w:r>
      <w:r>
        <w:rPr>
          <w:rFonts w:hint="eastAsia" w:ascii="宋体" w:hAnsi="宋体" w:cs="宋体"/>
          <w:b w:val="0"/>
          <w:bCs w:val="0"/>
          <w:color w:val="auto"/>
          <w:sz w:val="21"/>
          <w:szCs w:val="21"/>
        </w:rPr>
        <w:t xml:space="preserve"> 无</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r>
        <w:rPr>
          <w:rFonts w:hint="eastAsia" w:ascii="宋体" w:hAnsi="宋体" w:cs="宋体"/>
          <w:b/>
          <w:bCs/>
          <w:color w:val="auto"/>
        </w:rPr>
        <w:t>10.3 工程进度付款</w:t>
      </w:r>
      <w:bookmarkEnd w:id="912"/>
      <w:bookmarkEnd w:id="913"/>
      <w:bookmarkEnd w:id="914"/>
      <w:bookmarkEnd w:id="915"/>
      <w:bookmarkEnd w:id="916"/>
      <w:bookmarkEnd w:id="917"/>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承包人应在第10.1款约定的支付分解表确定的每个付款周期末，按监理人批准的格式和专用合同条款约定的份数，向监理人提交进度付款申请单，并附相应的支持性证明文件。除专用合同条款另有约定外，进度付款申请单应包括下列内容：</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（1）截至本次付款周期末已实施工程的合同价款；</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（2）根据第9条应增加和扣减的变更金额；</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（3）根据第16条应增加和扣减的索赔金额；</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（4）根据第10.2款应支付的预付款和扣减的返还预付款；</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（5）根据第10.4款应扣减的质量保证金；</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（6）根据合同应增加和扣减的其他金额。</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监理人应在收到承包人进度付款申请单以及相应的支持性证明文件后的7天内完成核查，并向承包人出具经发包人签认的付款证书。发包人应在监理人收到进度付款申请单的14天内将进度应付款支付给承包人。涉及政府投资资金的，按照国库集中支付等国家相关规定和专用合同条款的约定执行。</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918" w:name="_Toc29428"/>
      <w:bookmarkStart w:id="919" w:name="_Toc16350"/>
      <w:bookmarkStart w:id="920" w:name="_Toc31701"/>
      <w:bookmarkStart w:id="921" w:name="_Toc246997051"/>
      <w:bookmarkStart w:id="922" w:name="_Toc247085823"/>
      <w:bookmarkStart w:id="923" w:name="_Toc246996308"/>
      <w:r>
        <w:rPr>
          <w:rFonts w:hint="eastAsia" w:ascii="宋体" w:hAnsi="宋体" w:cs="宋体"/>
          <w:b/>
          <w:bCs/>
          <w:color w:val="auto"/>
        </w:rPr>
        <w:t>10.4 质量保证金</w:t>
      </w:r>
      <w:bookmarkEnd w:id="918"/>
      <w:bookmarkEnd w:id="919"/>
      <w:bookmarkEnd w:id="920"/>
      <w:bookmarkEnd w:id="921"/>
      <w:bookmarkEnd w:id="922"/>
      <w:bookmarkEnd w:id="923"/>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color w:val="auto"/>
          <w:szCs w:val="21"/>
          <w:lang w:val="en-US" w:eastAsia="zh-CN"/>
        </w:rPr>
      </w:pPr>
      <w:bookmarkStart w:id="924" w:name="_Toc7963"/>
      <w:bookmarkStart w:id="925" w:name="_Toc246996309"/>
      <w:bookmarkStart w:id="926" w:name="_Toc22499"/>
      <w:bookmarkStart w:id="927" w:name="_Toc15720"/>
      <w:bookmarkStart w:id="928" w:name="_Toc247085824"/>
      <w:bookmarkStart w:id="929" w:name="_Toc246997052"/>
      <w:r>
        <w:rPr>
          <w:rFonts w:hint="eastAsia" w:ascii="宋体" w:hAnsi="宋体" w:cs="宋体"/>
          <w:color w:val="auto"/>
          <w:szCs w:val="21"/>
        </w:rPr>
        <w:t>监理人应从第一个付款周期开始，在发包人的进度付款中,按专用合同条款的约定扣留质量保证金</w:t>
      </w:r>
      <w:r>
        <w:rPr>
          <w:rFonts w:hint="eastAsia" w:ascii="宋体" w:hAnsi="宋体" w:cs="宋体"/>
          <w:color w:val="auto"/>
          <w:szCs w:val="21"/>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cs="宋体"/>
          <w:color w:val="auto"/>
          <w:szCs w:val="21"/>
        </w:rPr>
      </w:pPr>
      <w:r>
        <w:rPr>
          <w:rFonts w:hint="eastAsia" w:ascii="宋体" w:hAnsi="宋体" w:cs="宋体"/>
          <w:color w:val="auto"/>
          <w:szCs w:val="21"/>
        </w:rPr>
        <w:t>直至扣留的质量保证金总额达到专用合同条款约定的金额或比例为止。</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宋体"/>
          <w:color w:val="auto"/>
          <w:szCs w:val="21"/>
        </w:rPr>
      </w:pPr>
      <w:r>
        <w:rPr>
          <w:rFonts w:hint="eastAsia" w:ascii="宋体" w:hAnsi="宋体" w:cs="宋体"/>
          <w:color w:val="auto"/>
          <w:szCs w:val="21"/>
        </w:rPr>
        <w:t>在专用合同条款约定的缺陷责任期满时,承包人向发包人申请到期应返还承包人剩余的质量保证金金额，发包人应在14天内会同承包人按照合同约定的内容核实承包人是否完成缺陷责任，并将无异议的剩余质量保证金返还承包人。</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r>
        <w:rPr>
          <w:rFonts w:hint="eastAsia" w:ascii="宋体" w:hAnsi="宋体" w:cs="宋体"/>
          <w:b/>
          <w:bCs/>
          <w:color w:val="auto"/>
        </w:rPr>
        <w:t>10.5 竣工结算</w:t>
      </w:r>
      <w:bookmarkEnd w:id="924"/>
      <w:bookmarkEnd w:id="925"/>
      <w:bookmarkEnd w:id="926"/>
      <w:bookmarkEnd w:id="927"/>
      <w:bookmarkEnd w:id="928"/>
      <w:bookmarkEnd w:id="929"/>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10.5.1 除专用合同条款另有约定外，竣工结算价格不因物价波动和法律变化而调整。</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10.5.2工程接收证书颁发后，承包人应按专用合同条款约定的份数和期限向监理人提交竣工付款申请单，并提供相关证明材料。监理人应当在收到竣工结算申请单的7天内完成核查、准备竣工付款证书并送发包人审核，发包人应在收到后14天内提出具体意见或签认竣工付款证书，并在监理人收到竣工结算申请单的28天内将应付款支付给承包人。发包人未在约定时间内审核并提出具体意见或者签认竣工付款证书的，视为同意承包人提出的竣工付款金额。</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10.5.3竣工付款涉及政府投资资金的，按照国库集中支付等国家相关规定和专用合同条款的约定执行。</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930" w:name="_Toc11288"/>
      <w:bookmarkStart w:id="931" w:name="_Toc7204"/>
      <w:bookmarkStart w:id="932" w:name="_Toc247085825"/>
      <w:bookmarkStart w:id="933" w:name="_Toc246997053"/>
      <w:bookmarkStart w:id="934" w:name="_Toc246996310"/>
      <w:bookmarkStart w:id="935" w:name="_Toc26295"/>
      <w:r>
        <w:rPr>
          <w:rFonts w:hint="eastAsia" w:ascii="宋体" w:hAnsi="宋体" w:cs="宋体"/>
          <w:b/>
          <w:bCs/>
          <w:color w:val="auto"/>
        </w:rPr>
        <w:t>10.6 付款延误</w:t>
      </w:r>
      <w:bookmarkEnd w:id="930"/>
      <w:bookmarkEnd w:id="931"/>
      <w:bookmarkEnd w:id="932"/>
      <w:bookmarkEnd w:id="933"/>
      <w:bookmarkEnd w:id="934"/>
      <w:bookmarkEnd w:id="935"/>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发包人不按期支付的，按专用合同条款的约定支付逾期付款违约金。</w:t>
      </w:r>
    </w:p>
    <w:p>
      <w:pPr>
        <w:pStyle w:val="8"/>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936" w:name="_Toc466470807"/>
      <w:bookmarkStart w:id="937" w:name="_Toc21806"/>
      <w:bookmarkStart w:id="938" w:name="_Toc247085826"/>
      <w:bookmarkStart w:id="939" w:name="_Toc246997054"/>
      <w:bookmarkStart w:id="940" w:name="_Toc246996311"/>
      <w:bookmarkStart w:id="941" w:name="_Toc20314"/>
      <w:bookmarkStart w:id="942" w:name="_Toc30072"/>
      <w:bookmarkStart w:id="943" w:name="_Toc466470937"/>
      <w:bookmarkStart w:id="944" w:name="_Toc184635115"/>
      <w:r>
        <w:rPr>
          <w:rFonts w:hint="eastAsia" w:ascii="宋体" w:eastAsia="宋体" w:cs="宋体"/>
          <w:color w:val="auto"/>
        </w:rPr>
        <w:t>11. 竣工验收</w:t>
      </w:r>
      <w:bookmarkEnd w:id="936"/>
      <w:bookmarkEnd w:id="937"/>
      <w:bookmarkEnd w:id="938"/>
      <w:bookmarkEnd w:id="939"/>
      <w:bookmarkEnd w:id="940"/>
      <w:bookmarkEnd w:id="941"/>
      <w:bookmarkEnd w:id="942"/>
      <w:bookmarkEnd w:id="943"/>
      <w:bookmarkEnd w:id="944"/>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945" w:name="_Toc27369"/>
      <w:bookmarkStart w:id="946" w:name="_Toc14645"/>
      <w:bookmarkStart w:id="947" w:name="_Toc27236"/>
      <w:bookmarkStart w:id="948" w:name="_Toc246997055"/>
      <w:bookmarkStart w:id="949" w:name="_Toc247085827"/>
      <w:bookmarkStart w:id="950" w:name="_Toc246996312"/>
      <w:r>
        <w:rPr>
          <w:rFonts w:hint="eastAsia" w:ascii="宋体" w:hAnsi="宋体" w:cs="宋体"/>
          <w:b/>
          <w:bCs/>
          <w:color w:val="auto"/>
        </w:rPr>
        <w:t>11.1 竣工验收的含义</w:t>
      </w:r>
      <w:bookmarkEnd w:id="945"/>
      <w:bookmarkEnd w:id="946"/>
      <w:bookmarkEnd w:id="947"/>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11.1.1 竣工验收是指承包人完成了全部合同工作后，发包人按合同要求进行的验收。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11.1.2 需要进行国家验收的，竣工验收是国家验收的一部分。竣工验收所采用的各项验收和评定标准应符合国家验收标准。发包人和承包人为竣工验收提供的各项竣工验收资料应符合国家验收的要求。</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951" w:name="_Toc16631"/>
      <w:bookmarkStart w:id="952" w:name="_Toc21108"/>
      <w:bookmarkStart w:id="953" w:name="_Toc27430"/>
      <w:r>
        <w:rPr>
          <w:rFonts w:hint="eastAsia" w:ascii="宋体" w:hAnsi="宋体" w:cs="宋体"/>
          <w:b/>
          <w:bCs/>
          <w:color w:val="auto"/>
        </w:rPr>
        <w:t>11.2 竣工验收申请报告</w:t>
      </w:r>
      <w:bookmarkEnd w:id="948"/>
      <w:bookmarkEnd w:id="949"/>
      <w:bookmarkEnd w:id="950"/>
      <w:bookmarkEnd w:id="951"/>
      <w:bookmarkEnd w:id="952"/>
      <w:bookmarkEnd w:id="953"/>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当工程具备竣工条件时，承包人即可向监理人报送竣工验收申请报告。</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954" w:name="_Toc246997056"/>
      <w:bookmarkStart w:id="955" w:name="_Toc246996313"/>
      <w:bookmarkStart w:id="956" w:name="_Toc247085828"/>
      <w:bookmarkStart w:id="957" w:name="_Toc10544"/>
      <w:bookmarkStart w:id="958" w:name="_Toc14257"/>
      <w:bookmarkStart w:id="959" w:name="_Toc22815"/>
      <w:r>
        <w:rPr>
          <w:rFonts w:hint="eastAsia" w:ascii="宋体" w:hAnsi="宋体" w:cs="宋体"/>
          <w:b/>
          <w:bCs/>
          <w:color w:val="auto"/>
        </w:rPr>
        <w:t>11.3 竣工和验收</w:t>
      </w:r>
      <w:bookmarkEnd w:id="954"/>
      <w:bookmarkEnd w:id="955"/>
      <w:bookmarkEnd w:id="956"/>
      <w:bookmarkEnd w:id="957"/>
      <w:bookmarkEnd w:id="958"/>
      <w:bookmarkEnd w:id="959"/>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监理人审查后认为具备竣工验收条件的，提请发包人进行工程验收。发包人经过验收后同意接收工程的，由监理人向承包人出具经发包人签认的工程接收证书。</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除专用合同条款另有约定外，经验收合格工程的实际竣工日期，以提交竣工验收申请报告的日期为准，并在工程接收证书中写明。</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960" w:name="_Toc24973"/>
      <w:bookmarkStart w:id="961" w:name="_Toc23928"/>
      <w:bookmarkStart w:id="962" w:name="_Toc246997057"/>
      <w:bookmarkStart w:id="963" w:name="_Toc247085829"/>
      <w:bookmarkStart w:id="964" w:name="_Toc246996314"/>
      <w:bookmarkStart w:id="965" w:name="_Toc2278"/>
      <w:r>
        <w:rPr>
          <w:rFonts w:hint="eastAsia" w:ascii="宋体" w:hAnsi="宋体" w:cs="宋体"/>
          <w:b/>
          <w:bCs/>
          <w:color w:val="auto"/>
        </w:rPr>
        <w:t>11.4 试运行</w:t>
      </w:r>
      <w:bookmarkEnd w:id="960"/>
      <w:bookmarkEnd w:id="961"/>
      <w:bookmarkEnd w:id="962"/>
      <w:bookmarkEnd w:id="963"/>
      <w:bookmarkEnd w:id="964"/>
      <w:bookmarkEnd w:id="965"/>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除专用合同条款另有约定外，承包人应按专用合同条款约定进行工程及工程设备试运行，负责提供试运行所需的人员、器材和必要的条件，并承担全部试运行费用。</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966" w:name="_Toc246997058"/>
      <w:bookmarkStart w:id="967" w:name="_Toc12382"/>
      <w:bookmarkStart w:id="968" w:name="_Toc19443"/>
      <w:bookmarkStart w:id="969" w:name="_Toc246996315"/>
      <w:bookmarkStart w:id="970" w:name="_Toc247085830"/>
      <w:bookmarkStart w:id="971" w:name="_Toc30721"/>
      <w:r>
        <w:rPr>
          <w:rFonts w:hint="eastAsia" w:ascii="宋体" w:hAnsi="宋体" w:cs="宋体"/>
          <w:b/>
          <w:bCs/>
          <w:color w:val="auto"/>
        </w:rPr>
        <w:t>11.5 竣工清场</w:t>
      </w:r>
      <w:bookmarkEnd w:id="966"/>
      <w:bookmarkEnd w:id="967"/>
      <w:bookmarkEnd w:id="968"/>
      <w:bookmarkEnd w:id="969"/>
      <w:bookmarkEnd w:id="970"/>
      <w:bookmarkEnd w:id="971"/>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除合同另有约定外，工程接收证书颁发后，承包人应对施工场地进行清理，直至监理人检验合格为止。竣工清场费用由承包人承担。</w:t>
      </w:r>
    </w:p>
    <w:p>
      <w:pPr>
        <w:pStyle w:val="8"/>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972" w:name="_Toc247085831"/>
      <w:bookmarkStart w:id="973" w:name="_Toc466470808"/>
      <w:bookmarkStart w:id="974" w:name="_Toc184635116"/>
      <w:bookmarkStart w:id="975" w:name="_Toc466470938"/>
      <w:bookmarkStart w:id="976" w:name="_Toc30634"/>
      <w:bookmarkStart w:id="977" w:name="_Toc29293"/>
      <w:bookmarkStart w:id="978" w:name="_Toc246996316"/>
      <w:bookmarkStart w:id="979" w:name="_Toc246997059"/>
      <w:bookmarkStart w:id="980" w:name="_Toc32282"/>
      <w:r>
        <w:rPr>
          <w:rFonts w:hint="eastAsia" w:ascii="宋体" w:eastAsia="宋体" w:cs="宋体"/>
          <w:color w:val="auto"/>
        </w:rPr>
        <w:t>12. 缺陷责任与保修责任</w:t>
      </w:r>
      <w:bookmarkEnd w:id="972"/>
      <w:bookmarkEnd w:id="973"/>
      <w:bookmarkEnd w:id="974"/>
      <w:bookmarkEnd w:id="975"/>
      <w:bookmarkEnd w:id="976"/>
      <w:bookmarkEnd w:id="977"/>
      <w:bookmarkEnd w:id="978"/>
      <w:bookmarkEnd w:id="979"/>
      <w:bookmarkEnd w:id="980"/>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981" w:name="_Toc11661"/>
      <w:bookmarkStart w:id="982" w:name="_Toc246996317"/>
      <w:bookmarkStart w:id="983" w:name="_Toc31678"/>
      <w:bookmarkStart w:id="984" w:name="_Toc17761"/>
      <w:bookmarkStart w:id="985" w:name="_Toc246997060"/>
      <w:bookmarkStart w:id="986" w:name="_Toc247085832"/>
      <w:r>
        <w:rPr>
          <w:rFonts w:hint="eastAsia" w:ascii="宋体" w:hAnsi="宋体" w:cs="宋体"/>
          <w:b/>
          <w:bCs/>
          <w:color w:val="auto"/>
        </w:rPr>
        <w:t>12.1 缺陷责任</w:t>
      </w:r>
      <w:bookmarkEnd w:id="981"/>
      <w:bookmarkEnd w:id="982"/>
      <w:bookmarkEnd w:id="983"/>
      <w:bookmarkEnd w:id="984"/>
      <w:bookmarkEnd w:id="985"/>
      <w:bookmarkEnd w:id="986"/>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缺陷责任自实际竣工日期起计算。在缺陷责任期内，已交付的工程由于承包人的材料、设备或工艺不符合合同要求所产生的缺陷，修补费用由承包人承担。由于承包人原因造成某项缺陷或损坏使某项工程或工程设备不能按原定目标使用而需要再次检查、检验和修复的，发包人有权要求承包人相应延长缺陷责任期，但缺陷责任期最长不超过2年。</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987" w:name="_Toc21453"/>
      <w:bookmarkStart w:id="988" w:name="_Toc246996318"/>
      <w:bookmarkStart w:id="989" w:name="_Toc261"/>
      <w:bookmarkStart w:id="990" w:name="_Toc14387"/>
      <w:bookmarkStart w:id="991" w:name="_Toc247085833"/>
      <w:bookmarkStart w:id="992" w:name="_Toc246997061"/>
      <w:r>
        <w:rPr>
          <w:rFonts w:hint="eastAsia" w:ascii="宋体" w:hAnsi="宋体" w:cs="宋体"/>
          <w:b/>
          <w:bCs/>
          <w:color w:val="auto"/>
        </w:rPr>
        <w:t>12.2 保修责任</w:t>
      </w:r>
      <w:bookmarkEnd w:id="987"/>
      <w:bookmarkEnd w:id="988"/>
      <w:bookmarkEnd w:id="989"/>
      <w:bookmarkEnd w:id="990"/>
      <w:bookmarkEnd w:id="991"/>
      <w:bookmarkEnd w:id="992"/>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合同当事人根据有关法律规定，在专用合同条款中约定工程质量保修范围、期限和责任。保修期自实际竣工日期起计算。</w:t>
      </w:r>
      <w:bookmarkStart w:id="993" w:name="_Toc246996319"/>
      <w:bookmarkStart w:id="994" w:name="_Toc184635117"/>
      <w:bookmarkStart w:id="995" w:name="_Toc247085834"/>
      <w:bookmarkStart w:id="996" w:name="_Toc246997062"/>
    </w:p>
    <w:p>
      <w:pPr>
        <w:pStyle w:val="8"/>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997" w:name="_Toc466470809"/>
      <w:bookmarkStart w:id="998" w:name="_Toc2092"/>
      <w:bookmarkStart w:id="999" w:name="_Toc19745"/>
      <w:bookmarkStart w:id="1000" w:name="_Toc32538"/>
      <w:bookmarkStart w:id="1001" w:name="_Toc466470939"/>
      <w:r>
        <w:rPr>
          <w:rFonts w:hint="eastAsia" w:ascii="宋体" w:eastAsia="宋体" w:cs="宋体"/>
          <w:color w:val="auto"/>
        </w:rPr>
        <w:t>13. 保险</w:t>
      </w:r>
      <w:bookmarkEnd w:id="993"/>
      <w:bookmarkEnd w:id="994"/>
      <w:bookmarkEnd w:id="995"/>
      <w:bookmarkEnd w:id="996"/>
      <w:bookmarkEnd w:id="997"/>
      <w:bookmarkEnd w:id="998"/>
      <w:bookmarkEnd w:id="999"/>
      <w:bookmarkEnd w:id="1000"/>
      <w:bookmarkEnd w:id="1001"/>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1002" w:name="_Toc397"/>
      <w:bookmarkStart w:id="1003" w:name="_Toc246997063"/>
      <w:bookmarkStart w:id="1004" w:name="_Toc247085835"/>
      <w:bookmarkStart w:id="1005" w:name="_Toc14617"/>
      <w:bookmarkStart w:id="1006" w:name="_Toc246996320"/>
      <w:bookmarkStart w:id="1007" w:name="_Toc29927"/>
      <w:r>
        <w:rPr>
          <w:rFonts w:hint="eastAsia" w:ascii="宋体" w:hAnsi="宋体" w:cs="宋体"/>
          <w:b/>
          <w:bCs/>
          <w:color w:val="auto"/>
        </w:rPr>
        <w:t>13.1 保险范围</w:t>
      </w:r>
      <w:bookmarkEnd w:id="1002"/>
      <w:bookmarkEnd w:id="1003"/>
      <w:bookmarkEnd w:id="1004"/>
      <w:bookmarkEnd w:id="1005"/>
      <w:bookmarkEnd w:id="1006"/>
      <w:bookmarkEnd w:id="1007"/>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13.1.1承包人按照专用合同条款的约定向双方同意的保险人投保建筑工程一切险或安装工程一切险等保险。具体的投保险种、保险范围、保险金额、保险费率、保险期限等有关内容应当在专用合同条款中明确约定。</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13.1.2承包人应依照有关法律规定参加工伤保险和人身意外伤害险，为其履行合同所雇佣的全部人员，缴纳工伤保险费和人身意外伤害险费。</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13.1.3发包人应依照有关法律规定参加工伤保险和人身意外伤害险，为其现场机构雇佣的全部人员，缴纳工伤保险费和人身意外伤害险费，并要求其监理人也进行此类保险。</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hAnsi="宋体" w:cs="宋体"/>
          <w:b/>
          <w:bCs/>
          <w:color w:val="auto"/>
          <w:sz w:val="32"/>
          <w:szCs w:val="32"/>
        </w:rPr>
      </w:pPr>
      <w:bookmarkStart w:id="1008" w:name="_Toc247085836"/>
      <w:bookmarkStart w:id="1009" w:name="_Toc246996321"/>
      <w:bookmarkStart w:id="1010" w:name="_Toc246997064"/>
      <w:r>
        <w:rPr>
          <w:rFonts w:hint="eastAsia" w:ascii="宋体" w:hAnsi="宋体" w:cs="宋体"/>
          <w:b/>
          <w:bCs/>
          <w:color w:val="auto"/>
          <w:sz w:val="32"/>
          <w:szCs w:val="32"/>
        </w:rPr>
        <w:t xml:space="preserve"> </w:t>
      </w:r>
      <w:bookmarkStart w:id="1011" w:name="_Toc28969"/>
      <w:bookmarkStart w:id="1012" w:name="_Toc31313"/>
      <w:bookmarkStart w:id="1013" w:name="_Toc5396"/>
      <w:r>
        <w:rPr>
          <w:rFonts w:hint="eastAsia" w:ascii="宋体" w:hAnsi="宋体" w:cs="宋体"/>
          <w:b/>
          <w:bCs/>
          <w:color w:val="auto"/>
        </w:rPr>
        <w:t>13.2 未办理保险</w:t>
      </w:r>
      <w:bookmarkEnd w:id="1008"/>
      <w:bookmarkEnd w:id="1009"/>
      <w:bookmarkEnd w:id="1010"/>
      <w:bookmarkEnd w:id="1011"/>
      <w:bookmarkEnd w:id="1012"/>
      <w:bookmarkEnd w:id="1013"/>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bookmarkStart w:id="1014" w:name="_Toc184635118"/>
      <w:r>
        <w:rPr>
          <w:rFonts w:hint="eastAsia" w:ascii="宋体" w:hAnsi="宋体" w:cs="宋体"/>
          <w:color w:val="auto"/>
          <w:szCs w:val="21"/>
        </w:rPr>
        <w:t>13.2.1由于负有投保义务的一方当事人未按合同约定办理保险，或未能使保险持续有效的，另一方当事人可代为办理，所需费用由对方当事人承担。</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13.2.2由于负有投保义务的一方当事人未按合同约定办理某项保险，导致受益人未能得到保险人的赔偿，原应从该项保险得到的保险金应由负有投保义务的一方当事人支付。</w:t>
      </w:r>
      <w:bookmarkEnd w:id="1014"/>
    </w:p>
    <w:p>
      <w:pPr>
        <w:pStyle w:val="8"/>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1015" w:name="_Toc271821895"/>
      <w:bookmarkStart w:id="1016" w:name="_Toc247514180"/>
      <w:bookmarkStart w:id="1017" w:name="_Toc466470810"/>
      <w:bookmarkStart w:id="1018" w:name="_Toc466470940"/>
      <w:bookmarkStart w:id="1019" w:name="_Toc8849"/>
      <w:bookmarkStart w:id="1020" w:name="_Toc247527781"/>
      <w:bookmarkStart w:id="1021" w:name="_Toc5897"/>
      <w:bookmarkStart w:id="1022" w:name="_Toc2469"/>
      <w:bookmarkStart w:id="1023" w:name="_Toc246996322"/>
      <w:bookmarkStart w:id="1024" w:name="_Toc246997065"/>
      <w:bookmarkStart w:id="1025" w:name="_Toc247085837"/>
      <w:bookmarkStart w:id="1026" w:name="_Toc184635119"/>
      <w:r>
        <w:rPr>
          <w:rFonts w:hint="eastAsia" w:ascii="宋体" w:eastAsia="宋体" w:cs="宋体"/>
          <w:color w:val="auto"/>
        </w:rPr>
        <w:t>14. 不可抗力</w:t>
      </w:r>
      <w:bookmarkEnd w:id="1015"/>
      <w:bookmarkEnd w:id="1016"/>
      <w:bookmarkEnd w:id="1017"/>
      <w:bookmarkEnd w:id="1018"/>
      <w:bookmarkEnd w:id="1019"/>
      <w:bookmarkEnd w:id="1020"/>
      <w:bookmarkEnd w:id="1021"/>
      <w:bookmarkEnd w:id="1022"/>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1027" w:name="_Toc29689"/>
      <w:bookmarkStart w:id="1028" w:name="_Toc247514181"/>
      <w:bookmarkStart w:id="1029" w:name="_Toc13386"/>
      <w:bookmarkStart w:id="1030" w:name="_Toc23196"/>
      <w:bookmarkStart w:id="1031" w:name="_Toc271821896"/>
      <w:bookmarkStart w:id="1032" w:name="_Toc247527782"/>
      <w:r>
        <w:rPr>
          <w:rFonts w:hint="eastAsia" w:ascii="宋体" w:hAnsi="宋体" w:cs="宋体"/>
          <w:b/>
          <w:bCs/>
          <w:color w:val="auto"/>
        </w:rPr>
        <w:t>14.1 不可抗力的确认</w:t>
      </w:r>
      <w:bookmarkEnd w:id="1027"/>
      <w:bookmarkEnd w:id="1028"/>
      <w:bookmarkEnd w:id="1029"/>
      <w:bookmarkEnd w:id="1030"/>
      <w:bookmarkEnd w:id="1031"/>
      <w:bookmarkEnd w:id="1032"/>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14.1.1 不可抗力是指承包人和发包人在订立合同时不可预见，在履行合同过程中不可避免发生并不能克服的自然灾害和社会性突发事件，如地震、海啸、瘟疫、水灾、骚乱、暴动、战争和专用合同条款约定的其他情形。</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14.1.2 不可抗力发生后，发包人和承包人应及时认真统计所造成的损失，收集不可抗力造成损失的证据。合同双方对是否属于不可抗力或其损失的意见不一致的，由监理人按第3.5 款商定或确定。发生争议时，按第17条的约定执行。</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1033" w:name="_Toc271821897"/>
      <w:bookmarkStart w:id="1034" w:name="_Toc991"/>
      <w:bookmarkStart w:id="1035" w:name="_Toc11119"/>
      <w:bookmarkStart w:id="1036" w:name="_Toc247514182"/>
      <w:bookmarkStart w:id="1037" w:name="_Toc247527783"/>
      <w:bookmarkStart w:id="1038" w:name="_Toc17189"/>
      <w:r>
        <w:rPr>
          <w:rFonts w:hint="eastAsia" w:ascii="宋体" w:hAnsi="宋体" w:cs="宋体"/>
          <w:b/>
          <w:bCs/>
          <w:color w:val="auto"/>
        </w:rPr>
        <w:t>14.2 不可抗力的通知</w:t>
      </w:r>
      <w:bookmarkEnd w:id="1033"/>
      <w:bookmarkEnd w:id="1034"/>
      <w:bookmarkEnd w:id="1035"/>
      <w:bookmarkEnd w:id="1036"/>
      <w:bookmarkEnd w:id="1037"/>
      <w:bookmarkEnd w:id="1038"/>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合同一方当事人遇到不可抗力事件，使其履行合同义务受到阻碍时，应立即通知合同另一方当事人和监理人，书面说明不可抗力和受阻碍的详细情况，并提供必要的证明。如不可抗力持续发生，合同一方当事人应及时向合同另一方当事人和监理人提交中间报告，说明不可抗力和履行合同受阻的情况，并于不可抗力事件结束后14天内提交最终报告及有关资料。</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1039" w:name="_Toc271821898"/>
      <w:bookmarkStart w:id="1040" w:name="_Toc23126"/>
      <w:bookmarkStart w:id="1041" w:name="_Toc247514183"/>
      <w:bookmarkStart w:id="1042" w:name="_Toc30250"/>
      <w:bookmarkStart w:id="1043" w:name="_Toc247527784"/>
      <w:bookmarkStart w:id="1044" w:name="_Toc14123"/>
      <w:r>
        <w:rPr>
          <w:rFonts w:hint="eastAsia" w:ascii="宋体" w:hAnsi="宋体" w:cs="宋体"/>
          <w:b/>
          <w:bCs/>
          <w:color w:val="auto"/>
        </w:rPr>
        <w:t>14.3 不可抗力后果及其处理</w:t>
      </w:r>
      <w:bookmarkEnd w:id="1039"/>
      <w:bookmarkEnd w:id="1040"/>
      <w:bookmarkEnd w:id="1041"/>
      <w:bookmarkEnd w:id="1042"/>
      <w:bookmarkEnd w:id="1043"/>
      <w:bookmarkEnd w:id="1044"/>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除专用合同条款另有约定外，不可抗力导致的人员伤亡、财产损失、费用增加和（或）工期延误等后果，由合同双方按以下原则承担：</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（1）永久工程，包括已运至施工场地的材料和工程设备的损害，以及因工程损害造成的第三者人员伤亡和财产损失由发包人承担；</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（2）承包人设备的损坏由承包人承担；</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（3）发包人和承包人各自承担其人员伤亡和其他财产损失及其相关费用；</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（4）承包人的停工损失由承包人承担，但停工期间应监理人要求照管工程和清理、修复工程的金额由发包人承担；</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（5）不能按期竣工的，应合理延长工期，承包人不需支付逾期竣工违约金。发包人要求赶工的，承包人应采取赶工措施，赶工费用由发包人承担。</w:t>
      </w:r>
    </w:p>
    <w:p>
      <w:pPr>
        <w:pStyle w:val="8"/>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1045" w:name="_Toc21091"/>
      <w:bookmarkStart w:id="1046" w:name="_Toc19710"/>
      <w:bookmarkStart w:id="1047" w:name="_Toc466470941"/>
      <w:bookmarkStart w:id="1048" w:name="_Toc466470811"/>
      <w:bookmarkStart w:id="1049" w:name="_Toc28370"/>
      <w:r>
        <w:rPr>
          <w:rFonts w:hint="eastAsia" w:ascii="宋体" w:eastAsia="宋体" w:cs="宋体"/>
          <w:color w:val="auto"/>
        </w:rPr>
        <w:t>15. 违约</w:t>
      </w:r>
      <w:bookmarkEnd w:id="1023"/>
      <w:bookmarkEnd w:id="1024"/>
      <w:bookmarkEnd w:id="1025"/>
      <w:bookmarkEnd w:id="1026"/>
      <w:bookmarkEnd w:id="1045"/>
      <w:bookmarkEnd w:id="1046"/>
      <w:bookmarkEnd w:id="1047"/>
      <w:bookmarkEnd w:id="1048"/>
      <w:bookmarkEnd w:id="1049"/>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1050" w:name="_Toc246996323"/>
      <w:bookmarkStart w:id="1051" w:name="_Toc459"/>
      <w:bookmarkStart w:id="1052" w:name="_Toc13762"/>
      <w:bookmarkStart w:id="1053" w:name="_Toc246997066"/>
      <w:bookmarkStart w:id="1054" w:name="_Toc23120"/>
      <w:bookmarkStart w:id="1055" w:name="_Toc247085838"/>
      <w:r>
        <w:rPr>
          <w:rFonts w:hint="eastAsia" w:ascii="宋体" w:hAnsi="宋体" w:cs="宋体"/>
          <w:b/>
          <w:bCs/>
          <w:color w:val="auto"/>
        </w:rPr>
        <w:t>15.1 承包人违约</w:t>
      </w:r>
      <w:bookmarkEnd w:id="1050"/>
      <w:bookmarkEnd w:id="1051"/>
      <w:bookmarkEnd w:id="1052"/>
      <w:bookmarkEnd w:id="1053"/>
      <w:bookmarkEnd w:id="1054"/>
      <w:bookmarkEnd w:id="1055"/>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15.1.1 如果承包人拒绝或未能遵守监理人的指示，或未能按合同进度计划及时完成合同约定的工作，已造成或预期造成工期延误，或违反合同不顾书面警告，监理人可发出通知，告知承包人违约。</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15.1.2 如果承包人在收到监理人通知后21天内，没有采取可行的措施纠正违约，发包人可向承包人发出解除合同通知。发包人因继续完成该工程的需要，有权扣留使用承包人在现场的材料、设备和临时设施。但发包人的这一行动不免除承包人应承担的违约责任，也不影响发包人根据合同约定享有的索赔权利。</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hAnsi="宋体" w:cs="宋体"/>
          <w:b/>
          <w:bCs/>
          <w:color w:val="auto"/>
          <w:sz w:val="32"/>
          <w:szCs w:val="32"/>
        </w:rPr>
      </w:pPr>
      <w:bookmarkStart w:id="1056" w:name="_Toc23531"/>
      <w:bookmarkStart w:id="1057" w:name="_Toc246997067"/>
      <w:bookmarkStart w:id="1058" w:name="_Toc246996324"/>
      <w:bookmarkStart w:id="1059" w:name="_Toc247085839"/>
      <w:bookmarkStart w:id="1060" w:name="_Toc12363"/>
      <w:bookmarkStart w:id="1061" w:name="_Toc14205"/>
      <w:r>
        <w:rPr>
          <w:rFonts w:hint="eastAsia" w:ascii="宋体" w:hAnsi="宋体" w:cs="宋体"/>
          <w:b/>
          <w:bCs/>
          <w:color w:val="auto"/>
          <w:sz w:val="32"/>
          <w:szCs w:val="32"/>
        </w:rPr>
        <w:t>15.2 发包人违约</w:t>
      </w:r>
      <w:bookmarkEnd w:id="1056"/>
      <w:bookmarkEnd w:id="1057"/>
      <w:bookmarkEnd w:id="1058"/>
      <w:bookmarkEnd w:id="1059"/>
      <w:bookmarkEnd w:id="1060"/>
      <w:bookmarkEnd w:id="1061"/>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15.2.1 如果发包人未能按合同付款，或违反合同不顾书面警告，承包人可发出通知，告知发包人违约。如果发包人在收到该通知后14天内未纠正违约，承包人可暂停工作或放慢工作进度。</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15.2.2 如果发包人收到承包人通知后28内未纠正违约，承包人可向发包人发出解除合同通知。合同解除后，承包人应妥善做好已竣工工程和已购材料、设备的保护和移交工作，按发包人要求将承包人设备和人员撤出施工场地，同时发包人应为承包人的撤出提供必要条件，但承包人的这一行动不免除发包人应承担的违约责任，也不影响承包人根据合同约定享有的索赔权利。</w:t>
      </w:r>
    </w:p>
    <w:p>
      <w:pPr>
        <w:pStyle w:val="8"/>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1062" w:name="_Toc184635120"/>
      <w:bookmarkStart w:id="1063" w:name="_Toc466470942"/>
      <w:bookmarkStart w:id="1064" w:name="_Toc3957"/>
      <w:bookmarkStart w:id="1065" w:name="_Toc246997069"/>
      <w:bookmarkStart w:id="1066" w:name="_Toc9350"/>
      <w:bookmarkStart w:id="1067" w:name="_Toc247085841"/>
      <w:bookmarkStart w:id="1068" w:name="_Toc466470812"/>
      <w:bookmarkStart w:id="1069" w:name="_Toc31759"/>
      <w:bookmarkStart w:id="1070" w:name="_Toc246996326"/>
      <w:r>
        <w:rPr>
          <w:rFonts w:hint="eastAsia" w:ascii="宋体" w:eastAsia="宋体" w:cs="宋体"/>
          <w:color w:val="auto"/>
        </w:rPr>
        <w:t>16. 索赔</w:t>
      </w:r>
      <w:bookmarkEnd w:id="1062"/>
      <w:bookmarkEnd w:id="1063"/>
      <w:bookmarkEnd w:id="1064"/>
      <w:bookmarkEnd w:id="1065"/>
      <w:bookmarkEnd w:id="1066"/>
      <w:bookmarkEnd w:id="1067"/>
      <w:bookmarkEnd w:id="1068"/>
      <w:bookmarkEnd w:id="1069"/>
      <w:bookmarkEnd w:id="1070"/>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1071" w:name="_Toc246996327"/>
      <w:bookmarkStart w:id="1072" w:name="_Toc247085842"/>
      <w:bookmarkStart w:id="1073" w:name="_Toc21842"/>
      <w:bookmarkStart w:id="1074" w:name="_Toc32246"/>
      <w:bookmarkStart w:id="1075" w:name="_Toc246997070"/>
      <w:bookmarkStart w:id="1076" w:name="_Toc17283"/>
      <w:r>
        <w:rPr>
          <w:rFonts w:hint="eastAsia" w:ascii="宋体" w:hAnsi="宋体" w:cs="宋体"/>
          <w:b/>
          <w:bCs/>
          <w:color w:val="auto"/>
        </w:rPr>
        <w:t>16.1 承包人索赔的提出</w:t>
      </w:r>
      <w:bookmarkEnd w:id="1071"/>
      <w:bookmarkEnd w:id="1072"/>
      <w:bookmarkEnd w:id="1073"/>
      <w:bookmarkEnd w:id="1074"/>
      <w:bookmarkEnd w:id="1075"/>
      <w:bookmarkEnd w:id="1076"/>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根据合同约定，承包人认为有权得到追加付款和（或）延长工期的，应按以下程序向发包人提出索赔：</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 xml:space="preserve">（l）承包人应在知道或应当知道索赔事件发生后14天内，向监理人递交索赔通知书。索赔通知书应详细说明索赔理由以及要求追加的付款金额和（或）延长的工期，并附必要的记录和证明材料；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（2）索赔事件具有连续影响的，承包人应在索赔事件影响结束后的14天内，向监理人递交最终索赔通知书，说明最终要求索赔的追加付款金额和延长的工期，并附必要的记录和证明材料；</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（3）承包人未在前述14天内递交索赔通知书的，丧失要求追加付款和（或）延长工期的权利。</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1077" w:name="_Toc247085843"/>
      <w:bookmarkStart w:id="1078" w:name="_Toc25986"/>
      <w:bookmarkStart w:id="1079" w:name="_Toc13414"/>
      <w:bookmarkStart w:id="1080" w:name="_Toc246997071"/>
      <w:bookmarkStart w:id="1081" w:name="_Toc6137"/>
      <w:bookmarkStart w:id="1082" w:name="_Toc246996328"/>
      <w:r>
        <w:rPr>
          <w:rFonts w:hint="eastAsia" w:ascii="宋体" w:hAnsi="宋体" w:cs="宋体"/>
          <w:b/>
          <w:bCs/>
          <w:color w:val="auto"/>
        </w:rPr>
        <w:t>16.2 承包人索赔处理程序</w:t>
      </w:r>
      <w:bookmarkEnd w:id="1077"/>
      <w:bookmarkEnd w:id="1078"/>
      <w:bookmarkEnd w:id="1079"/>
      <w:bookmarkEnd w:id="1080"/>
      <w:bookmarkEnd w:id="1081"/>
      <w:bookmarkEnd w:id="1082"/>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（1）监理人收到承包人提交的索赔通知书后，应按第3.5 款商定或确定追加的付款和（或）延长的工期，并在收到上述索赔通知书或有关索赔的进一步证明材料后的14天内，将索赔处理结果答复承包人。</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（2）承包人接受索赔处理结果的，发包人应在作出索赔处理结果答复后14天内完成赔付。承包人不接受索赔处理结果的，按第17条的约定执行。</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1083" w:name="_Toc246996329"/>
      <w:bookmarkStart w:id="1084" w:name="_Toc22164"/>
      <w:bookmarkStart w:id="1085" w:name="_Toc13556"/>
      <w:bookmarkStart w:id="1086" w:name="_Toc247085844"/>
      <w:bookmarkStart w:id="1087" w:name="_Toc246997072"/>
      <w:bookmarkStart w:id="1088" w:name="_Toc27239"/>
      <w:r>
        <w:rPr>
          <w:rFonts w:hint="eastAsia" w:ascii="宋体" w:hAnsi="宋体" w:cs="宋体"/>
          <w:b/>
          <w:bCs/>
          <w:color w:val="auto"/>
        </w:rPr>
        <w:t>16.3 承包人提出索赔的期限</w:t>
      </w:r>
      <w:bookmarkEnd w:id="1083"/>
      <w:bookmarkEnd w:id="1084"/>
      <w:bookmarkEnd w:id="1085"/>
      <w:bookmarkEnd w:id="1086"/>
      <w:bookmarkEnd w:id="1087"/>
      <w:bookmarkEnd w:id="1088"/>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承包人按第10.5 款的约定接受了竣工付款证书后，应被认为已无权再提出在合同工程接收证书颁发前所发生的任何索赔。</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1089" w:name="_Toc17238"/>
      <w:bookmarkStart w:id="1090" w:name="_Toc13563"/>
      <w:bookmarkStart w:id="1091" w:name="_Toc27407"/>
      <w:r>
        <w:rPr>
          <w:rFonts w:hint="eastAsia" w:ascii="宋体" w:hAnsi="宋体" w:cs="宋体"/>
          <w:b/>
          <w:bCs/>
          <w:color w:val="auto"/>
        </w:rPr>
        <w:t>16.4 发包人索赔的提出</w:t>
      </w:r>
      <w:bookmarkEnd w:id="1089"/>
      <w:bookmarkEnd w:id="1090"/>
      <w:bookmarkEnd w:id="1091"/>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根据合同约定，发包人认为有权得到追加付款和（或）延长工期的，应按以下程序向承包人提出索赔：</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 xml:space="preserve">（l）监理人应在知道或应当知道索赔事件发生后14天内，向承包人递交索赔通知书。索赔通知书应详细说明索赔理由以及要求追加的付款金额和（或）延长的工期，并附必要的记录和证明材料；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（2）索赔事件具有连续影响的，监理人应在索赔事件影响结束后的14天内，向承包人递交最终索赔通知书，说明最终要求索赔的追加付款金额和延长的工期，并附必要的记录和证明材料。</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1092" w:name="_Toc8338"/>
      <w:bookmarkStart w:id="1093" w:name="_Toc13628"/>
      <w:bookmarkStart w:id="1094" w:name="_Toc27577"/>
      <w:r>
        <w:rPr>
          <w:rFonts w:hint="eastAsia" w:ascii="宋体" w:hAnsi="宋体" w:cs="宋体"/>
          <w:b/>
          <w:bCs/>
          <w:color w:val="auto"/>
        </w:rPr>
        <w:t>16.5 发包人索赔处理程序</w:t>
      </w:r>
      <w:bookmarkEnd w:id="1092"/>
      <w:bookmarkEnd w:id="1093"/>
      <w:bookmarkEnd w:id="1094"/>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（1）承包人收到监理人提交的索赔通知书后，应按第3.5 款商定或确定追加的付款和（或）延长的工期，并在收到上述索赔通知书或有关索赔的进一步证明材料后的14天内，将索赔处理结果答复监理人。</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（2）监理人接受索赔处理结果的，承包人应在作出索赔处理结果答复后14天内完成赔付。监理人不接受索赔处理结果的，按第17条的约定执行。</w:t>
      </w:r>
    </w:p>
    <w:p>
      <w:pPr>
        <w:pStyle w:val="8"/>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ascii="宋体" w:eastAsia="宋体" w:cs="宋体"/>
          <w:color w:val="auto"/>
        </w:rPr>
      </w:pPr>
      <w:bookmarkStart w:id="1095" w:name="_Toc466470813"/>
      <w:bookmarkStart w:id="1096" w:name="_Toc247085846"/>
      <w:bookmarkStart w:id="1097" w:name="_Toc11496"/>
      <w:bookmarkStart w:id="1098" w:name="_Toc466470943"/>
      <w:bookmarkStart w:id="1099" w:name="_Toc2328"/>
      <w:bookmarkStart w:id="1100" w:name="_Toc246997074"/>
      <w:bookmarkStart w:id="1101" w:name="_Toc184635121"/>
      <w:bookmarkStart w:id="1102" w:name="_Toc246996331"/>
      <w:bookmarkStart w:id="1103" w:name="_Toc17332"/>
      <w:r>
        <w:rPr>
          <w:rFonts w:hint="eastAsia" w:ascii="宋体" w:eastAsia="宋体" w:cs="宋体"/>
          <w:color w:val="auto"/>
        </w:rPr>
        <w:t>17. 争议的解决</w:t>
      </w:r>
      <w:bookmarkEnd w:id="1095"/>
      <w:bookmarkEnd w:id="1096"/>
      <w:bookmarkEnd w:id="1097"/>
      <w:bookmarkEnd w:id="1098"/>
      <w:bookmarkEnd w:id="1099"/>
      <w:bookmarkEnd w:id="1100"/>
      <w:bookmarkEnd w:id="1101"/>
      <w:bookmarkEnd w:id="1102"/>
      <w:bookmarkEnd w:id="1103"/>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1104" w:name="_Toc20115"/>
      <w:bookmarkStart w:id="1105" w:name="_Toc247085847"/>
      <w:bookmarkStart w:id="1106" w:name="_Toc246996332"/>
      <w:bookmarkStart w:id="1107" w:name="_Toc23432"/>
      <w:bookmarkStart w:id="1108" w:name="_Toc246997075"/>
      <w:bookmarkStart w:id="1109" w:name="_Toc7422"/>
      <w:r>
        <w:rPr>
          <w:rFonts w:hint="eastAsia" w:ascii="宋体" w:hAnsi="宋体" w:cs="宋体"/>
          <w:b/>
          <w:bCs/>
          <w:color w:val="auto"/>
        </w:rPr>
        <w:t>17.1 争议的解决方式</w:t>
      </w:r>
      <w:bookmarkEnd w:id="1104"/>
      <w:bookmarkEnd w:id="1105"/>
      <w:bookmarkEnd w:id="1106"/>
      <w:bookmarkEnd w:id="1107"/>
      <w:bookmarkEnd w:id="1108"/>
      <w:bookmarkEnd w:id="1109"/>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（l）向约定的仲裁委员会申请仲裁；</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（2）向有管辖权的人民法院提起诉讼。</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1110" w:name="_Toc24569"/>
      <w:bookmarkStart w:id="1111" w:name="_Toc246996333"/>
      <w:bookmarkStart w:id="1112" w:name="_Toc15915"/>
      <w:bookmarkStart w:id="1113" w:name="_Toc21905"/>
      <w:bookmarkStart w:id="1114" w:name="_Toc247085848"/>
      <w:bookmarkStart w:id="1115" w:name="_Toc246997076"/>
      <w:r>
        <w:rPr>
          <w:rFonts w:hint="eastAsia" w:ascii="宋体" w:hAnsi="宋体" w:cs="宋体"/>
          <w:b/>
          <w:bCs/>
          <w:color w:val="auto"/>
        </w:rPr>
        <w:t>17.2 友好解决</w:t>
      </w:r>
      <w:bookmarkEnd w:id="1110"/>
      <w:bookmarkEnd w:id="1111"/>
      <w:bookmarkEnd w:id="1112"/>
      <w:bookmarkEnd w:id="1113"/>
      <w:bookmarkEnd w:id="1114"/>
      <w:bookmarkEnd w:id="1115"/>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在提请争议评审、仲裁或者诉讼前，以及在争议评审、仲裁或诉讼过程中，发包人和承包人均可共同努力友好协商解决争议。</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b/>
          <w:bCs/>
          <w:color w:val="auto"/>
        </w:rPr>
      </w:pPr>
      <w:bookmarkStart w:id="1116" w:name="_Toc14267"/>
      <w:bookmarkStart w:id="1117" w:name="_Toc21423"/>
      <w:bookmarkStart w:id="1118" w:name="_Toc102"/>
      <w:bookmarkStart w:id="1119" w:name="_Toc246997077"/>
      <w:bookmarkStart w:id="1120" w:name="_Toc247085849"/>
      <w:bookmarkStart w:id="1121" w:name="_Toc246996334"/>
      <w:r>
        <w:rPr>
          <w:rFonts w:hint="eastAsia" w:ascii="宋体" w:hAnsi="宋体" w:cs="宋体"/>
          <w:b/>
          <w:bCs/>
          <w:color w:val="auto"/>
        </w:rPr>
        <w:t>17.3 争议评审</w:t>
      </w:r>
      <w:bookmarkEnd w:id="1116"/>
      <w:bookmarkEnd w:id="1117"/>
      <w:bookmarkEnd w:id="1118"/>
      <w:bookmarkEnd w:id="1119"/>
      <w:bookmarkEnd w:id="1120"/>
      <w:bookmarkEnd w:id="1121"/>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17.3.1 采用争议评审的，发包人和承包人应当在专用合同条款中约定争议评审的程序和规则，并在开工日后的28天内或在争议发生后，协商成立争议评审组。</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ascii="宋体" w:hAnsi="宋体" w:cs="宋体"/>
          <w:color w:val="auto"/>
          <w:szCs w:val="21"/>
        </w:rPr>
      </w:pPr>
      <w:r>
        <w:rPr>
          <w:rFonts w:hint="eastAsia" w:ascii="宋体" w:hAnsi="宋体" w:cs="宋体"/>
          <w:color w:val="auto"/>
          <w:szCs w:val="21"/>
        </w:rPr>
        <w:t>17.3.2 发包人和承包人接受评审意见的，由监理人根据评审意见拟定执行协议，经争议双方签字后作为合同的补充文件，并遵照执行。</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宋体"/>
          <w:color w:val="auto"/>
          <w:szCs w:val="21"/>
        </w:rPr>
      </w:pPr>
      <w:r>
        <w:rPr>
          <w:rFonts w:hint="eastAsia" w:ascii="宋体" w:hAnsi="宋体" w:cs="宋体"/>
          <w:color w:val="auto"/>
          <w:szCs w:val="21"/>
        </w:rPr>
        <w:t>17.3.3 发包人或承包人不接受评审意见，并要求提交仲裁或提起诉讼的，应在收到评审意见后的14 天内将仲裁或起诉意向书面通知另一方，并抄送监理人，但在仲裁或诉讼结束前应暂按总监理工程师的确定执行。</w:t>
      </w:r>
    </w:p>
    <w:p>
      <w:pPr>
        <w:pStyle w:val="26"/>
      </w:pPr>
    </w:p>
    <w:p>
      <w:pPr>
        <w:pStyle w:val="26"/>
      </w:pPr>
    </w:p>
    <w:p>
      <w:pPr>
        <w:pStyle w:val="26"/>
      </w:pPr>
    </w:p>
    <w:p>
      <w:pPr>
        <w:pStyle w:val="26"/>
      </w:pPr>
    </w:p>
    <w:p>
      <w:pPr>
        <w:pStyle w:val="26"/>
      </w:pPr>
    </w:p>
    <w:p>
      <w:pPr>
        <w:pStyle w:val="26"/>
      </w:pPr>
    </w:p>
    <w:p>
      <w:pPr>
        <w:pStyle w:val="26"/>
      </w:pPr>
    </w:p>
    <w:p>
      <w:pPr>
        <w:pStyle w:val="26"/>
      </w:pPr>
    </w:p>
    <w:p>
      <w:pPr>
        <w:pStyle w:val="26"/>
      </w:pPr>
    </w:p>
    <w:p>
      <w:pPr>
        <w:pStyle w:val="26"/>
      </w:pPr>
    </w:p>
    <w:p>
      <w:pPr>
        <w:pStyle w:val="26"/>
      </w:pPr>
    </w:p>
    <w:p>
      <w:pPr>
        <w:pStyle w:val="26"/>
      </w:pPr>
    </w:p>
    <w:p>
      <w:pPr>
        <w:pStyle w:val="26"/>
      </w:pPr>
    </w:p>
    <w:p>
      <w:pPr>
        <w:pStyle w:val="26"/>
      </w:pPr>
    </w:p>
    <w:p>
      <w:pPr>
        <w:pStyle w:val="26"/>
      </w:pPr>
    </w:p>
    <w:p>
      <w:pPr>
        <w:pStyle w:val="26"/>
      </w:pPr>
    </w:p>
    <w:p>
      <w:pPr>
        <w:pStyle w:val="26"/>
      </w:pPr>
    </w:p>
    <w:p>
      <w:pPr>
        <w:pStyle w:val="26"/>
      </w:pPr>
    </w:p>
    <w:p>
      <w:pPr>
        <w:pStyle w:val="26"/>
      </w:pPr>
    </w:p>
    <w:p>
      <w:pPr>
        <w:pStyle w:val="26"/>
      </w:pPr>
    </w:p>
    <w:p>
      <w:pPr>
        <w:pStyle w:val="26"/>
      </w:pPr>
    </w:p>
    <w:p>
      <w:pPr>
        <w:pStyle w:val="26"/>
      </w:pPr>
    </w:p>
    <w:p>
      <w:pPr>
        <w:pStyle w:val="26"/>
      </w:pPr>
    </w:p>
    <w:p>
      <w:pPr>
        <w:pStyle w:val="26"/>
      </w:pPr>
    </w:p>
    <w:p>
      <w:pPr>
        <w:pStyle w:val="26"/>
      </w:pPr>
    </w:p>
    <w:p>
      <w:pPr>
        <w:keepNext/>
        <w:keepLines/>
        <w:jc w:val="center"/>
        <w:rPr>
          <w:rFonts w:ascii="宋体" w:hAnsi="宋体" w:cs="宋体"/>
          <w:sz w:val="32"/>
          <w:szCs w:val="32"/>
          <w:highlight w:val="none"/>
        </w:rPr>
      </w:pPr>
      <w:bookmarkStart w:id="1122" w:name="_Toc17518"/>
      <w:bookmarkStart w:id="1123" w:name="_Toc16937"/>
      <w:bookmarkStart w:id="1124" w:name="_Toc473"/>
      <w:bookmarkStart w:id="1125" w:name="_Toc15532"/>
      <w:bookmarkStart w:id="1126" w:name="_Toc26250"/>
      <w:bookmarkStart w:id="1127" w:name="_Toc247085850"/>
      <w:bookmarkStart w:id="1128" w:name="_Toc8767"/>
      <w:bookmarkStart w:id="1129" w:name="_Toc21531"/>
      <w:bookmarkStart w:id="1130" w:name="_Toc246997078"/>
      <w:bookmarkStart w:id="1131" w:name="_Toc19296"/>
      <w:bookmarkStart w:id="1132" w:name="_Toc246996335"/>
      <w:r>
        <w:rPr>
          <w:rFonts w:hint="eastAsia" w:ascii="宋体" w:hAnsi="宋体" w:cs="宋体"/>
          <w:sz w:val="32"/>
          <w:szCs w:val="32"/>
          <w:highlight w:val="none"/>
        </w:rPr>
        <w:t>第二节 专用合同条款</w:t>
      </w:r>
      <w:bookmarkEnd w:id="1122"/>
      <w:bookmarkEnd w:id="1123"/>
      <w:bookmarkEnd w:id="1124"/>
      <w:bookmarkEnd w:id="1125"/>
      <w:bookmarkEnd w:id="1126"/>
      <w:bookmarkEnd w:id="1127"/>
      <w:bookmarkEnd w:id="1128"/>
      <w:bookmarkEnd w:id="1129"/>
      <w:bookmarkEnd w:id="1130"/>
      <w:bookmarkEnd w:id="1131"/>
      <w:bookmarkEnd w:id="1132"/>
      <w:bookmarkStart w:id="1133" w:name="_Toc144974826"/>
      <w:bookmarkStart w:id="1134" w:name="_Toc179632785"/>
      <w:bookmarkStart w:id="1135" w:name="_Toc152042546"/>
      <w:bookmarkStart w:id="1136" w:name="_Toc152045767"/>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1.一般约定</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1.1词语定义</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1.1.2合同当事人和人员</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1.1.2.2发包人：</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      发包人驻工地代表：</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1.1.2.3承包人：</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      建造师：</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1.1.2.6监理人：</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      总监理工程师：</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1.1.3工程和设备</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1.1.3.2永久工程：</w:t>
      </w:r>
      <w:r>
        <w:rPr>
          <w:rFonts w:hint="eastAsia" w:asciiTheme="minorEastAsia" w:hAnsiTheme="minorEastAsia" w:eastAsiaTheme="minorEastAsia" w:cstheme="minorEastAsia"/>
          <w:highlight w:val="none"/>
          <w:u w:val="single"/>
        </w:rPr>
        <w:t xml:space="preserve">（项目名称）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1.1.3.3临时工程：</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1.1.3.4单位工程：</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1.1.3.10永久占地：</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1.1.3.11临时占地：</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1.1.4日期</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1.1.4.2开工日期：计划开工日期  年 月 日</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1.1.4.4竣工日期：计划竣工日期  年 月 日</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1.1.4.5缺陷责任期：</w:t>
      </w:r>
      <w:r>
        <w:rPr>
          <w:rFonts w:hint="eastAsia" w:asciiTheme="minorEastAsia" w:hAnsiTheme="minorEastAsia" w:eastAsiaTheme="minorEastAsia" w:cstheme="minorEastAsia"/>
          <w:highlight w:val="none"/>
          <w:u w:val="single"/>
        </w:rPr>
        <w:t xml:space="preserve">      24个月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1.4合同文件的优先顺序解释顺序为：</w:t>
      </w:r>
      <w:r>
        <w:rPr>
          <w:rFonts w:hint="eastAsia" w:asciiTheme="minorEastAsia" w:hAnsiTheme="minorEastAsia" w:eastAsiaTheme="minorEastAsia" w:cstheme="minorEastAsia"/>
          <w:highlight w:val="none"/>
          <w:u w:val="single"/>
        </w:rPr>
        <w:t>①专用合同条款、②合同协议书、③中标通知书④投标文件、⑤招标文件及相关文件、⑥通用合同条款、⑦技术标准和要求、⑧图纸、⑨其它合同文件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1.5合同生效的条件：</w:t>
      </w:r>
      <w:r>
        <w:rPr>
          <w:rFonts w:hint="eastAsia" w:asciiTheme="minorEastAsia" w:hAnsiTheme="minorEastAsia" w:eastAsiaTheme="minorEastAsia" w:cstheme="minorEastAsia"/>
          <w:highlight w:val="none"/>
          <w:u w:val="single"/>
        </w:rPr>
        <w:t xml:space="preserve">经双方签字确认盖章后生效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1.6图纸和承包人文件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1.6.1发包人提供图纸的期限、数量：</w:t>
      </w:r>
      <w:r>
        <w:rPr>
          <w:rFonts w:hint="eastAsia" w:asciiTheme="minorEastAsia" w:hAnsiTheme="minorEastAsia" w:eastAsiaTheme="minorEastAsia" w:cstheme="minorEastAsia"/>
          <w:highlight w:val="none"/>
          <w:u w:val="single"/>
        </w:rPr>
        <w:t>开工前14天内提供图纸  套</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1.6.2承包人提供的文件范围：</w:t>
      </w:r>
      <w:r>
        <w:rPr>
          <w:rFonts w:hint="eastAsia" w:asciiTheme="minorEastAsia" w:hAnsiTheme="minorEastAsia" w:eastAsiaTheme="minorEastAsia" w:cstheme="minorEastAsia"/>
          <w:highlight w:val="none"/>
          <w:u w:val="single"/>
        </w:rPr>
        <w:t>（根据具体工程情况填写）</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 xml:space="preserve">      承包人提供的文件期限、数量：</w:t>
      </w:r>
      <w:r>
        <w:rPr>
          <w:rFonts w:hint="eastAsia" w:asciiTheme="minorEastAsia" w:hAnsiTheme="minorEastAsia" w:eastAsiaTheme="minorEastAsia" w:cstheme="minorEastAsia"/>
          <w:highlight w:val="none"/>
          <w:u w:val="single"/>
        </w:rPr>
        <w:t>（按双方协商约定填写）</w:t>
      </w:r>
    </w:p>
    <w:p>
      <w:pPr>
        <w:keepNext w:val="0"/>
        <w:keepLines w:val="0"/>
        <w:pageBreakBefore w:val="0"/>
        <w:widowControl w:val="0"/>
        <w:kinsoku/>
        <w:wordWrap/>
        <w:overflowPunct/>
        <w:topLinePunct w:val="0"/>
        <w:autoSpaceDE/>
        <w:autoSpaceDN/>
        <w:bidi w:val="0"/>
        <w:adjustRightInd/>
        <w:snapToGrid/>
        <w:spacing w:line="440" w:lineRule="exact"/>
        <w:ind w:firstLine="1050" w:firstLineChars="5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 xml:space="preserve">监理人批复承包人提供文件的期限：  </w:t>
      </w:r>
      <w:r>
        <w:rPr>
          <w:rFonts w:hint="eastAsia" w:asciiTheme="minorEastAsia" w:hAnsiTheme="minorEastAsia" w:eastAsiaTheme="minorEastAsia" w:cstheme="minorEastAsia"/>
          <w:highlight w:val="none"/>
          <w:u w:val="single"/>
        </w:rPr>
        <w:t xml:space="preserve"> 收到承包人提供的文件后14天内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1.6.3监理人签发图纸修改的期限：不少于该项工作施工前14天</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1.7联络</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1.7.2联络送达的期限：两天内送达，送达地点：</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2.发包人义务</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2.3提供施工场地</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发包人提供施工场地和有关资料的时间：</w:t>
      </w:r>
      <w:r>
        <w:rPr>
          <w:rFonts w:hint="eastAsia" w:asciiTheme="minorEastAsia" w:hAnsiTheme="minorEastAsia" w:eastAsiaTheme="minorEastAsia" w:cstheme="minorEastAsia"/>
          <w:highlight w:val="none"/>
          <w:u w:val="single"/>
        </w:rPr>
        <w:t>开工之日前14天（如工程地质报告、地下管线图等）</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3.监理人</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3.1监理人的职责和权力</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3.1.1须经发包人批准行使的权力：如：</w:t>
      </w:r>
      <w:r>
        <w:rPr>
          <w:rFonts w:hint="eastAsia" w:asciiTheme="minorEastAsia" w:hAnsiTheme="minorEastAsia" w:eastAsiaTheme="minorEastAsia" w:cstheme="minorEastAsia"/>
          <w:highlight w:val="none"/>
          <w:u w:val="single"/>
        </w:rPr>
        <w:t>开工令、工程款支付、工程变更等</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4.承包人</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4.1承包人的一般义务</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补充规定：</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4.1.10　其它义务</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承包人承诺负责协调与地方村民和政府的关系，排除一切施工环境干扰，</w:t>
      </w:r>
      <w:r>
        <w:rPr>
          <w:rFonts w:hint="eastAsia" w:asciiTheme="minorEastAsia" w:hAnsiTheme="minorEastAsia" w:eastAsiaTheme="minorEastAsia" w:cstheme="minorEastAsia"/>
          <w:highlight w:val="none"/>
          <w:lang w:eastAsia="zh-CN"/>
        </w:rPr>
        <w:t>实行绿色施工，</w:t>
      </w:r>
      <w:r>
        <w:rPr>
          <w:rFonts w:hint="eastAsia" w:asciiTheme="minorEastAsia" w:hAnsiTheme="minorEastAsia" w:eastAsiaTheme="minorEastAsia" w:cstheme="minorEastAsia"/>
          <w:highlight w:val="none"/>
        </w:rPr>
        <w:t>并承担发生的所有费用，由此造成的工期延误，工期不予顺延，保证工程按期竣工。</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4.1.8为他人提供方便</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承包人为他人提供方便的内容：</w:t>
      </w:r>
      <w:r>
        <w:rPr>
          <w:rFonts w:hint="eastAsia" w:asciiTheme="minorEastAsia" w:hAnsiTheme="minorEastAsia" w:eastAsiaTheme="minorEastAsia" w:cstheme="minorEastAsia"/>
          <w:highlight w:val="none"/>
          <w:u w:val="single"/>
        </w:rPr>
        <w:t>施工用地、水、电、道路等</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承包人为他人提供方便可能发生费用的处理方法：</w:t>
      </w:r>
      <w:r>
        <w:rPr>
          <w:rFonts w:hint="eastAsia" w:asciiTheme="minorEastAsia" w:hAnsiTheme="minorEastAsia" w:eastAsiaTheme="minorEastAsia" w:cstheme="minorEastAsia"/>
          <w:highlight w:val="none"/>
          <w:u w:val="single"/>
        </w:rPr>
        <w:t>费用由承包人或使用者支付</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4.5承包人项目经理</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4.5.1承包人的项目经理必须与承包人投标时所承诺的人员一致。在监理人颁发本工程工程接收证书前，项目经理不得同时兼任其它任何项目的项目经理。除非经过发包人书面许可，承包人不得更换项目经理。</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项目经理姓名：</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职称：</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注册职业资格证书：</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项目经理职权：</w:t>
      </w:r>
      <w:r>
        <w:rPr>
          <w:rFonts w:hint="eastAsia" w:asciiTheme="minorEastAsia" w:hAnsiTheme="minorEastAsia" w:eastAsiaTheme="minorEastAsia" w:cstheme="minorEastAsia"/>
          <w:highlight w:val="none"/>
          <w:u w:val="single"/>
        </w:rPr>
        <w:t>按通用条款4.3执行</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项目经理到任期限：</w:t>
      </w:r>
      <w:r>
        <w:rPr>
          <w:rFonts w:hint="eastAsia" w:asciiTheme="minorEastAsia" w:hAnsiTheme="minorEastAsia" w:eastAsiaTheme="minorEastAsia" w:cstheme="minorEastAsia"/>
          <w:highlight w:val="none"/>
          <w:u w:val="single"/>
        </w:rPr>
        <w:t>本工程竣工验收合格后</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4.11不利物质条件</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4.11.1不利物质条件的范围：</w:t>
      </w:r>
      <w:r>
        <w:rPr>
          <w:rFonts w:hint="eastAsia" w:asciiTheme="minorEastAsia" w:hAnsiTheme="minorEastAsia" w:eastAsiaTheme="minorEastAsia" w:cstheme="minorEastAsia"/>
          <w:highlight w:val="none"/>
          <w:u w:val="single"/>
        </w:rPr>
        <w:t>（根据工程特点双方约定）</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5.材料和工程设备</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5.1承包人提供的材料和工程设备</w:t>
      </w:r>
      <w:r>
        <w:rPr>
          <w:rFonts w:hint="eastAsia" w:asciiTheme="minorEastAsia" w:hAnsiTheme="minorEastAsia" w:eastAsiaTheme="minorEastAsia" w:cstheme="minorEastAsia"/>
          <w:highlight w:val="none"/>
          <w:lang w:eastAsia="zh-CN"/>
        </w:rPr>
        <w:t>（工程设备须符合环保要求）</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5.1.1承包人负责采购、运输和保管的材料、工程设备：</w:t>
      </w:r>
      <w:r>
        <w:rPr>
          <w:rFonts w:hint="eastAsia" w:asciiTheme="minorEastAsia" w:hAnsiTheme="minorEastAsia" w:eastAsiaTheme="minorEastAsia" w:cstheme="minorEastAsia"/>
          <w:szCs w:val="21"/>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5.1.2承包人报送监理人审批的时间：</w:t>
      </w:r>
      <w:r>
        <w:rPr>
          <w:rFonts w:hint="eastAsia" w:asciiTheme="minorEastAsia" w:hAnsiTheme="minorEastAsia" w:eastAsiaTheme="minorEastAsia" w:cstheme="minorEastAsia"/>
          <w:highlight w:val="none"/>
          <w:u w:val="single"/>
        </w:rPr>
        <w:t>供货前  天内</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6.进度计划</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6.1合同进度计划</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承包人编制施工方案的内容：</w:t>
      </w:r>
      <w:r>
        <w:rPr>
          <w:rFonts w:hint="eastAsia" w:asciiTheme="minorEastAsia" w:hAnsiTheme="minorEastAsia" w:eastAsiaTheme="minorEastAsia" w:cstheme="minorEastAsia"/>
          <w:highlight w:val="none"/>
          <w:u w:val="single"/>
        </w:rPr>
        <w:t>施工组织设计专项安全施工方案等</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承包人报送施工进度计划和施工方案的期限：</w:t>
      </w:r>
      <w:r>
        <w:rPr>
          <w:rFonts w:hint="eastAsia" w:asciiTheme="minorEastAsia" w:hAnsiTheme="minorEastAsia" w:eastAsiaTheme="minorEastAsia" w:cstheme="minorEastAsia"/>
          <w:highlight w:val="none"/>
          <w:u w:val="single"/>
        </w:rPr>
        <w:t>报送施工进度计划为每月25日前；报送施工方案为开工前七天内</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监理人批复施工进度计划和施工方案的期限：</w:t>
      </w:r>
      <w:r>
        <w:rPr>
          <w:rFonts w:hint="eastAsia" w:asciiTheme="minorEastAsia" w:hAnsiTheme="minorEastAsia" w:eastAsiaTheme="minorEastAsia" w:cstheme="minorEastAsia"/>
          <w:highlight w:val="none"/>
          <w:u w:val="single"/>
        </w:rPr>
        <w:t>收到方案后七天内</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7.变更的程序和原则</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变更的原则： 按通用条款执行。相关细节为：</w:t>
      </w:r>
      <w:r>
        <w:rPr>
          <w:rFonts w:hint="eastAsia" w:asciiTheme="minorEastAsia" w:hAnsiTheme="minorEastAsia" w:eastAsiaTheme="minorEastAsia" w:cstheme="minorEastAsia"/>
          <w:highlight w:val="none"/>
          <w:u w:val="single"/>
        </w:rPr>
        <w:t>发包人写出书面报告报政府主管部门及政府相关领导批准；设计部门提出变更意见；审计部门审核；报财政部门备案后作相应变更。</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8.本项目应接受温县审计部门的事前、事中、事后的审计监督工作。工程量变更部分以温县审计部门审计后的结果为准。</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9.物价波动引起的价格调整</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物价波动引起的价格调整方法：本合同不考虑物价涨跌因素。</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10. 本项目无预付款。</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 竣工验收程序：工程竣工后，承包人应按照通用条款的约定向发包人报送竣工书面的验收申请报告。发包人在收到申请后及时会同财政、审计、监察、质检等单位进行工程验收，并于收到申请后30日内完成验收工作。发包人在完成竣工验收后10个工作日内向审计部门报送竣工决算相关资料。</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b/>
          <w:highlight w:val="none"/>
        </w:rPr>
      </w:pPr>
      <w:r>
        <w:rPr>
          <w:rFonts w:hint="eastAsia" w:asciiTheme="minorEastAsia" w:hAnsiTheme="minorEastAsia" w:eastAsiaTheme="minorEastAsia" w:cstheme="minorEastAsia"/>
          <w:b/>
          <w:highlight w:val="none"/>
        </w:rPr>
        <w:t>12.工程款支付方法：</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b/>
          <w:color w:val="FF0000"/>
          <w:highlight w:val="none"/>
        </w:rPr>
      </w:pPr>
      <w:r>
        <w:rPr>
          <w:rFonts w:hint="eastAsia" w:asciiTheme="minorEastAsia" w:hAnsiTheme="minorEastAsia" w:eastAsiaTheme="minorEastAsia" w:cstheme="minorEastAsia"/>
          <w:b/>
          <w:bCs/>
          <w:color w:val="FF0000"/>
        </w:rPr>
        <w:t>工程</w:t>
      </w:r>
      <w:r>
        <w:rPr>
          <w:rFonts w:hint="eastAsia" w:asciiTheme="minorEastAsia" w:hAnsiTheme="minorEastAsia" w:eastAsiaTheme="minorEastAsia" w:cstheme="minorEastAsia"/>
          <w:b/>
          <w:bCs/>
          <w:color w:val="FF0000"/>
          <w:lang w:eastAsia="zh-CN"/>
        </w:rPr>
        <w:t>完成总工程量的</w:t>
      </w:r>
      <w:r>
        <w:rPr>
          <w:rFonts w:hint="eastAsia" w:asciiTheme="minorEastAsia" w:hAnsiTheme="minorEastAsia" w:eastAsiaTheme="minorEastAsia" w:cstheme="minorEastAsia"/>
          <w:b/>
          <w:bCs/>
          <w:color w:val="FF0000"/>
          <w:lang w:val="en-US" w:eastAsia="zh-CN"/>
        </w:rPr>
        <w:t>60%支付至合同总价款的30%，</w:t>
      </w:r>
      <w:r>
        <w:rPr>
          <w:rFonts w:hint="eastAsia" w:asciiTheme="minorEastAsia" w:hAnsiTheme="minorEastAsia" w:eastAsiaTheme="minorEastAsia" w:cstheme="minorEastAsia"/>
          <w:b/>
          <w:bCs/>
          <w:color w:val="FF0000"/>
        </w:rPr>
        <w:t>竣工验收合格</w:t>
      </w:r>
      <w:r>
        <w:rPr>
          <w:rFonts w:hint="eastAsia" w:asciiTheme="minorEastAsia" w:hAnsiTheme="minorEastAsia" w:eastAsiaTheme="minorEastAsia" w:cstheme="minorEastAsia"/>
          <w:b/>
          <w:color w:val="FF0000"/>
          <w:highlight w:val="none"/>
        </w:rPr>
        <w:t>后支付至合同总价款的</w:t>
      </w:r>
      <w:r>
        <w:rPr>
          <w:rFonts w:hint="eastAsia" w:asciiTheme="minorEastAsia" w:hAnsiTheme="minorEastAsia" w:eastAsiaTheme="minorEastAsia" w:cstheme="minorEastAsia"/>
          <w:b/>
          <w:color w:val="FF0000"/>
          <w:highlight w:val="none"/>
          <w:lang w:val="en-US" w:eastAsia="zh-CN"/>
        </w:rPr>
        <w:t>6</w:t>
      </w:r>
      <w:r>
        <w:rPr>
          <w:rFonts w:hint="eastAsia" w:asciiTheme="minorEastAsia" w:hAnsiTheme="minorEastAsia" w:eastAsiaTheme="minorEastAsia" w:cstheme="minorEastAsia"/>
          <w:b/>
          <w:color w:val="FF0000"/>
          <w:highlight w:val="none"/>
        </w:rPr>
        <w:t>0%，</w:t>
      </w:r>
      <w:r>
        <w:rPr>
          <w:rFonts w:hint="eastAsia" w:asciiTheme="minorEastAsia" w:hAnsiTheme="minorEastAsia" w:eastAsiaTheme="minorEastAsia" w:cstheme="minorEastAsia"/>
          <w:b/>
          <w:bCs/>
          <w:color w:val="FF0000"/>
          <w:lang w:eastAsia="zh-CN"/>
        </w:rPr>
        <w:t>经审计</w:t>
      </w:r>
      <w:r>
        <w:rPr>
          <w:rFonts w:hint="eastAsia" w:asciiTheme="minorEastAsia" w:hAnsiTheme="minorEastAsia" w:eastAsiaTheme="minorEastAsia" w:cstheme="minorEastAsia"/>
          <w:b/>
          <w:bCs/>
          <w:color w:val="FF0000"/>
          <w:szCs w:val="21"/>
        </w:rPr>
        <w:t>决算后，</w:t>
      </w:r>
      <w:r>
        <w:rPr>
          <w:rFonts w:hint="eastAsia" w:asciiTheme="minorEastAsia" w:hAnsiTheme="minorEastAsia" w:eastAsiaTheme="minorEastAsia" w:cstheme="minorEastAsia"/>
          <w:b/>
          <w:bCs/>
          <w:color w:val="FF0000"/>
        </w:rPr>
        <w:t>支付</w:t>
      </w:r>
      <w:r>
        <w:rPr>
          <w:rFonts w:hint="eastAsia" w:asciiTheme="minorEastAsia" w:hAnsiTheme="minorEastAsia" w:eastAsiaTheme="minorEastAsia" w:cstheme="minorEastAsia"/>
          <w:b/>
          <w:bCs/>
          <w:color w:val="FF0000"/>
          <w:lang w:eastAsia="zh-CN"/>
        </w:rPr>
        <w:t>至</w:t>
      </w:r>
      <w:r>
        <w:rPr>
          <w:rFonts w:hint="eastAsia" w:asciiTheme="minorEastAsia" w:hAnsiTheme="minorEastAsia" w:eastAsiaTheme="minorEastAsia" w:cstheme="minorEastAsia"/>
          <w:b/>
          <w:bCs/>
          <w:color w:val="FF0000"/>
        </w:rPr>
        <w:t>合同总价款</w:t>
      </w:r>
      <w:r>
        <w:rPr>
          <w:rFonts w:hint="eastAsia" w:asciiTheme="minorEastAsia" w:hAnsiTheme="minorEastAsia" w:eastAsiaTheme="minorEastAsia" w:cstheme="minorEastAsia"/>
          <w:b/>
          <w:color w:val="FF0000"/>
          <w:highlight w:val="none"/>
        </w:rPr>
        <w:t>97%，剩余3%</w:t>
      </w:r>
      <w:r>
        <w:rPr>
          <w:rFonts w:hint="eastAsia" w:asciiTheme="minorEastAsia" w:hAnsiTheme="minorEastAsia" w:eastAsiaTheme="minorEastAsia" w:cstheme="minorEastAsia"/>
          <w:b/>
          <w:color w:val="FF0000"/>
          <w:highlight w:val="none"/>
          <w:lang w:eastAsia="zh-CN"/>
        </w:rPr>
        <w:t>为</w:t>
      </w:r>
      <w:r>
        <w:rPr>
          <w:rFonts w:hint="eastAsia" w:asciiTheme="minorEastAsia" w:hAnsiTheme="minorEastAsia" w:eastAsiaTheme="minorEastAsia" w:cstheme="minorEastAsia"/>
          <w:b/>
          <w:color w:val="FF0000"/>
          <w:highlight w:val="none"/>
        </w:rPr>
        <w:t>质量保证金，待一年后工程无质量问题退付。</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13.质量保证金</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13.1质量保证金的金额或比例：合同总价款的3%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 xml:space="preserve">质量保证金的扣留方法： </w:t>
      </w:r>
      <w:r>
        <w:rPr>
          <w:rFonts w:hint="eastAsia" w:asciiTheme="minorEastAsia" w:hAnsiTheme="minorEastAsia" w:eastAsiaTheme="minorEastAsia" w:cstheme="minorEastAsia"/>
          <w:highlight w:val="none"/>
          <w:u w:val="single"/>
        </w:rPr>
        <w:t xml:space="preserve"> 竣工验收合格后支付工程款时一次性扣除。</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14计量：承包人对已完成的工程量向监理人员提供已完成工程量报表和有关计量资料，向发包人提供付款申请单，并提交工程所在地审计部门审核后报请财政部门。</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15违约责任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15.1逾期交付的违约责任</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因承包人原因，致使本合同项目未能按期竣工的，承包人应从本合同约定的竣工之日起、按本项目工程造价的千分之一对发包人承担逾期交付的违约金，但合计的逾期交付违约金总额不超过本项目工程造价总额的百分之三十。</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因发包人原因，如征地搬迁等原因致使工期延误的，工期相应顺延。</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因不可抗力原因，致使工期延误的，工期相应顺延；但在不可抗力因素发生之前，由于承包人单方违约已经造成工程延误的，即使因不可抗力所产生的建设工程实质性损坏等风险责任，仍应由承包人承担，承包人不得因此主张免责。</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15.2逾期超过60日仍未竣工的，或者本项目实施期间，因承包人单方面原因擅自停工超过15日的，则发包人有权解除合同，对承包人已完工的工程量经温县审计部门审核确认后，发包人有权将该项目转包他人实施。因此给发包人造成损失，优先从履约担保金中扣除，履约担保金不足支付损失的，则承包人应按实际损失对发包人承担赔偿责任；承包人另应按实际损失的百分之二十对发包人承担违约金。</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15.3其它违约情形的违约赔偿金</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 如果一方（非违约方）声明其它方（违约方）违约并提供违约事实的证明 ，并且该违约导致本合同不能履行或不能完全履行，则非违约方有权要求违约方承担违约责任，违约方应在收到上述声明及证明之日起 30 日内就违约造成的损失予以赔偿，如果非违约方因违约方违约导致本合同不能履行而终止本合同时在不免除任何一方的其它支付义务前提下，违约方另应向非违约方支付违约部分损失的百分之二十作为违约赔偿金。</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16 项目款支付的特别限制约定</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在本项目实施期间，承包人应及时支付工人工资；否则，在本项目付款期间，发包人有权从应付承包人的项目款中扣减支付相应款项或者暂停支付相应款项，确保避免因本项目产生债务纠纷。</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17 发包人和承包人必须按照招标文件和中标人的投标文件订立合同，不得签订背离招标文件实质性内容的协议，否则，所签订合同无效。</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18争议的解决办法</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（1）双方协商或请主管行政部门调解；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（2）由温县人民法院管辖。争议标的超出温县人民法院管辖权限的，则由焦作市中级人民法院管辖。争议标的超出焦作市中级人民法院管辖权限的，则由河南省高级人民法院管辖。</w:t>
      </w:r>
    </w:p>
    <w:p>
      <w:pPr>
        <w:spacing w:line="400" w:lineRule="exact"/>
        <w:ind w:firstLine="420" w:firstLineChars="200"/>
        <w:rPr>
          <w:rFonts w:ascii="宋体" w:hAnsi="宋体" w:cs="宋体"/>
          <w:highlight w:val="none"/>
        </w:rPr>
      </w:pPr>
    </w:p>
    <w:p>
      <w:pPr>
        <w:spacing w:line="400" w:lineRule="exact"/>
        <w:ind w:firstLine="420" w:firstLineChars="200"/>
        <w:rPr>
          <w:rFonts w:ascii="宋体" w:hAnsi="宋体" w:cs="宋体"/>
          <w:highlight w:val="none"/>
        </w:rPr>
      </w:pPr>
    </w:p>
    <w:p>
      <w:pPr>
        <w:spacing w:line="400" w:lineRule="exact"/>
        <w:ind w:firstLine="420" w:firstLineChars="200"/>
        <w:rPr>
          <w:rFonts w:ascii="宋体" w:hAnsi="宋体" w:cs="宋体"/>
          <w:highlight w:val="none"/>
        </w:rPr>
      </w:pPr>
    </w:p>
    <w:p>
      <w:pPr>
        <w:spacing w:line="400" w:lineRule="exact"/>
        <w:ind w:firstLine="420" w:firstLineChars="200"/>
        <w:rPr>
          <w:rFonts w:ascii="宋体" w:hAnsi="宋体" w:cs="宋体"/>
          <w:highlight w:val="none"/>
        </w:rPr>
      </w:pPr>
    </w:p>
    <w:p>
      <w:pPr>
        <w:spacing w:line="400" w:lineRule="exact"/>
        <w:ind w:firstLine="420" w:firstLineChars="200"/>
        <w:rPr>
          <w:rFonts w:ascii="宋体" w:hAnsi="宋体" w:cs="宋体"/>
          <w:highlight w:val="none"/>
        </w:rPr>
      </w:pPr>
    </w:p>
    <w:p>
      <w:pPr>
        <w:spacing w:line="400" w:lineRule="exact"/>
        <w:ind w:firstLine="420" w:firstLineChars="200"/>
        <w:rPr>
          <w:rFonts w:ascii="宋体" w:hAnsi="宋体" w:cs="宋体"/>
          <w:highlight w:val="none"/>
        </w:rPr>
      </w:pPr>
    </w:p>
    <w:p>
      <w:pPr>
        <w:spacing w:line="400" w:lineRule="exact"/>
        <w:ind w:firstLine="420" w:firstLineChars="200"/>
        <w:rPr>
          <w:rFonts w:ascii="宋体" w:hAnsi="宋体" w:cs="宋体"/>
          <w:highlight w:val="none"/>
        </w:rPr>
      </w:pPr>
    </w:p>
    <w:p>
      <w:pPr>
        <w:pStyle w:val="26"/>
        <w:rPr>
          <w:rFonts w:ascii="宋体" w:hAnsi="宋体" w:cs="宋体"/>
          <w:highlight w:val="none"/>
        </w:rPr>
      </w:pPr>
    </w:p>
    <w:p>
      <w:pPr>
        <w:pStyle w:val="26"/>
        <w:rPr>
          <w:rFonts w:ascii="宋体" w:hAnsi="宋体" w:cs="宋体"/>
          <w:highlight w:val="none"/>
        </w:rPr>
      </w:pPr>
    </w:p>
    <w:p>
      <w:pPr>
        <w:pStyle w:val="26"/>
        <w:rPr>
          <w:rFonts w:ascii="宋体" w:hAnsi="宋体" w:cs="宋体"/>
          <w:highlight w:val="none"/>
        </w:rPr>
      </w:pPr>
    </w:p>
    <w:p>
      <w:pPr>
        <w:pStyle w:val="26"/>
        <w:rPr>
          <w:rFonts w:ascii="宋体" w:hAnsi="宋体" w:cs="宋体"/>
          <w:highlight w:val="none"/>
        </w:rPr>
      </w:pPr>
    </w:p>
    <w:p>
      <w:pPr>
        <w:pStyle w:val="26"/>
        <w:rPr>
          <w:rFonts w:ascii="宋体" w:hAnsi="宋体" w:cs="宋体"/>
          <w:highlight w:val="none"/>
        </w:rPr>
      </w:pPr>
    </w:p>
    <w:p>
      <w:pPr>
        <w:spacing w:line="400" w:lineRule="exact"/>
        <w:ind w:firstLine="420" w:firstLineChars="200"/>
        <w:rPr>
          <w:rFonts w:ascii="宋体" w:hAnsi="宋体" w:cs="宋体"/>
          <w:highlight w:val="none"/>
        </w:rPr>
      </w:pPr>
    </w:p>
    <w:p>
      <w:pPr>
        <w:spacing w:line="400" w:lineRule="exact"/>
        <w:rPr>
          <w:rFonts w:ascii="宋体" w:hAnsi="宋体" w:cs="宋体"/>
          <w:highlight w:val="none"/>
        </w:rPr>
      </w:pPr>
    </w:p>
    <w:p>
      <w:pPr>
        <w:spacing w:line="400" w:lineRule="exact"/>
        <w:jc w:val="center"/>
        <w:rPr>
          <w:rFonts w:ascii="宋体" w:hAnsi="宋体" w:cs="宋体"/>
          <w:b/>
          <w:sz w:val="32"/>
          <w:szCs w:val="32"/>
          <w:highlight w:val="none"/>
        </w:rPr>
      </w:pPr>
      <w:bookmarkStart w:id="1137" w:name="_Toc246996336"/>
      <w:bookmarkStart w:id="1138" w:name="_Toc7479"/>
      <w:bookmarkStart w:id="1139" w:name="_Toc22290"/>
      <w:bookmarkStart w:id="1140" w:name="_Toc24722"/>
      <w:bookmarkStart w:id="1141" w:name="_Toc28831"/>
      <w:bookmarkStart w:id="1142" w:name="_Toc11493"/>
      <w:bookmarkStart w:id="1143" w:name="_Toc19261"/>
      <w:bookmarkStart w:id="1144" w:name="_Toc21388"/>
      <w:bookmarkStart w:id="1145" w:name="_Toc246997079"/>
      <w:bookmarkStart w:id="1146" w:name="_Toc247085851"/>
      <w:bookmarkStart w:id="1147" w:name="_Toc12522"/>
      <w:r>
        <w:rPr>
          <w:rFonts w:hint="eastAsia" w:ascii="宋体" w:hAnsi="宋体" w:cs="宋体"/>
          <w:b/>
          <w:sz w:val="32"/>
          <w:szCs w:val="32"/>
          <w:highlight w:val="none"/>
        </w:rPr>
        <w:t>第三节 合同附件格式</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pPr>
        <w:rPr>
          <w:rFonts w:ascii="宋体" w:hAnsi="宋体" w:cs="宋体"/>
          <w:highlight w:val="none"/>
        </w:rPr>
      </w:pPr>
    </w:p>
    <w:p>
      <w:pPr>
        <w:spacing w:line="400" w:lineRule="exact"/>
        <w:rPr>
          <w:rFonts w:ascii="宋体" w:hAnsi="宋体" w:cs="宋体"/>
          <w:b/>
          <w:sz w:val="32"/>
          <w:szCs w:val="32"/>
          <w:highlight w:val="none"/>
        </w:rPr>
      </w:pPr>
      <w:bookmarkStart w:id="1148" w:name="_Toc152045768"/>
      <w:bookmarkStart w:id="1149" w:name="_Toc179632786"/>
      <w:bookmarkStart w:id="1150" w:name="_Toc246996337"/>
      <w:bookmarkStart w:id="1151" w:name="_Toc144974827"/>
      <w:bookmarkStart w:id="1152" w:name="_Toc246997080"/>
      <w:bookmarkStart w:id="1153" w:name="_Toc152042547"/>
      <w:bookmarkStart w:id="1154" w:name="_Toc247085852"/>
      <w:r>
        <w:rPr>
          <w:rFonts w:hint="eastAsia" w:ascii="宋体" w:hAnsi="宋体" w:cs="宋体"/>
          <w:b/>
          <w:sz w:val="32"/>
          <w:szCs w:val="32"/>
          <w:highlight w:val="none"/>
        </w:rPr>
        <w:t>附件一：合同协议书</w:t>
      </w:r>
      <w:bookmarkEnd w:id="1148"/>
      <w:bookmarkEnd w:id="1149"/>
      <w:bookmarkEnd w:id="1150"/>
      <w:bookmarkEnd w:id="1151"/>
      <w:bookmarkEnd w:id="1152"/>
      <w:bookmarkEnd w:id="1153"/>
      <w:bookmarkEnd w:id="1154"/>
    </w:p>
    <w:p>
      <w:pPr>
        <w:spacing w:line="440" w:lineRule="exact"/>
        <w:jc w:val="center"/>
        <w:rPr>
          <w:rFonts w:ascii="宋体" w:hAnsi="宋体" w:cs="宋体"/>
          <w:sz w:val="28"/>
          <w:szCs w:val="28"/>
          <w:highlight w:val="none"/>
        </w:rPr>
      </w:pPr>
      <w:r>
        <w:rPr>
          <w:rFonts w:hint="eastAsia" w:ascii="宋体" w:hAnsi="宋体" w:cs="宋体"/>
          <w:sz w:val="28"/>
          <w:szCs w:val="28"/>
          <w:highlight w:val="none"/>
        </w:rPr>
        <w:t>合同协议书</w:t>
      </w:r>
    </w:p>
    <w:p>
      <w:pPr>
        <w:spacing w:line="440" w:lineRule="exact"/>
        <w:ind w:firstLine="462" w:firstLineChars="220"/>
        <w:rPr>
          <w:rFonts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（发包人名称，以下简称“发包人”）为实施</w:t>
      </w:r>
      <w:r>
        <w:rPr>
          <w:rFonts w:hint="eastAsia" w:ascii="宋体" w:hAnsi="宋体" w:cs="宋体"/>
          <w:szCs w:val="21"/>
          <w:highlight w:val="none"/>
          <w:u w:val="single"/>
        </w:rPr>
        <w:t xml:space="preserve">                  </w:t>
      </w:r>
      <w:r>
        <w:rPr>
          <w:rFonts w:hint="eastAsia" w:ascii="宋体" w:hAnsi="宋体" w:cs="宋体"/>
          <w:szCs w:val="21"/>
          <w:highlight w:val="none"/>
        </w:rPr>
        <w:t>（项目名称），已接受</w:t>
      </w:r>
      <w:r>
        <w:rPr>
          <w:rFonts w:hint="eastAsia" w:ascii="宋体" w:hAnsi="宋体" w:cs="宋体"/>
          <w:szCs w:val="21"/>
          <w:highlight w:val="none"/>
          <w:u w:val="single"/>
        </w:rPr>
        <w:t xml:space="preserve">                  </w:t>
      </w:r>
      <w:r>
        <w:rPr>
          <w:rFonts w:hint="eastAsia" w:ascii="宋体" w:hAnsi="宋体" w:cs="宋体"/>
          <w:szCs w:val="21"/>
          <w:highlight w:val="none"/>
        </w:rPr>
        <w:t>（承包人名称，以下简称“承包人”）对该项目的投标。发包人和承包人共同达成如下协议。</w:t>
      </w:r>
    </w:p>
    <w:p>
      <w:pPr>
        <w:spacing w:line="440" w:lineRule="exact"/>
        <w:ind w:firstLine="359" w:firstLineChars="171"/>
        <w:rPr>
          <w:rFonts w:ascii="宋体" w:hAnsi="宋体" w:cs="宋体"/>
          <w:szCs w:val="21"/>
          <w:highlight w:val="none"/>
        </w:rPr>
      </w:pPr>
      <w:bookmarkStart w:id="1155" w:name="_Toc152042548"/>
      <w:bookmarkStart w:id="1156" w:name="_Toc144974828"/>
      <w:r>
        <w:rPr>
          <w:rFonts w:hint="eastAsia" w:ascii="宋体" w:hAnsi="宋体" w:cs="宋体"/>
          <w:szCs w:val="21"/>
          <w:highlight w:val="none"/>
        </w:rPr>
        <w:t>1. 本协议书与下列文件一起构成合同文件：</w:t>
      </w:r>
      <w:bookmarkEnd w:id="1155"/>
      <w:bookmarkEnd w:id="1156"/>
    </w:p>
    <w:p>
      <w:pPr>
        <w:spacing w:line="440" w:lineRule="exact"/>
        <w:ind w:firstLine="718" w:firstLineChars="342"/>
        <w:rPr>
          <w:rFonts w:ascii="宋体" w:hAnsi="宋体" w:cs="宋体"/>
          <w:szCs w:val="21"/>
          <w:highlight w:val="none"/>
        </w:rPr>
      </w:pPr>
      <w:r>
        <w:rPr>
          <w:rFonts w:hint="eastAsia" w:ascii="宋体" w:hAnsi="宋体" w:cs="宋体"/>
          <w:szCs w:val="21"/>
          <w:highlight w:val="none"/>
        </w:rPr>
        <w:t>（1）中标通知书；</w:t>
      </w:r>
    </w:p>
    <w:p>
      <w:pPr>
        <w:spacing w:line="440" w:lineRule="exact"/>
        <w:ind w:firstLine="718" w:firstLineChars="342"/>
        <w:rPr>
          <w:rFonts w:ascii="宋体" w:hAnsi="宋体" w:cs="宋体"/>
          <w:szCs w:val="21"/>
          <w:highlight w:val="none"/>
        </w:rPr>
      </w:pPr>
      <w:r>
        <w:rPr>
          <w:rFonts w:hint="eastAsia" w:ascii="宋体" w:hAnsi="宋体" w:cs="宋体"/>
          <w:szCs w:val="21"/>
          <w:highlight w:val="none"/>
        </w:rPr>
        <w:t>（2）投标函及投标函附录；</w:t>
      </w:r>
    </w:p>
    <w:p>
      <w:pPr>
        <w:spacing w:line="440" w:lineRule="exact"/>
        <w:ind w:firstLine="718" w:firstLineChars="342"/>
        <w:rPr>
          <w:rFonts w:ascii="宋体" w:hAnsi="宋体" w:cs="宋体"/>
          <w:szCs w:val="21"/>
          <w:highlight w:val="none"/>
        </w:rPr>
      </w:pPr>
      <w:r>
        <w:rPr>
          <w:rFonts w:hint="eastAsia" w:ascii="宋体" w:hAnsi="宋体" w:cs="宋体"/>
          <w:szCs w:val="21"/>
          <w:highlight w:val="none"/>
        </w:rPr>
        <w:t>（3）专用合同条款；</w:t>
      </w:r>
    </w:p>
    <w:p>
      <w:pPr>
        <w:spacing w:line="440" w:lineRule="exact"/>
        <w:ind w:firstLine="718" w:firstLineChars="342"/>
        <w:rPr>
          <w:rFonts w:ascii="宋体" w:hAnsi="宋体" w:cs="宋体"/>
          <w:szCs w:val="21"/>
          <w:highlight w:val="none"/>
        </w:rPr>
      </w:pPr>
      <w:r>
        <w:rPr>
          <w:rFonts w:hint="eastAsia" w:ascii="宋体" w:hAnsi="宋体" w:cs="宋体"/>
          <w:szCs w:val="21"/>
          <w:highlight w:val="none"/>
        </w:rPr>
        <w:t>（4）通用合同条款；</w:t>
      </w:r>
    </w:p>
    <w:p>
      <w:pPr>
        <w:spacing w:line="440" w:lineRule="exact"/>
        <w:ind w:firstLine="718" w:firstLineChars="342"/>
        <w:rPr>
          <w:rFonts w:ascii="宋体" w:hAnsi="宋体" w:cs="宋体"/>
          <w:szCs w:val="21"/>
          <w:highlight w:val="none"/>
        </w:rPr>
      </w:pPr>
      <w:r>
        <w:rPr>
          <w:rFonts w:hint="eastAsia" w:ascii="宋体" w:hAnsi="宋体" w:cs="宋体"/>
          <w:szCs w:val="21"/>
          <w:highlight w:val="none"/>
        </w:rPr>
        <w:t>（5）技术标准和要求；</w:t>
      </w:r>
    </w:p>
    <w:p>
      <w:pPr>
        <w:spacing w:line="440" w:lineRule="exact"/>
        <w:ind w:firstLine="718" w:firstLineChars="342"/>
        <w:rPr>
          <w:rFonts w:ascii="宋体" w:hAnsi="宋体" w:cs="宋体"/>
          <w:szCs w:val="21"/>
          <w:highlight w:val="none"/>
        </w:rPr>
      </w:pPr>
      <w:r>
        <w:rPr>
          <w:rFonts w:hint="eastAsia" w:ascii="宋体" w:hAnsi="宋体" w:cs="宋体"/>
          <w:szCs w:val="21"/>
          <w:highlight w:val="none"/>
        </w:rPr>
        <w:t>（6）图纸；</w:t>
      </w:r>
    </w:p>
    <w:p>
      <w:pPr>
        <w:spacing w:line="440" w:lineRule="exact"/>
        <w:ind w:firstLine="718" w:firstLineChars="342"/>
        <w:rPr>
          <w:rFonts w:ascii="宋体" w:hAnsi="宋体" w:cs="宋体"/>
          <w:szCs w:val="21"/>
          <w:highlight w:val="none"/>
        </w:rPr>
      </w:pPr>
      <w:r>
        <w:rPr>
          <w:rFonts w:hint="eastAsia" w:ascii="宋体" w:hAnsi="宋体" w:cs="宋体"/>
          <w:szCs w:val="21"/>
          <w:highlight w:val="none"/>
        </w:rPr>
        <w:t>（7）已标价工程量清单；</w:t>
      </w:r>
    </w:p>
    <w:p>
      <w:pPr>
        <w:spacing w:line="440" w:lineRule="exact"/>
        <w:ind w:firstLine="718" w:firstLineChars="342"/>
        <w:rPr>
          <w:rFonts w:ascii="宋体" w:hAnsi="宋体" w:cs="宋体"/>
          <w:szCs w:val="21"/>
          <w:highlight w:val="none"/>
        </w:rPr>
      </w:pPr>
      <w:r>
        <w:rPr>
          <w:rFonts w:hint="eastAsia" w:ascii="宋体" w:hAnsi="宋体" w:cs="宋体"/>
          <w:szCs w:val="21"/>
          <w:highlight w:val="none"/>
        </w:rPr>
        <w:t>（8）其他合同文件。</w:t>
      </w:r>
    </w:p>
    <w:p>
      <w:pPr>
        <w:spacing w:line="440" w:lineRule="exact"/>
        <w:ind w:firstLine="359" w:firstLineChars="171"/>
        <w:rPr>
          <w:rFonts w:ascii="宋体" w:hAnsi="宋体" w:cs="宋体"/>
          <w:szCs w:val="21"/>
          <w:highlight w:val="none"/>
        </w:rPr>
      </w:pPr>
      <w:bookmarkStart w:id="1157" w:name="_Toc152042549"/>
      <w:bookmarkStart w:id="1158" w:name="_Toc144974829"/>
      <w:r>
        <w:rPr>
          <w:rFonts w:hint="eastAsia" w:ascii="宋体" w:hAnsi="宋体" w:cs="宋体"/>
          <w:szCs w:val="21"/>
          <w:highlight w:val="none"/>
        </w:rPr>
        <w:t>2. 上述文件互相补充和解释，如有不明确或不一致之处，以合同约定次序在先者为准。</w:t>
      </w:r>
      <w:bookmarkEnd w:id="1157"/>
      <w:bookmarkEnd w:id="1158"/>
    </w:p>
    <w:p>
      <w:pPr>
        <w:spacing w:line="440" w:lineRule="exact"/>
        <w:ind w:firstLine="359" w:firstLineChars="171"/>
        <w:rPr>
          <w:rFonts w:ascii="宋体" w:hAnsi="宋体" w:cs="宋体"/>
          <w:szCs w:val="21"/>
          <w:highlight w:val="none"/>
        </w:rPr>
      </w:pPr>
      <w:r>
        <w:rPr>
          <w:rFonts w:hint="eastAsia" w:ascii="宋体" w:hAnsi="宋体" w:cs="宋体"/>
          <w:szCs w:val="21"/>
          <w:highlight w:val="none"/>
        </w:rPr>
        <w:t>3. 签约合同价：人民币（大写）</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u w:val="single"/>
        </w:rPr>
        <w:t xml:space="preserve">        </w:t>
      </w:r>
      <w:r>
        <w:rPr>
          <w:rFonts w:hint="eastAsia" w:ascii="宋体" w:hAnsi="宋体" w:cs="宋体"/>
          <w:szCs w:val="21"/>
          <w:highlight w:val="none"/>
        </w:rPr>
        <w:t>）。</w:t>
      </w:r>
    </w:p>
    <w:p>
      <w:pPr>
        <w:spacing w:line="440" w:lineRule="exact"/>
        <w:ind w:firstLine="359" w:firstLineChars="171"/>
        <w:rPr>
          <w:rFonts w:ascii="宋体" w:hAnsi="宋体" w:cs="宋体"/>
          <w:szCs w:val="21"/>
          <w:highlight w:val="none"/>
        </w:rPr>
      </w:pPr>
      <w:r>
        <w:rPr>
          <w:rFonts w:hint="eastAsia" w:ascii="宋体" w:hAnsi="宋体" w:cs="宋体"/>
          <w:szCs w:val="21"/>
          <w:highlight w:val="none"/>
        </w:rPr>
        <w:t>4. 合同形式：</w:t>
      </w:r>
      <w:r>
        <w:rPr>
          <w:rFonts w:hint="eastAsia" w:ascii="宋体" w:hAnsi="宋体" w:cs="宋体"/>
          <w:szCs w:val="21"/>
          <w:highlight w:val="none"/>
          <w:u w:val="single"/>
        </w:rPr>
        <w:t xml:space="preserve">                  </w:t>
      </w:r>
      <w:r>
        <w:rPr>
          <w:rFonts w:hint="eastAsia" w:ascii="宋体" w:hAnsi="宋体" w:cs="宋体"/>
          <w:szCs w:val="21"/>
          <w:highlight w:val="none"/>
        </w:rPr>
        <w:t>。</w:t>
      </w:r>
    </w:p>
    <w:p>
      <w:pPr>
        <w:spacing w:line="440" w:lineRule="exact"/>
        <w:ind w:firstLine="359" w:firstLineChars="171"/>
        <w:rPr>
          <w:rFonts w:ascii="宋体" w:hAnsi="宋体" w:cs="宋体"/>
          <w:szCs w:val="21"/>
          <w:highlight w:val="none"/>
        </w:rPr>
      </w:pPr>
      <w:r>
        <w:rPr>
          <w:rFonts w:hint="eastAsia" w:ascii="宋体" w:hAnsi="宋体" w:cs="宋体"/>
          <w:szCs w:val="21"/>
          <w:highlight w:val="none"/>
        </w:rPr>
        <w:t>5. 计划开工日期：</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pPr>
        <w:spacing w:line="440" w:lineRule="exact"/>
        <w:ind w:firstLine="630" w:firstLineChars="300"/>
        <w:rPr>
          <w:rFonts w:ascii="宋体" w:hAnsi="宋体" w:cs="宋体"/>
          <w:szCs w:val="21"/>
          <w:highlight w:val="none"/>
        </w:rPr>
      </w:pPr>
      <w:r>
        <w:rPr>
          <w:rFonts w:hint="eastAsia" w:ascii="宋体" w:hAnsi="宋体" w:cs="宋体"/>
          <w:szCs w:val="21"/>
          <w:highlight w:val="none"/>
        </w:rPr>
        <w:t>计划竣工日期：</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日；工期：</w:t>
      </w:r>
      <w:r>
        <w:rPr>
          <w:rFonts w:hint="eastAsia" w:ascii="宋体" w:hAnsi="宋体" w:cs="宋体"/>
          <w:szCs w:val="21"/>
          <w:highlight w:val="none"/>
          <w:u w:val="single"/>
        </w:rPr>
        <w:t xml:space="preserve">    </w:t>
      </w:r>
      <w:r>
        <w:rPr>
          <w:rFonts w:hint="eastAsia" w:ascii="宋体" w:hAnsi="宋体" w:cs="宋体"/>
          <w:szCs w:val="21"/>
          <w:highlight w:val="none"/>
        </w:rPr>
        <w:t>日历天。</w:t>
      </w:r>
    </w:p>
    <w:p>
      <w:pPr>
        <w:spacing w:line="440" w:lineRule="exact"/>
        <w:ind w:firstLine="359" w:firstLineChars="171"/>
        <w:rPr>
          <w:rFonts w:ascii="宋体" w:hAnsi="宋体" w:cs="宋体"/>
          <w:szCs w:val="21"/>
          <w:highlight w:val="none"/>
        </w:rPr>
      </w:pPr>
      <w:r>
        <w:rPr>
          <w:rFonts w:hint="eastAsia" w:ascii="宋体" w:hAnsi="宋体" w:cs="宋体"/>
          <w:szCs w:val="21"/>
          <w:highlight w:val="none"/>
        </w:rPr>
        <w:t>6. 承包人项目经理：</w:t>
      </w:r>
      <w:r>
        <w:rPr>
          <w:rFonts w:hint="eastAsia" w:ascii="宋体" w:hAnsi="宋体" w:cs="宋体"/>
          <w:szCs w:val="21"/>
          <w:highlight w:val="none"/>
          <w:u w:val="single"/>
        </w:rPr>
        <w:t xml:space="preserve">    </w:t>
      </w:r>
      <w:r>
        <w:rPr>
          <w:rFonts w:hint="eastAsia" w:ascii="宋体" w:hAnsi="宋体" w:cs="宋体"/>
          <w:szCs w:val="21"/>
          <w:highlight w:val="none"/>
        </w:rPr>
        <w:t>。</w:t>
      </w:r>
    </w:p>
    <w:p>
      <w:pPr>
        <w:spacing w:line="440" w:lineRule="exact"/>
        <w:ind w:firstLine="359" w:firstLineChars="171"/>
        <w:rPr>
          <w:rFonts w:ascii="宋体" w:hAnsi="宋体" w:cs="宋体"/>
          <w:szCs w:val="21"/>
          <w:highlight w:val="none"/>
        </w:rPr>
      </w:pPr>
      <w:r>
        <w:rPr>
          <w:rFonts w:hint="eastAsia" w:ascii="宋体" w:hAnsi="宋体" w:cs="宋体"/>
          <w:szCs w:val="21"/>
          <w:highlight w:val="none"/>
        </w:rPr>
        <w:t>7. 工程质量符合</w:t>
      </w:r>
      <w:r>
        <w:rPr>
          <w:rFonts w:hint="eastAsia" w:ascii="宋体" w:hAnsi="宋体" w:cs="宋体"/>
          <w:szCs w:val="21"/>
          <w:highlight w:val="none"/>
          <w:u w:val="single"/>
        </w:rPr>
        <w:t xml:space="preserve">        </w:t>
      </w:r>
      <w:r>
        <w:rPr>
          <w:rFonts w:hint="eastAsia" w:ascii="宋体" w:hAnsi="宋体" w:cs="宋体"/>
          <w:szCs w:val="21"/>
          <w:highlight w:val="none"/>
        </w:rPr>
        <w:t>标准。</w:t>
      </w:r>
    </w:p>
    <w:p>
      <w:pPr>
        <w:spacing w:line="440" w:lineRule="exact"/>
        <w:ind w:firstLine="359" w:firstLineChars="171"/>
        <w:rPr>
          <w:rFonts w:ascii="宋体" w:hAnsi="宋体" w:cs="宋体"/>
          <w:szCs w:val="21"/>
          <w:highlight w:val="none"/>
        </w:rPr>
      </w:pPr>
      <w:r>
        <w:rPr>
          <w:rFonts w:hint="eastAsia" w:ascii="宋体" w:hAnsi="宋体" w:cs="宋体"/>
          <w:szCs w:val="21"/>
          <w:highlight w:val="none"/>
        </w:rPr>
        <w:t>8. 承包人承诺按合同约定承担工程的施工、竣工交付及缺陷修复。</w:t>
      </w:r>
    </w:p>
    <w:p>
      <w:pPr>
        <w:spacing w:line="440" w:lineRule="exact"/>
        <w:ind w:firstLine="359" w:firstLineChars="171"/>
        <w:rPr>
          <w:rFonts w:ascii="宋体" w:hAnsi="宋体" w:cs="宋体"/>
          <w:szCs w:val="21"/>
          <w:highlight w:val="none"/>
        </w:rPr>
      </w:pPr>
      <w:r>
        <w:rPr>
          <w:rFonts w:hint="eastAsia" w:ascii="宋体" w:hAnsi="宋体" w:cs="宋体"/>
          <w:szCs w:val="21"/>
          <w:highlight w:val="none"/>
        </w:rPr>
        <w:t>9. 发包人承诺按合同约定的条件、时间和方式向承包人支付合同价款。</w:t>
      </w:r>
    </w:p>
    <w:p>
      <w:pPr>
        <w:spacing w:line="440" w:lineRule="exact"/>
        <w:ind w:firstLine="359" w:firstLineChars="171"/>
        <w:rPr>
          <w:rFonts w:ascii="宋体" w:hAnsi="宋体" w:cs="宋体"/>
          <w:szCs w:val="21"/>
          <w:highlight w:val="none"/>
        </w:rPr>
      </w:pPr>
      <w:r>
        <w:rPr>
          <w:rFonts w:hint="eastAsia" w:ascii="宋体" w:hAnsi="宋体" w:cs="宋体"/>
          <w:szCs w:val="21"/>
          <w:highlight w:val="none"/>
        </w:rPr>
        <w:t>10.本协议书一式</w:t>
      </w:r>
      <w:r>
        <w:rPr>
          <w:rFonts w:hint="eastAsia" w:ascii="宋体" w:hAnsi="宋体" w:cs="宋体"/>
          <w:szCs w:val="21"/>
          <w:highlight w:val="none"/>
          <w:u w:val="single"/>
        </w:rPr>
        <w:t xml:space="preserve">    </w:t>
      </w:r>
      <w:r>
        <w:rPr>
          <w:rFonts w:hint="eastAsia" w:ascii="宋体" w:hAnsi="宋体" w:cs="宋体"/>
          <w:szCs w:val="21"/>
          <w:highlight w:val="none"/>
        </w:rPr>
        <w:t>份，合同双方各执</w:t>
      </w:r>
      <w:r>
        <w:rPr>
          <w:rFonts w:hint="eastAsia" w:ascii="宋体" w:hAnsi="宋体" w:cs="宋体"/>
          <w:szCs w:val="21"/>
          <w:highlight w:val="none"/>
          <w:u w:val="single"/>
        </w:rPr>
        <w:t xml:space="preserve">    </w:t>
      </w:r>
      <w:r>
        <w:rPr>
          <w:rFonts w:hint="eastAsia" w:ascii="宋体" w:hAnsi="宋体" w:cs="宋体"/>
          <w:szCs w:val="21"/>
          <w:highlight w:val="none"/>
        </w:rPr>
        <w:t>份。</w:t>
      </w:r>
    </w:p>
    <w:p>
      <w:pPr>
        <w:spacing w:line="440" w:lineRule="exact"/>
        <w:ind w:firstLine="359" w:firstLineChars="171"/>
        <w:rPr>
          <w:rFonts w:ascii="宋体" w:hAnsi="宋体" w:cs="宋体"/>
          <w:szCs w:val="21"/>
          <w:highlight w:val="none"/>
        </w:rPr>
      </w:pPr>
      <w:bookmarkStart w:id="1159" w:name="_Toc152042550"/>
      <w:bookmarkStart w:id="1160" w:name="_Toc144974830"/>
      <w:r>
        <w:rPr>
          <w:rFonts w:hint="eastAsia" w:ascii="宋体" w:hAnsi="宋体" w:cs="宋体"/>
          <w:szCs w:val="21"/>
          <w:highlight w:val="none"/>
        </w:rPr>
        <w:t>11. 合同未尽事宜，双方另行签订补充协议。补充协议是合同的组成部分。</w:t>
      </w:r>
      <w:bookmarkEnd w:id="1159"/>
      <w:bookmarkEnd w:id="1160"/>
    </w:p>
    <w:p>
      <w:pPr>
        <w:spacing w:line="440" w:lineRule="exact"/>
        <w:ind w:firstLine="315" w:firstLineChars="150"/>
        <w:rPr>
          <w:rFonts w:ascii="宋体" w:hAnsi="宋体" w:cs="宋体"/>
          <w:szCs w:val="21"/>
          <w:highlight w:val="none"/>
        </w:rPr>
      </w:pPr>
      <w:r>
        <w:rPr>
          <w:rFonts w:hint="eastAsia" w:ascii="宋体" w:hAnsi="宋体" w:cs="宋体"/>
          <w:szCs w:val="21"/>
          <w:highlight w:val="none"/>
        </w:rPr>
        <w:t>发包人：</w:t>
      </w:r>
      <w:r>
        <w:rPr>
          <w:rFonts w:hint="eastAsia" w:ascii="宋体" w:hAnsi="宋体" w:cs="宋体"/>
          <w:szCs w:val="21"/>
          <w:highlight w:val="none"/>
          <w:u w:val="single"/>
        </w:rPr>
        <w:t xml:space="preserve">          </w:t>
      </w:r>
      <w:r>
        <w:rPr>
          <w:rFonts w:hint="eastAsia" w:ascii="宋体" w:hAnsi="宋体" w:cs="宋体"/>
          <w:szCs w:val="21"/>
          <w:highlight w:val="none"/>
        </w:rPr>
        <w:t>（盖单位章）            承包人：</w:t>
      </w:r>
      <w:r>
        <w:rPr>
          <w:rFonts w:hint="eastAsia" w:ascii="宋体" w:hAnsi="宋体" w:cs="宋体"/>
          <w:szCs w:val="21"/>
          <w:highlight w:val="none"/>
          <w:u w:val="single"/>
        </w:rPr>
        <w:t xml:space="preserve">          </w:t>
      </w:r>
      <w:r>
        <w:rPr>
          <w:rFonts w:hint="eastAsia" w:ascii="宋体" w:hAnsi="宋体" w:cs="宋体"/>
          <w:szCs w:val="21"/>
          <w:highlight w:val="none"/>
        </w:rPr>
        <w:t>（盖单位章）</w:t>
      </w:r>
    </w:p>
    <w:p>
      <w:pPr>
        <w:spacing w:line="440" w:lineRule="exact"/>
        <w:ind w:firstLine="315" w:firstLineChars="150"/>
        <w:rPr>
          <w:rFonts w:ascii="宋体" w:hAnsi="宋体" w:cs="宋体"/>
          <w:szCs w:val="21"/>
          <w:highlight w:val="none"/>
        </w:rPr>
      </w:pPr>
      <w:r>
        <w:rPr>
          <w:rFonts w:hint="eastAsia" w:ascii="宋体" w:hAnsi="宋体" w:cs="宋体"/>
          <w:szCs w:val="21"/>
          <w:highlight w:val="none"/>
        </w:rPr>
        <w:t>法定代表人或其委托代理人：</w:t>
      </w:r>
      <w:r>
        <w:rPr>
          <w:rFonts w:hint="eastAsia" w:ascii="宋体" w:hAnsi="宋体" w:cs="宋体"/>
          <w:szCs w:val="21"/>
          <w:highlight w:val="none"/>
          <w:u w:val="single"/>
        </w:rPr>
        <w:t xml:space="preserve">    </w:t>
      </w:r>
      <w:r>
        <w:rPr>
          <w:rFonts w:hint="eastAsia" w:ascii="宋体" w:hAnsi="宋体" w:cs="宋体"/>
          <w:szCs w:val="21"/>
          <w:highlight w:val="none"/>
        </w:rPr>
        <w:t>（签字）    法定代表人或其委托代理人：</w:t>
      </w:r>
      <w:r>
        <w:rPr>
          <w:rFonts w:hint="eastAsia" w:ascii="宋体" w:hAnsi="宋体" w:cs="宋体"/>
          <w:szCs w:val="21"/>
          <w:highlight w:val="none"/>
          <w:u w:val="single"/>
        </w:rPr>
        <w:t xml:space="preserve">    </w:t>
      </w:r>
      <w:r>
        <w:rPr>
          <w:rFonts w:hint="eastAsia" w:ascii="宋体" w:hAnsi="宋体" w:cs="宋体"/>
          <w:szCs w:val="21"/>
          <w:highlight w:val="none"/>
        </w:rPr>
        <w:t>（签字）</w:t>
      </w:r>
    </w:p>
    <w:p>
      <w:pPr>
        <w:spacing w:line="440" w:lineRule="exact"/>
        <w:ind w:firstLine="1470" w:firstLineChars="700"/>
        <w:rPr>
          <w:rFonts w:ascii="宋体" w:hAnsi="宋体" w:cs="宋体"/>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 xml:space="preserve">日                           </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pPr>
        <w:pStyle w:val="26"/>
        <w:rPr>
          <w:rFonts w:ascii="宋体" w:hAnsi="宋体" w:cs="宋体"/>
          <w:highlight w:val="none"/>
        </w:rPr>
      </w:pPr>
    </w:p>
    <w:p>
      <w:pPr>
        <w:numPr>
          <w:ilvl w:val="0"/>
          <w:numId w:val="2"/>
        </w:numPr>
        <w:spacing w:line="600" w:lineRule="exact"/>
        <w:jc w:val="center"/>
        <w:outlineLvl w:val="0"/>
        <w:rPr>
          <w:rFonts w:hint="eastAsia"/>
          <w:b/>
          <w:sz w:val="36"/>
          <w:szCs w:val="36"/>
          <w:highlight w:val="none"/>
        </w:rPr>
      </w:pPr>
      <w:bookmarkStart w:id="1161" w:name="_Toc6283"/>
      <w:bookmarkStart w:id="1162" w:name="_Toc179632789"/>
      <w:bookmarkStart w:id="1163" w:name="_Toc26098"/>
      <w:bookmarkStart w:id="1164" w:name="_Toc246996340"/>
      <w:bookmarkStart w:id="1165" w:name="_Toc246997083"/>
      <w:bookmarkStart w:id="1166" w:name="_Toc29317"/>
      <w:bookmarkStart w:id="1167" w:name="_Toc8233"/>
      <w:bookmarkStart w:id="1168" w:name="_Toc10685"/>
      <w:bookmarkStart w:id="1169" w:name="_Toc15981"/>
      <w:bookmarkStart w:id="1170" w:name="_Toc247085855"/>
      <w:bookmarkStart w:id="1171" w:name="_Toc144974834"/>
      <w:bookmarkStart w:id="1172" w:name="_Toc11936"/>
      <w:bookmarkStart w:id="1173" w:name="_Toc22590"/>
      <w:bookmarkStart w:id="1174" w:name="_Toc152045772"/>
      <w:bookmarkStart w:id="1175" w:name="_Toc152042554"/>
      <w:r>
        <w:rPr>
          <w:rFonts w:hint="eastAsia"/>
          <w:b/>
          <w:bCs/>
          <w:sz w:val="36"/>
          <w:szCs w:val="36"/>
          <w:highlight w:val="none"/>
        </w:rPr>
        <w:t xml:space="preserve"> </w:t>
      </w:r>
      <w:bookmarkStart w:id="1176" w:name="_Toc10882"/>
      <w:r>
        <w:rPr>
          <w:rFonts w:hint="eastAsia"/>
          <w:b/>
          <w:bCs/>
          <w:sz w:val="36"/>
          <w:szCs w:val="36"/>
          <w:highlight w:val="none"/>
        </w:rPr>
        <w:t>工程量清单</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r>
        <w:rPr>
          <w:rFonts w:hint="eastAsia"/>
          <w:b/>
          <w:sz w:val="36"/>
          <w:szCs w:val="36"/>
          <w:highlight w:val="none"/>
        </w:rPr>
        <w:t>（另附）</w:t>
      </w:r>
      <w:bookmarkEnd w:id="1176"/>
    </w:p>
    <w:p>
      <w:pPr>
        <w:pStyle w:val="26"/>
        <w:rPr>
          <w:rFonts w:hint="eastAsia"/>
        </w:rPr>
      </w:pPr>
    </w:p>
    <w:p>
      <w:pPr>
        <w:pStyle w:val="8"/>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rPr>
      </w:pPr>
      <w:bookmarkStart w:id="1177" w:name="_Toc536040461"/>
      <w:bookmarkStart w:id="1178" w:name="_Toc28657"/>
      <w:bookmarkStart w:id="1179" w:name="_Toc246997084"/>
      <w:bookmarkStart w:id="1180" w:name="_Toc246996341"/>
      <w:bookmarkStart w:id="1181" w:name="_Toc466470947"/>
      <w:bookmarkStart w:id="1182" w:name="_Toc1573"/>
      <w:bookmarkStart w:id="1183" w:name="_Toc31110"/>
      <w:bookmarkStart w:id="1184" w:name="_Toc247085856"/>
      <w:bookmarkStart w:id="1185" w:name="_Toc152042555"/>
      <w:bookmarkStart w:id="1186" w:name="_Toc144974835"/>
      <w:bookmarkStart w:id="1187" w:name="_Toc152045773"/>
      <w:bookmarkStart w:id="1188" w:name="_Toc466470817"/>
      <w:bookmarkStart w:id="1189" w:name="_Toc18640"/>
      <w:bookmarkStart w:id="1190" w:name="_Toc179632790"/>
      <w:r>
        <w:rPr>
          <w:rFonts w:hint="eastAsia" w:ascii="宋体" w:hAnsi="宋体" w:eastAsia="宋体" w:cs="宋体"/>
        </w:rPr>
        <w:t>1. 工程量清单说明</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highlight w:val="none"/>
        </w:rPr>
      </w:pPr>
      <w:bookmarkStart w:id="1191" w:name="_Toc466470948"/>
      <w:bookmarkStart w:id="1192" w:name="_Toc247085857"/>
      <w:bookmarkStart w:id="1193" w:name="_Toc144974836"/>
      <w:bookmarkStart w:id="1194" w:name="_Toc152042556"/>
      <w:bookmarkStart w:id="1195" w:name="_Toc23765"/>
      <w:bookmarkStart w:id="1196" w:name="_Toc28051"/>
      <w:bookmarkStart w:id="1197" w:name="_Toc466470818"/>
      <w:bookmarkStart w:id="1198" w:name="_Toc246997085"/>
      <w:bookmarkStart w:id="1199" w:name="_Toc246996342"/>
      <w:bookmarkStart w:id="1200" w:name="_Toc4203"/>
      <w:bookmarkStart w:id="1201" w:name="_Toc179632791"/>
      <w:bookmarkStart w:id="1202" w:name="_Toc536040462"/>
      <w:bookmarkStart w:id="1203" w:name="_Toc152045774"/>
      <w:r>
        <w:rPr>
          <w:rFonts w:hint="eastAsia" w:ascii="宋体" w:hAnsi="宋体" w:cs="宋体"/>
          <w:highlight w:val="none"/>
        </w:rPr>
        <w:t>1.1 本工程量清单是根据招标文件中包括的、有合同约束力的图纸以及有关工程量清单的国家标准、行业标准、合同条款中约定的工程量计算规则编制。约定计量规则中没有的子目，其工程量按照有合同约束力的图纸所标示尺寸的理论净量计算。计量采用中华人民共和国法定计量单位。</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highlight w:val="none"/>
        </w:rPr>
      </w:pPr>
      <w:r>
        <w:rPr>
          <w:rFonts w:hint="eastAsia" w:ascii="宋体" w:hAnsi="宋体" w:cs="宋体"/>
          <w:highlight w:val="none"/>
        </w:rPr>
        <w:t>1.2 本工程量清单应与招标文件中的投标人须知、通用合同条款、专用合同条款、技术标准和要求及图纸等一起阅读和理解。</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highlight w:val="none"/>
        </w:rPr>
      </w:pPr>
      <w:r>
        <w:rPr>
          <w:rFonts w:hint="eastAsia" w:ascii="宋体" w:hAnsi="宋体" w:cs="宋体"/>
          <w:highlight w:val="none"/>
        </w:rPr>
        <w:t>1.3 本工程量清单仅是投标报价的共同基础，实际工程计量和工程价款的支付应遵循合同条款的约定和第七章“技术标准和要求”的有关规定。</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highlight w:val="none"/>
        </w:rPr>
      </w:pPr>
      <w:r>
        <w:rPr>
          <w:rFonts w:hint="eastAsia" w:ascii="宋体" w:hAnsi="宋体" w:cs="宋体"/>
          <w:highlight w:val="none"/>
        </w:rPr>
        <w:t>1.4 补充子目工程量计算规则及子目工作内容说明：</w:t>
      </w:r>
      <w:r>
        <w:rPr>
          <w:rFonts w:hint="eastAsia" w:ascii="宋体" w:hAnsi="宋体" w:cs="宋体"/>
          <w:highlight w:val="none"/>
          <w:u w:val="single"/>
        </w:rPr>
        <w:t xml:space="preserve">                                </w:t>
      </w:r>
      <w:r>
        <w:rPr>
          <w:rFonts w:hint="eastAsia" w:ascii="宋体" w:hAnsi="宋体" w:cs="宋体"/>
          <w:highlight w:val="none"/>
        </w:rPr>
        <w:t>。</w:t>
      </w:r>
    </w:p>
    <w:p>
      <w:pPr>
        <w:pStyle w:val="8"/>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rPr>
      </w:pPr>
      <w:bookmarkStart w:id="1204" w:name="_Toc29937"/>
      <w:r>
        <w:rPr>
          <w:rFonts w:hint="eastAsia" w:ascii="宋体" w:hAnsi="宋体" w:eastAsia="宋体" w:cs="宋体"/>
        </w:rPr>
        <w:t>2. 投标报价说明</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highlight w:val="none"/>
        </w:rPr>
      </w:pPr>
      <w:bookmarkStart w:id="1205" w:name="_Toc152045775"/>
      <w:bookmarkStart w:id="1206" w:name="_Toc466470949"/>
      <w:bookmarkStart w:id="1207" w:name="_Toc24281"/>
      <w:bookmarkStart w:id="1208" w:name="_Toc152042557"/>
      <w:bookmarkStart w:id="1209" w:name="_Toc536040463"/>
      <w:bookmarkStart w:id="1210" w:name="_Toc247085858"/>
      <w:bookmarkStart w:id="1211" w:name="_Toc11727"/>
      <w:bookmarkStart w:id="1212" w:name="_Toc466470819"/>
      <w:bookmarkStart w:id="1213" w:name="_Toc144974837"/>
      <w:bookmarkStart w:id="1214" w:name="_Toc19063"/>
      <w:bookmarkStart w:id="1215" w:name="_Toc179632792"/>
      <w:bookmarkStart w:id="1216" w:name="_Toc246997086"/>
      <w:bookmarkStart w:id="1217" w:name="_Toc246996343"/>
      <w:r>
        <w:rPr>
          <w:rFonts w:hint="eastAsia" w:ascii="宋体" w:hAnsi="宋体" w:cs="宋体"/>
          <w:highlight w:val="none"/>
        </w:rPr>
        <w:t>2.1 工程量清单中的每一子目须填入单价或价格，且只允许有一个报价。</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highlight w:val="none"/>
        </w:rPr>
      </w:pPr>
      <w:r>
        <w:rPr>
          <w:rFonts w:hint="eastAsia" w:ascii="宋体" w:hAnsi="宋体" w:cs="宋体"/>
          <w:highlight w:val="none"/>
        </w:rPr>
        <w:t>2.2 工程量清单中标价的单价或金额，应包括所需的人工费、材料和施工机具使用费和企业管理费、利润以及一定范围内的风险费用等。</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highlight w:val="none"/>
        </w:rPr>
      </w:pPr>
      <w:r>
        <w:rPr>
          <w:rFonts w:hint="eastAsia" w:ascii="宋体" w:hAnsi="宋体" w:cs="宋体"/>
          <w:highlight w:val="none"/>
        </w:rPr>
        <w:t>2.3 工程量清单中投标人没有填入单价或价格的子目，其费用视为已分摊在工程量清单中其他相关子目的单价或价格之中。</w:t>
      </w:r>
    </w:p>
    <w:p>
      <w:pPr>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highlight w:val="none"/>
        </w:rPr>
      </w:pPr>
      <w:r>
        <w:rPr>
          <w:rFonts w:hint="eastAsia" w:ascii="宋体" w:hAnsi="宋体" w:cs="宋体"/>
          <w:highlight w:val="none"/>
        </w:rPr>
        <w:t>2.4 暂列金额的数量及拟用子目的说明：</w:t>
      </w:r>
    </w:p>
    <w:p>
      <w:pPr>
        <w:pStyle w:val="8"/>
        <w:pageBreakBefore w:val="0"/>
        <w:widowControl w:val="0"/>
        <w:numPr>
          <w:ilvl w:val="0"/>
          <w:numId w:val="3"/>
        </w:numPr>
        <w:kinsoku/>
        <w:wordWrap/>
        <w:overflowPunct/>
        <w:topLinePunct w:val="0"/>
        <w:autoSpaceDE/>
        <w:autoSpaceDN/>
        <w:bidi w:val="0"/>
        <w:adjustRightInd/>
        <w:snapToGrid/>
        <w:spacing w:line="440" w:lineRule="exact"/>
        <w:textAlignment w:val="auto"/>
        <w:rPr>
          <w:rFonts w:hint="eastAsia" w:ascii="宋体" w:hAnsi="宋体" w:eastAsia="宋体" w:cs="宋体"/>
        </w:rPr>
      </w:pPr>
      <w:bookmarkStart w:id="1218" w:name="_Toc8226"/>
      <w:r>
        <w:rPr>
          <w:rFonts w:hint="eastAsia" w:ascii="宋体" w:hAnsi="宋体" w:eastAsia="宋体" w:cs="宋体"/>
        </w:rPr>
        <w:t>其他说明</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pPr>
        <w:pStyle w:val="26"/>
        <w:numPr>
          <w:ilvl w:val="0"/>
          <w:numId w:val="0"/>
        </w:num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topLinePunct/>
        <w:spacing w:line="440" w:lineRule="exact"/>
        <w:jc w:val="both"/>
        <w:rPr>
          <w:rFonts w:ascii="宋体" w:hAnsi="宋体" w:cs="宋体"/>
          <w:highlight w:val="none"/>
        </w:rPr>
      </w:pPr>
    </w:p>
    <w:p>
      <w:pPr>
        <w:numPr>
          <w:ilvl w:val="0"/>
          <w:numId w:val="2"/>
        </w:numPr>
        <w:spacing w:line="600" w:lineRule="exact"/>
        <w:ind w:left="0" w:leftChars="0" w:firstLine="0" w:firstLineChars="0"/>
        <w:jc w:val="center"/>
        <w:outlineLvl w:val="0"/>
        <w:rPr>
          <w:rFonts w:hint="eastAsia"/>
          <w:b/>
          <w:bCs/>
          <w:sz w:val="36"/>
          <w:szCs w:val="36"/>
          <w:highlight w:val="none"/>
          <w:lang w:eastAsia="zh-CN"/>
        </w:rPr>
      </w:pPr>
      <w:bookmarkStart w:id="1219" w:name="_Toc152045785"/>
      <w:bookmarkStart w:id="1220" w:name="_Toc144974854"/>
      <w:bookmarkStart w:id="1221" w:name="_Toc246996353"/>
      <w:bookmarkStart w:id="1222" w:name="_Toc152042574"/>
      <w:bookmarkStart w:id="1223" w:name="_Toc246997096"/>
      <w:bookmarkStart w:id="1224" w:name="_Toc10961"/>
      <w:bookmarkStart w:id="1225" w:name="_Toc179632804"/>
      <w:bookmarkStart w:id="1226" w:name="_Toc17616"/>
      <w:bookmarkStart w:id="1227" w:name="_Toc247085870"/>
      <w:bookmarkStart w:id="1228" w:name="_Toc19815"/>
      <w:r>
        <w:rPr>
          <w:rFonts w:hint="eastAsia"/>
          <w:b/>
          <w:bCs/>
          <w:sz w:val="36"/>
          <w:szCs w:val="36"/>
          <w:highlight w:val="none"/>
        </w:rPr>
        <w:t xml:space="preserve"> </w:t>
      </w:r>
      <w:bookmarkStart w:id="1229" w:name="_Toc452"/>
      <w:r>
        <w:rPr>
          <w:rFonts w:hint="eastAsia"/>
          <w:b/>
          <w:bCs/>
          <w:sz w:val="36"/>
          <w:szCs w:val="36"/>
          <w:highlight w:val="none"/>
          <w:lang w:eastAsia="zh-CN"/>
        </w:rPr>
        <w:t>图纸（另附）</w:t>
      </w:r>
      <w:bookmarkEnd w:id="1229"/>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pStyle w:val="26"/>
        <w:rPr>
          <w:rFonts w:hint="eastAsia"/>
          <w:b/>
          <w:bCs/>
          <w:sz w:val="36"/>
          <w:szCs w:val="36"/>
          <w:highlight w:val="none"/>
          <w:lang w:eastAsia="zh-CN"/>
        </w:rPr>
      </w:pPr>
    </w:p>
    <w:p>
      <w:pPr>
        <w:numPr>
          <w:ilvl w:val="0"/>
          <w:numId w:val="2"/>
        </w:numPr>
        <w:spacing w:line="600" w:lineRule="exact"/>
        <w:ind w:left="0" w:leftChars="0" w:firstLine="0" w:firstLineChars="0"/>
        <w:jc w:val="center"/>
        <w:outlineLvl w:val="0"/>
        <w:rPr>
          <w:b/>
          <w:bCs/>
          <w:sz w:val="36"/>
          <w:szCs w:val="36"/>
          <w:highlight w:val="none"/>
        </w:rPr>
      </w:pPr>
      <w:bookmarkStart w:id="1230" w:name="_Toc7535"/>
      <w:r>
        <w:rPr>
          <w:rFonts w:hint="eastAsia"/>
          <w:b/>
          <w:bCs/>
          <w:sz w:val="36"/>
          <w:szCs w:val="36"/>
          <w:highlight w:val="none"/>
        </w:rPr>
        <w:t>技术标准和要求</w:t>
      </w:r>
      <w:bookmarkEnd w:id="1219"/>
      <w:bookmarkEnd w:id="1220"/>
      <w:bookmarkEnd w:id="1221"/>
      <w:bookmarkEnd w:id="1222"/>
      <w:bookmarkEnd w:id="1223"/>
      <w:bookmarkEnd w:id="1224"/>
      <w:bookmarkEnd w:id="1225"/>
      <w:bookmarkEnd w:id="1226"/>
      <w:bookmarkEnd w:id="1227"/>
      <w:bookmarkEnd w:id="1228"/>
      <w:bookmarkEnd w:id="1230"/>
    </w:p>
    <w:p>
      <w:pPr>
        <w:spacing w:line="400" w:lineRule="exact"/>
        <w:rPr>
          <w:rFonts w:ascii="宋体" w:hAnsi="宋体" w:cs="宋体"/>
          <w:highlight w:val="none"/>
        </w:rPr>
      </w:pPr>
    </w:p>
    <w:p>
      <w:pPr>
        <w:spacing w:line="400" w:lineRule="exact"/>
        <w:ind w:firstLine="420" w:firstLineChars="200"/>
        <w:textAlignment w:val="baseline"/>
        <w:rPr>
          <w:rFonts w:hint="eastAsia" w:ascii="宋体" w:hAnsi="宋体" w:cs="宋体"/>
          <w:b/>
          <w:szCs w:val="21"/>
        </w:rPr>
      </w:pPr>
      <w:bookmarkStart w:id="1231" w:name="_Toc2449"/>
      <w:bookmarkStart w:id="1232" w:name="_Toc179632806"/>
      <w:bookmarkStart w:id="1233" w:name="_Toc15969"/>
      <w:bookmarkStart w:id="1234" w:name="_Toc152045786"/>
      <w:bookmarkStart w:id="1235" w:name="_Toc18583"/>
      <w:bookmarkStart w:id="1236" w:name="_Toc246996354"/>
      <w:bookmarkStart w:id="1237" w:name="_Toc152042575"/>
      <w:bookmarkStart w:id="1238" w:name="_Toc144974855"/>
      <w:bookmarkStart w:id="1239" w:name="_Toc28696"/>
      <w:bookmarkStart w:id="1240" w:name="_Toc29181"/>
      <w:bookmarkStart w:id="1241" w:name="_Toc246997097"/>
      <w:bookmarkStart w:id="1242" w:name="_Toc247085872"/>
      <w:r>
        <w:rPr>
          <w:rFonts w:hint="eastAsia" w:ascii="宋体" w:hAnsi="宋体" w:cs="宋体"/>
          <w:b/>
          <w:szCs w:val="21"/>
        </w:rPr>
        <w:t>一、主要技术标准</w:t>
      </w:r>
    </w:p>
    <w:p>
      <w:pPr>
        <w:keepNext w:val="0"/>
        <w:keepLines w:val="0"/>
        <w:pageBreakBefore w:val="0"/>
        <w:widowControl w:val="0"/>
        <w:numPr>
          <w:ilvl w:val="0"/>
          <w:numId w:val="4"/>
        </w:numPr>
        <w:tabs>
          <w:tab w:val="left" w:pos="0"/>
          <w:tab w:val="clear" w:pos="720"/>
        </w:tabs>
        <w:kinsoku/>
        <w:wordWrap/>
        <w:overflowPunct/>
        <w:topLinePunct w:val="0"/>
        <w:autoSpaceDE/>
        <w:autoSpaceDN/>
        <w:bidi w:val="0"/>
        <w:adjustRightInd/>
        <w:snapToGrid/>
        <w:spacing w:line="440" w:lineRule="exact"/>
        <w:ind w:left="0" w:firstLine="420" w:firstLineChars="200"/>
        <w:jc w:val="left"/>
        <w:textAlignment w:val="auto"/>
        <w:outlineLvl w:val="9"/>
        <w:rPr>
          <w:rFonts w:hint="eastAsia" w:ascii="宋体" w:hAnsi="宋体" w:cs="宋体"/>
          <w:szCs w:val="21"/>
        </w:rPr>
      </w:pPr>
      <w:bookmarkStart w:id="1243" w:name="_Toc367101029"/>
      <w:r>
        <w:rPr>
          <w:rFonts w:hint="eastAsia" w:ascii="宋体" w:hAnsi="宋体" w:cs="宋体"/>
          <w:szCs w:val="21"/>
        </w:rPr>
        <w:t>工程测量规范：GB50026—93</w:t>
      </w:r>
    </w:p>
    <w:p>
      <w:pPr>
        <w:keepNext w:val="0"/>
        <w:keepLines w:val="0"/>
        <w:pageBreakBefore w:val="0"/>
        <w:widowControl w:val="0"/>
        <w:numPr>
          <w:ilvl w:val="0"/>
          <w:numId w:val="4"/>
        </w:numPr>
        <w:tabs>
          <w:tab w:val="left" w:pos="0"/>
          <w:tab w:val="clear" w:pos="720"/>
        </w:tabs>
        <w:kinsoku/>
        <w:wordWrap/>
        <w:overflowPunct/>
        <w:topLinePunct w:val="0"/>
        <w:autoSpaceDE/>
        <w:autoSpaceDN/>
        <w:bidi w:val="0"/>
        <w:adjustRightInd/>
        <w:snapToGrid/>
        <w:spacing w:line="440" w:lineRule="exact"/>
        <w:ind w:left="0" w:firstLine="420" w:firstLineChars="200"/>
        <w:jc w:val="left"/>
        <w:textAlignment w:val="auto"/>
        <w:outlineLvl w:val="9"/>
        <w:rPr>
          <w:rFonts w:hint="eastAsia" w:ascii="宋体" w:hAnsi="宋体" w:cs="宋体"/>
          <w:szCs w:val="21"/>
        </w:rPr>
      </w:pPr>
      <w:r>
        <w:rPr>
          <w:rFonts w:hint="eastAsia" w:ascii="宋体" w:hAnsi="宋体" w:cs="宋体"/>
          <w:szCs w:val="21"/>
        </w:rPr>
        <w:t>土方与爆破工程施工验收规范：GBJ201—83</w:t>
      </w:r>
    </w:p>
    <w:p>
      <w:pPr>
        <w:keepNext w:val="0"/>
        <w:keepLines w:val="0"/>
        <w:pageBreakBefore w:val="0"/>
        <w:widowControl w:val="0"/>
        <w:numPr>
          <w:ilvl w:val="0"/>
          <w:numId w:val="4"/>
        </w:numPr>
        <w:tabs>
          <w:tab w:val="left" w:pos="0"/>
          <w:tab w:val="clear" w:pos="720"/>
        </w:tabs>
        <w:kinsoku/>
        <w:wordWrap/>
        <w:overflowPunct/>
        <w:topLinePunct w:val="0"/>
        <w:autoSpaceDE/>
        <w:autoSpaceDN/>
        <w:bidi w:val="0"/>
        <w:adjustRightInd/>
        <w:snapToGrid/>
        <w:spacing w:line="440" w:lineRule="exact"/>
        <w:ind w:left="0" w:firstLine="420" w:firstLineChars="200"/>
        <w:jc w:val="left"/>
        <w:textAlignment w:val="auto"/>
        <w:outlineLvl w:val="9"/>
        <w:rPr>
          <w:rFonts w:hint="eastAsia" w:ascii="宋体" w:hAnsi="宋体" w:cs="宋体"/>
          <w:szCs w:val="21"/>
        </w:rPr>
      </w:pPr>
      <w:r>
        <w:rPr>
          <w:rFonts w:hint="eastAsia" w:ascii="宋体" w:hAnsi="宋体" w:cs="宋体"/>
          <w:szCs w:val="21"/>
        </w:rPr>
        <w:t>工业与民用建筑灌注桩基础设计与施工规范：JGJ4—80</w:t>
      </w:r>
    </w:p>
    <w:p>
      <w:pPr>
        <w:keepNext w:val="0"/>
        <w:keepLines w:val="0"/>
        <w:pageBreakBefore w:val="0"/>
        <w:widowControl w:val="0"/>
        <w:numPr>
          <w:ilvl w:val="0"/>
          <w:numId w:val="4"/>
        </w:numPr>
        <w:tabs>
          <w:tab w:val="left" w:pos="0"/>
          <w:tab w:val="clear" w:pos="720"/>
        </w:tabs>
        <w:kinsoku/>
        <w:wordWrap/>
        <w:overflowPunct/>
        <w:topLinePunct w:val="0"/>
        <w:autoSpaceDE/>
        <w:autoSpaceDN/>
        <w:bidi w:val="0"/>
        <w:adjustRightInd/>
        <w:snapToGrid/>
        <w:spacing w:line="440" w:lineRule="exact"/>
        <w:ind w:left="0" w:firstLine="420" w:firstLineChars="200"/>
        <w:jc w:val="left"/>
        <w:textAlignment w:val="auto"/>
        <w:outlineLvl w:val="9"/>
        <w:rPr>
          <w:rFonts w:hint="eastAsia" w:ascii="宋体" w:hAnsi="宋体" w:cs="宋体"/>
          <w:szCs w:val="21"/>
        </w:rPr>
      </w:pPr>
      <w:r>
        <w:rPr>
          <w:rFonts w:hint="eastAsia" w:ascii="宋体" w:hAnsi="宋体" w:cs="宋体"/>
          <w:szCs w:val="21"/>
        </w:rPr>
        <w:t>建筑地基与基础工程施工及验收规范：GB50202—2002</w:t>
      </w:r>
    </w:p>
    <w:p>
      <w:pPr>
        <w:keepNext w:val="0"/>
        <w:keepLines w:val="0"/>
        <w:pageBreakBefore w:val="0"/>
        <w:widowControl w:val="0"/>
        <w:numPr>
          <w:ilvl w:val="0"/>
          <w:numId w:val="4"/>
        </w:numPr>
        <w:tabs>
          <w:tab w:val="left" w:pos="0"/>
          <w:tab w:val="clear" w:pos="720"/>
        </w:tabs>
        <w:kinsoku/>
        <w:wordWrap/>
        <w:overflowPunct/>
        <w:topLinePunct w:val="0"/>
        <w:autoSpaceDE/>
        <w:autoSpaceDN/>
        <w:bidi w:val="0"/>
        <w:adjustRightInd/>
        <w:snapToGrid/>
        <w:spacing w:line="440" w:lineRule="exact"/>
        <w:ind w:left="0" w:firstLine="420" w:firstLineChars="200"/>
        <w:jc w:val="left"/>
        <w:textAlignment w:val="auto"/>
        <w:outlineLvl w:val="9"/>
        <w:rPr>
          <w:rFonts w:hint="eastAsia" w:ascii="宋体" w:hAnsi="宋体" w:cs="宋体"/>
          <w:szCs w:val="21"/>
        </w:rPr>
      </w:pPr>
      <w:r>
        <w:rPr>
          <w:rFonts w:hint="eastAsia" w:ascii="宋体" w:hAnsi="宋体" w:cs="宋体"/>
          <w:szCs w:val="21"/>
        </w:rPr>
        <w:t>地下防水工程质量验收规范：GB50208—2002</w:t>
      </w:r>
    </w:p>
    <w:p>
      <w:pPr>
        <w:keepNext w:val="0"/>
        <w:keepLines w:val="0"/>
        <w:pageBreakBefore w:val="0"/>
        <w:widowControl w:val="0"/>
        <w:numPr>
          <w:ilvl w:val="0"/>
          <w:numId w:val="4"/>
        </w:numPr>
        <w:tabs>
          <w:tab w:val="left" w:pos="0"/>
          <w:tab w:val="clear" w:pos="720"/>
        </w:tabs>
        <w:kinsoku/>
        <w:wordWrap/>
        <w:overflowPunct/>
        <w:topLinePunct w:val="0"/>
        <w:autoSpaceDE/>
        <w:autoSpaceDN/>
        <w:bidi w:val="0"/>
        <w:adjustRightInd/>
        <w:snapToGrid/>
        <w:spacing w:line="440" w:lineRule="exact"/>
        <w:ind w:left="0" w:firstLine="420" w:firstLineChars="200"/>
        <w:jc w:val="left"/>
        <w:textAlignment w:val="auto"/>
        <w:outlineLvl w:val="9"/>
        <w:rPr>
          <w:rFonts w:hint="eastAsia" w:ascii="宋体" w:hAnsi="宋体" w:cs="宋体"/>
          <w:szCs w:val="21"/>
        </w:rPr>
      </w:pPr>
      <w:r>
        <w:rPr>
          <w:rFonts w:hint="eastAsia" w:ascii="宋体" w:hAnsi="宋体" w:cs="宋体"/>
          <w:szCs w:val="21"/>
        </w:rPr>
        <w:t>砼结构工程施工及验收规范：GB50204—2002</w:t>
      </w:r>
    </w:p>
    <w:p>
      <w:pPr>
        <w:keepNext w:val="0"/>
        <w:keepLines w:val="0"/>
        <w:pageBreakBefore w:val="0"/>
        <w:widowControl w:val="0"/>
        <w:numPr>
          <w:ilvl w:val="0"/>
          <w:numId w:val="4"/>
        </w:numPr>
        <w:tabs>
          <w:tab w:val="left" w:pos="0"/>
          <w:tab w:val="clear" w:pos="720"/>
        </w:tabs>
        <w:kinsoku/>
        <w:wordWrap/>
        <w:overflowPunct/>
        <w:topLinePunct w:val="0"/>
        <w:autoSpaceDE/>
        <w:autoSpaceDN/>
        <w:bidi w:val="0"/>
        <w:adjustRightInd/>
        <w:snapToGrid/>
        <w:spacing w:line="440" w:lineRule="exact"/>
        <w:ind w:left="0" w:firstLine="420" w:firstLineChars="200"/>
        <w:jc w:val="left"/>
        <w:textAlignment w:val="auto"/>
        <w:outlineLvl w:val="9"/>
        <w:rPr>
          <w:rFonts w:hint="eastAsia" w:ascii="宋体" w:hAnsi="宋体" w:cs="宋体"/>
          <w:szCs w:val="21"/>
        </w:rPr>
      </w:pPr>
      <w:r>
        <w:rPr>
          <w:rFonts w:hint="eastAsia" w:ascii="宋体" w:hAnsi="宋体" w:cs="宋体"/>
          <w:szCs w:val="21"/>
        </w:rPr>
        <w:t>木结构工程施工及验收规范：BG206—96</w:t>
      </w:r>
    </w:p>
    <w:p>
      <w:pPr>
        <w:keepNext w:val="0"/>
        <w:keepLines w:val="0"/>
        <w:pageBreakBefore w:val="0"/>
        <w:widowControl w:val="0"/>
        <w:numPr>
          <w:ilvl w:val="0"/>
          <w:numId w:val="4"/>
        </w:numPr>
        <w:tabs>
          <w:tab w:val="left" w:pos="0"/>
          <w:tab w:val="clear" w:pos="720"/>
        </w:tabs>
        <w:kinsoku/>
        <w:wordWrap/>
        <w:overflowPunct/>
        <w:topLinePunct w:val="0"/>
        <w:autoSpaceDE/>
        <w:autoSpaceDN/>
        <w:bidi w:val="0"/>
        <w:adjustRightInd/>
        <w:snapToGrid/>
        <w:spacing w:line="440" w:lineRule="exact"/>
        <w:ind w:left="0" w:firstLine="420" w:firstLineChars="200"/>
        <w:jc w:val="left"/>
        <w:textAlignment w:val="auto"/>
        <w:outlineLvl w:val="9"/>
        <w:rPr>
          <w:rFonts w:hint="eastAsia" w:ascii="宋体" w:hAnsi="宋体" w:cs="宋体"/>
          <w:szCs w:val="21"/>
        </w:rPr>
      </w:pPr>
      <w:r>
        <w:rPr>
          <w:rFonts w:hint="eastAsia" w:ascii="宋体" w:hAnsi="宋体" w:cs="宋体"/>
          <w:szCs w:val="21"/>
        </w:rPr>
        <w:t>砌体工程施工及验收规范：GB50203—2002</w:t>
      </w:r>
    </w:p>
    <w:p>
      <w:pPr>
        <w:keepNext w:val="0"/>
        <w:keepLines w:val="0"/>
        <w:pageBreakBefore w:val="0"/>
        <w:widowControl w:val="0"/>
        <w:numPr>
          <w:ilvl w:val="0"/>
          <w:numId w:val="4"/>
        </w:numPr>
        <w:tabs>
          <w:tab w:val="left" w:pos="0"/>
          <w:tab w:val="clear" w:pos="720"/>
        </w:tabs>
        <w:kinsoku/>
        <w:wordWrap/>
        <w:overflowPunct/>
        <w:topLinePunct w:val="0"/>
        <w:autoSpaceDE/>
        <w:autoSpaceDN/>
        <w:bidi w:val="0"/>
        <w:adjustRightInd/>
        <w:snapToGrid/>
        <w:spacing w:line="440" w:lineRule="exact"/>
        <w:ind w:left="0" w:firstLine="420" w:firstLineChars="200"/>
        <w:jc w:val="left"/>
        <w:textAlignment w:val="auto"/>
        <w:outlineLvl w:val="9"/>
        <w:rPr>
          <w:rFonts w:hint="eastAsia" w:ascii="宋体" w:hAnsi="宋体" w:cs="宋体"/>
          <w:szCs w:val="21"/>
        </w:rPr>
      </w:pPr>
      <w:r>
        <w:rPr>
          <w:rFonts w:hint="eastAsia" w:ascii="宋体" w:hAnsi="宋体" w:cs="宋体"/>
          <w:szCs w:val="21"/>
        </w:rPr>
        <w:t>建筑地面工程施工质量验收规范：GB50209—2002</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10、</w:t>
      </w:r>
      <w:r>
        <w:rPr>
          <w:rFonts w:hint="eastAsia" w:ascii="宋体" w:hAnsi="宋体" w:cs="宋体"/>
          <w:szCs w:val="21"/>
        </w:rPr>
        <w:t>屋面工程质量验收规范：GB50207—2002</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11、</w:t>
      </w:r>
      <w:r>
        <w:rPr>
          <w:rFonts w:hint="eastAsia" w:ascii="宋体" w:hAnsi="宋体" w:cs="宋体"/>
          <w:szCs w:val="21"/>
        </w:rPr>
        <w:t>建筑装饰工程施工及验收规范：JGJ73—91</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12、</w:t>
      </w:r>
      <w:r>
        <w:rPr>
          <w:rFonts w:hint="eastAsia" w:ascii="宋体" w:hAnsi="宋体" w:cs="宋体"/>
          <w:szCs w:val="21"/>
        </w:rPr>
        <w:t>钢筋焊接及验收规范：JGJ18—96</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13、</w:t>
      </w:r>
      <w:r>
        <w:rPr>
          <w:rFonts w:hint="eastAsia" w:ascii="宋体" w:hAnsi="宋体" w:cs="宋体"/>
          <w:szCs w:val="21"/>
        </w:rPr>
        <w:t>建筑给排水及采暖工程施工验收规范：GBSO42—2002</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14、</w:t>
      </w:r>
      <w:r>
        <w:rPr>
          <w:rFonts w:hint="eastAsia" w:ascii="宋体" w:hAnsi="宋体" w:cs="宋体"/>
          <w:szCs w:val="21"/>
        </w:rPr>
        <w:t>施工现场临时用电安全技术规范：GBJ46—88</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15、</w:t>
      </w:r>
      <w:r>
        <w:rPr>
          <w:rFonts w:hint="eastAsia" w:ascii="宋体" w:hAnsi="宋体" w:cs="宋体"/>
          <w:szCs w:val="21"/>
        </w:rPr>
        <w:t>建筑施工高处作业安全技术规范：GBJ80—91</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16、</w:t>
      </w:r>
      <w:r>
        <w:rPr>
          <w:rFonts w:hint="eastAsia" w:ascii="宋体" w:hAnsi="宋体" w:cs="宋体"/>
          <w:szCs w:val="21"/>
        </w:rPr>
        <w:t>建筑机械使用安全技术规范：GBJ33—86</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17、</w:t>
      </w:r>
      <w:r>
        <w:rPr>
          <w:rFonts w:hint="eastAsia" w:ascii="宋体" w:hAnsi="宋体" w:cs="宋体"/>
          <w:szCs w:val="21"/>
        </w:rPr>
        <w:t>建筑电气工程施工质量验收规范：GB50303—2002</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18、</w:t>
      </w:r>
      <w:r>
        <w:rPr>
          <w:rFonts w:hint="eastAsia" w:ascii="宋体" w:hAnsi="宋体" w:cs="宋体"/>
          <w:szCs w:val="21"/>
        </w:rPr>
        <w:t>钢结构设计规范：GB50017-2003</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19、</w:t>
      </w:r>
      <w:r>
        <w:rPr>
          <w:rFonts w:hint="eastAsia" w:ascii="宋体" w:hAnsi="宋体" w:cs="宋体"/>
          <w:szCs w:val="21"/>
        </w:rPr>
        <w:t>钢结构工程施工质量验收规范：GB50205-2001</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20、</w:t>
      </w:r>
      <w:r>
        <w:rPr>
          <w:rFonts w:hint="eastAsia" w:ascii="宋体" w:hAnsi="宋体" w:cs="宋体"/>
          <w:szCs w:val="21"/>
        </w:rPr>
        <w:t>建筑装饰装修质量验收规范：GB50210-2001</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21、</w:t>
      </w:r>
      <w:r>
        <w:rPr>
          <w:rFonts w:hint="eastAsia" w:ascii="宋体" w:hAnsi="宋体" w:cs="宋体"/>
          <w:szCs w:val="21"/>
        </w:rPr>
        <w:t>建筑工程施工质量验收统一标准：GB50300-2001</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22、</w:t>
      </w:r>
      <w:r>
        <w:rPr>
          <w:rFonts w:hint="eastAsia" w:ascii="宋体" w:hAnsi="宋体" w:cs="宋体"/>
          <w:szCs w:val="21"/>
        </w:rPr>
        <w:t>建筑安装工程质量评定统一标准：GBJ300-88</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23、</w:t>
      </w:r>
      <w:r>
        <w:rPr>
          <w:rFonts w:hint="eastAsia" w:ascii="宋体" w:hAnsi="宋体" w:cs="宋体"/>
          <w:szCs w:val="21"/>
        </w:rPr>
        <w:t>建筑地基处理技术规范：JBJ79-91</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24、</w:t>
      </w:r>
      <w:r>
        <w:rPr>
          <w:rFonts w:hint="eastAsia" w:ascii="宋体" w:hAnsi="宋体" w:cs="宋体"/>
          <w:szCs w:val="21"/>
        </w:rPr>
        <w:t>地下防水工程施工验收：GBJ208-83</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25、</w:t>
      </w:r>
      <w:r>
        <w:rPr>
          <w:rFonts w:hint="eastAsia" w:ascii="宋体" w:hAnsi="宋体" w:cs="宋体"/>
          <w:szCs w:val="21"/>
        </w:rPr>
        <w:t>预制混凝土构件质量验收评定标准：GBJ-321-90</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26、</w:t>
      </w:r>
      <w:r>
        <w:rPr>
          <w:rFonts w:hint="eastAsia" w:ascii="宋体" w:hAnsi="宋体" w:cs="宋体"/>
          <w:szCs w:val="21"/>
        </w:rPr>
        <w:t>混凝土质量控制标准：GB50164-92</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27、</w:t>
      </w:r>
      <w:r>
        <w:rPr>
          <w:rFonts w:hint="eastAsia" w:ascii="宋体" w:hAnsi="宋体" w:cs="宋体"/>
          <w:szCs w:val="21"/>
        </w:rPr>
        <w:t>混凝土强度检验评定标准：GBJ107-87</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28、</w:t>
      </w:r>
      <w:r>
        <w:rPr>
          <w:rFonts w:hint="eastAsia" w:ascii="宋体" w:hAnsi="宋体" w:cs="宋体"/>
          <w:szCs w:val="21"/>
        </w:rPr>
        <w:t>建筑施工安全检查标准：JBJ59-99</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440" w:lineRule="exact"/>
        <w:ind w:leftChars="200"/>
        <w:jc w:val="left"/>
        <w:textAlignment w:val="auto"/>
        <w:outlineLvl w:val="9"/>
        <w:rPr>
          <w:rFonts w:hint="eastAsia" w:ascii="宋体" w:hAnsi="宋体" w:cs="宋体"/>
          <w:szCs w:val="21"/>
        </w:rPr>
      </w:pPr>
      <w:r>
        <w:rPr>
          <w:rFonts w:hint="eastAsia" w:ascii="宋体" w:hAnsi="宋体" w:cs="宋体"/>
          <w:szCs w:val="21"/>
          <w:lang w:val="en-US" w:eastAsia="zh-CN"/>
        </w:rPr>
        <w:t>29、</w:t>
      </w:r>
      <w:r>
        <w:rPr>
          <w:rFonts w:hint="eastAsia" w:ascii="宋体" w:hAnsi="宋体" w:cs="宋体"/>
          <w:szCs w:val="21"/>
        </w:rPr>
        <w:t>其他标准</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outlineLvl w:val="9"/>
        <w:rPr>
          <w:rFonts w:hint="eastAsia" w:ascii="宋体" w:hAnsi="宋体" w:cs="宋体"/>
          <w:szCs w:val="21"/>
        </w:rPr>
      </w:pPr>
      <w:r>
        <w:rPr>
          <w:rFonts w:hint="eastAsia" w:ascii="宋体" w:hAnsi="宋体" w:cs="宋体"/>
          <w:szCs w:val="21"/>
        </w:rPr>
        <w:t>二、主要质量检验评定标准</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outlineLvl w:val="9"/>
        <w:rPr>
          <w:rFonts w:hint="eastAsia" w:ascii="宋体" w:hAnsi="宋体" w:cs="宋体"/>
          <w:szCs w:val="21"/>
        </w:rPr>
      </w:pPr>
      <w:r>
        <w:rPr>
          <w:rFonts w:hint="eastAsia" w:ascii="宋体" w:hAnsi="宋体" w:cs="宋体"/>
          <w:szCs w:val="21"/>
        </w:rPr>
        <w:t>1、建筑安装工程质量检验评定标准：GBJ300—88</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outlineLvl w:val="9"/>
        <w:rPr>
          <w:rFonts w:hint="eastAsia" w:ascii="宋体" w:hAnsi="宋体" w:cs="宋体"/>
          <w:szCs w:val="21"/>
        </w:rPr>
      </w:pPr>
      <w:r>
        <w:rPr>
          <w:rFonts w:hint="eastAsia" w:ascii="宋体" w:hAnsi="宋体" w:cs="宋体"/>
          <w:szCs w:val="21"/>
        </w:rPr>
        <w:t>2、建筑工程施工质量验收标准：GB50300—2001</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outlineLvl w:val="9"/>
        <w:rPr>
          <w:rFonts w:hint="eastAsia" w:ascii="宋体" w:hAnsi="宋体" w:cs="宋体"/>
          <w:szCs w:val="21"/>
        </w:rPr>
      </w:pPr>
      <w:r>
        <w:rPr>
          <w:rFonts w:hint="eastAsia" w:ascii="宋体" w:hAnsi="宋体" w:cs="宋体"/>
          <w:szCs w:val="21"/>
        </w:rPr>
        <w:t>3、混凝土结构工程施工质量验收规范：GB50204—2002</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outlineLvl w:val="9"/>
        <w:rPr>
          <w:rFonts w:hint="eastAsia" w:ascii="宋体" w:hAnsi="宋体" w:cs="宋体"/>
          <w:szCs w:val="21"/>
        </w:rPr>
      </w:pPr>
      <w:r>
        <w:rPr>
          <w:rFonts w:hint="eastAsia" w:ascii="宋体" w:hAnsi="宋体" w:cs="宋体"/>
          <w:szCs w:val="21"/>
        </w:rPr>
        <w:t>4、建筑施工安全检查评分标准：JGJ59—99</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outlineLvl w:val="9"/>
        <w:rPr>
          <w:rFonts w:hint="eastAsia" w:ascii="宋体" w:hAnsi="宋体" w:cs="宋体"/>
          <w:szCs w:val="21"/>
        </w:rPr>
      </w:pPr>
      <w:r>
        <w:rPr>
          <w:rFonts w:hint="eastAsia" w:ascii="宋体" w:hAnsi="宋体" w:cs="宋体"/>
          <w:szCs w:val="21"/>
        </w:rPr>
        <w:t>5、建筑采暖、卫生工程质量检验评定标准：GBJ302—88</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outlineLvl w:val="9"/>
        <w:rPr>
          <w:rFonts w:hint="eastAsia" w:ascii="宋体" w:hAnsi="宋体" w:cs="宋体"/>
          <w:szCs w:val="21"/>
        </w:rPr>
      </w:pPr>
      <w:r>
        <w:rPr>
          <w:rFonts w:hint="eastAsia" w:ascii="宋体" w:hAnsi="宋体" w:cs="宋体"/>
          <w:szCs w:val="21"/>
        </w:rPr>
        <w:t>6、建筑电气安装工程质量验收规范：GBJ303—2002</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outlineLvl w:val="9"/>
        <w:rPr>
          <w:rFonts w:hint="eastAsia" w:ascii="宋体" w:hAnsi="宋体" w:cs="宋体"/>
          <w:szCs w:val="21"/>
        </w:rPr>
      </w:pPr>
      <w:r>
        <w:rPr>
          <w:rFonts w:hint="eastAsia" w:ascii="宋体" w:hAnsi="宋体" w:cs="宋体"/>
          <w:szCs w:val="21"/>
        </w:rPr>
        <w:t>7、监理规范标准：GB50319—2000</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outlineLvl w:val="9"/>
        <w:rPr>
          <w:rFonts w:hint="eastAsia" w:ascii="宋体" w:hAnsi="宋体" w:cs="宋体"/>
          <w:szCs w:val="21"/>
        </w:rPr>
      </w:pPr>
      <w:r>
        <w:rPr>
          <w:rFonts w:hint="eastAsia" w:ascii="宋体" w:hAnsi="宋体" w:cs="宋体"/>
          <w:szCs w:val="21"/>
        </w:rPr>
        <w:t>8、其他规范</w:t>
      </w:r>
    </w:p>
    <w:bookmarkEnd w:id="1243"/>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outlineLvl w:val="9"/>
        <w:rPr>
          <w:rFonts w:hint="eastAsia" w:ascii="宋体" w:hAnsi="宋体" w:cs="宋体"/>
          <w:b/>
          <w:szCs w:val="21"/>
        </w:rPr>
      </w:pPr>
      <w:r>
        <w:rPr>
          <w:rFonts w:hint="eastAsia" w:ascii="宋体" w:hAnsi="宋体" w:cs="宋体"/>
          <w:b/>
          <w:szCs w:val="21"/>
        </w:rPr>
        <w:t>以上规范如有变化或不全的，以最新发布的为准。</w:t>
      </w: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spacing w:line="600" w:lineRule="exact"/>
        <w:jc w:val="center"/>
        <w:outlineLvl w:val="0"/>
        <w:rPr>
          <w:b/>
          <w:bCs/>
          <w:sz w:val="36"/>
          <w:szCs w:val="36"/>
          <w:highlight w:val="none"/>
        </w:rPr>
      </w:pPr>
      <w:bookmarkStart w:id="1244" w:name="_Toc2602"/>
      <w:bookmarkStart w:id="1245" w:name="_Toc19921"/>
      <w:bookmarkStart w:id="1246" w:name="_Toc12501"/>
      <w:r>
        <w:rPr>
          <w:rFonts w:hint="eastAsia"/>
          <w:b/>
          <w:bCs/>
          <w:sz w:val="36"/>
          <w:szCs w:val="36"/>
          <w:highlight w:val="none"/>
        </w:rPr>
        <w:t>第</w:t>
      </w:r>
      <w:r>
        <w:rPr>
          <w:rFonts w:hint="eastAsia"/>
          <w:b/>
          <w:bCs/>
          <w:sz w:val="36"/>
          <w:szCs w:val="36"/>
          <w:highlight w:val="none"/>
          <w:lang w:eastAsia="zh-CN"/>
        </w:rPr>
        <w:t>八</w:t>
      </w:r>
      <w:r>
        <w:rPr>
          <w:rFonts w:hint="eastAsia"/>
          <w:b/>
          <w:bCs/>
          <w:sz w:val="36"/>
          <w:szCs w:val="36"/>
          <w:highlight w:val="none"/>
        </w:rPr>
        <w:t>章  投标文件格式</w:t>
      </w:r>
      <w:bookmarkEnd w:id="1231"/>
      <w:bookmarkEnd w:id="1232"/>
      <w:bookmarkEnd w:id="1233"/>
      <w:bookmarkEnd w:id="1234"/>
      <w:bookmarkEnd w:id="1235"/>
      <w:bookmarkEnd w:id="1236"/>
      <w:bookmarkEnd w:id="1237"/>
      <w:bookmarkEnd w:id="1238"/>
      <w:bookmarkEnd w:id="1239"/>
      <w:bookmarkEnd w:id="1240"/>
      <w:bookmarkEnd w:id="1241"/>
      <w:bookmarkEnd w:id="1242"/>
      <w:bookmarkEnd w:id="1244"/>
      <w:bookmarkEnd w:id="1245"/>
      <w:bookmarkEnd w:id="1246"/>
    </w:p>
    <w:p>
      <w:pPr>
        <w:spacing w:line="400" w:lineRule="exact"/>
        <w:ind w:firstLine="420" w:firstLineChars="200"/>
        <w:rPr>
          <w:rFonts w:ascii="宋体" w:hAnsi="宋体" w:eastAsia="宋体" w:cs="宋体"/>
          <w:highlight w:val="none"/>
        </w:rPr>
      </w:pPr>
    </w:p>
    <w:p>
      <w:pPr>
        <w:spacing w:line="440" w:lineRule="exact"/>
        <w:jc w:val="right"/>
        <w:rPr>
          <w:rFonts w:ascii="宋体" w:hAnsi="宋体" w:cs="宋体"/>
          <w:highlight w:val="none"/>
        </w:rPr>
      </w:pPr>
      <w:r>
        <w:rPr>
          <w:rFonts w:hint="eastAsia" w:ascii="宋体" w:hAnsi="宋体" w:eastAsia="宋体" w:cs="宋体"/>
          <w:sz w:val="24"/>
          <w:szCs w:val="24"/>
          <w:highlight w:val="none"/>
        </w:rPr>
        <w:t>正本或副本</w:t>
      </w:r>
    </w:p>
    <w:p>
      <w:pPr>
        <w:spacing w:line="440" w:lineRule="exact"/>
        <w:rPr>
          <w:rFonts w:ascii="宋体" w:hAnsi="宋体" w:cs="宋体"/>
          <w:highlight w:val="none"/>
        </w:rPr>
      </w:pPr>
    </w:p>
    <w:p>
      <w:pPr>
        <w:spacing w:line="360" w:lineRule="auto"/>
        <w:jc w:val="center"/>
        <w:rPr>
          <w:rFonts w:hint="eastAsia" w:ascii="宋体" w:hAnsi="宋体" w:cs="宋体"/>
          <w:b/>
          <w:sz w:val="32"/>
          <w:szCs w:val="32"/>
          <w:highlight w:val="none"/>
        </w:rPr>
      </w:pPr>
      <w:r>
        <w:rPr>
          <w:rFonts w:hint="eastAsia" w:ascii="宋体" w:hAnsi="宋体" w:cs="宋体"/>
          <w:b/>
          <w:sz w:val="32"/>
          <w:szCs w:val="32"/>
          <w:highlight w:val="none"/>
          <w:u w:val="single"/>
        </w:rPr>
        <w:t xml:space="preserve">                 </w:t>
      </w:r>
      <w:r>
        <w:rPr>
          <w:rFonts w:hint="eastAsia" w:ascii="宋体" w:hAnsi="宋体" w:cs="宋体"/>
          <w:b/>
          <w:sz w:val="32"/>
          <w:szCs w:val="32"/>
          <w:highlight w:val="none"/>
          <w:u w:val="single"/>
          <w:lang w:val="en-US" w:eastAsia="zh-CN"/>
        </w:rPr>
        <w:t xml:space="preserve">  </w:t>
      </w:r>
      <w:r>
        <w:rPr>
          <w:rFonts w:hint="eastAsia" w:ascii="宋体" w:hAnsi="宋体" w:cs="宋体"/>
          <w:b/>
          <w:sz w:val="32"/>
          <w:szCs w:val="32"/>
          <w:highlight w:val="none"/>
          <w:u w:val="single"/>
        </w:rPr>
        <w:t xml:space="preserve">   </w:t>
      </w:r>
      <w:r>
        <w:rPr>
          <w:rFonts w:hint="eastAsia" w:ascii="宋体" w:hAnsi="宋体" w:cs="宋体"/>
          <w:b/>
          <w:sz w:val="32"/>
          <w:szCs w:val="32"/>
          <w:highlight w:val="none"/>
        </w:rPr>
        <w:t>（项目名称）</w:t>
      </w:r>
    </w:p>
    <w:p>
      <w:pPr>
        <w:spacing w:line="360" w:lineRule="auto"/>
        <w:ind w:firstLine="420" w:firstLineChars="200"/>
        <w:rPr>
          <w:rFonts w:ascii="宋体" w:hAnsi="宋体" w:cs="宋体"/>
          <w:szCs w:val="21"/>
          <w:highlight w:val="none"/>
        </w:rPr>
      </w:pPr>
    </w:p>
    <w:p>
      <w:pPr>
        <w:spacing w:line="360" w:lineRule="auto"/>
        <w:jc w:val="center"/>
        <w:rPr>
          <w:rFonts w:ascii="宋体" w:hAnsi="宋体" w:cs="宋体"/>
          <w:sz w:val="72"/>
          <w:szCs w:val="72"/>
          <w:highlight w:val="none"/>
        </w:rPr>
      </w:pPr>
    </w:p>
    <w:p>
      <w:pPr>
        <w:spacing w:line="360" w:lineRule="auto"/>
        <w:jc w:val="center"/>
        <w:rPr>
          <w:rFonts w:ascii="宋体" w:hAnsi="宋体" w:cs="宋体"/>
          <w:sz w:val="72"/>
          <w:szCs w:val="72"/>
          <w:highlight w:val="none"/>
        </w:rPr>
      </w:pPr>
      <w:r>
        <w:rPr>
          <w:rFonts w:hint="eastAsia" w:ascii="宋体" w:hAnsi="宋体" w:cs="宋体"/>
          <w:sz w:val="72"/>
          <w:szCs w:val="72"/>
          <w:highlight w:val="none"/>
        </w:rPr>
        <w:t>投 标 文 件</w:t>
      </w:r>
    </w:p>
    <w:p>
      <w:pPr>
        <w:spacing w:line="360" w:lineRule="auto"/>
        <w:ind w:firstLine="420" w:firstLineChars="200"/>
        <w:rPr>
          <w:rFonts w:ascii="宋体" w:hAnsi="宋体" w:cs="宋体"/>
          <w:szCs w:val="21"/>
          <w:highlight w:val="none"/>
        </w:rPr>
      </w:pPr>
    </w:p>
    <w:p>
      <w:pPr>
        <w:spacing w:line="360" w:lineRule="auto"/>
        <w:ind w:firstLine="2730" w:firstLineChars="1300"/>
        <w:rPr>
          <w:rFonts w:ascii="宋体" w:hAnsi="宋体" w:cs="宋体"/>
          <w:szCs w:val="21"/>
          <w:highlight w:val="none"/>
        </w:rPr>
      </w:pPr>
      <w:r>
        <w:rPr>
          <w:rFonts w:hint="eastAsia" w:ascii="宋体" w:hAnsi="宋体" w:cs="宋体"/>
          <w:szCs w:val="21"/>
          <w:highlight w:val="none"/>
        </w:rPr>
        <w:t>项目编号：温交易【201</w:t>
      </w:r>
      <w:r>
        <w:rPr>
          <w:rFonts w:hint="eastAsia" w:ascii="宋体" w:hAnsi="宋体" w:cs="宋体"/>
          <w:szCs w:val="21"/>
          <w:highlight w:val="none"/>
          <w:lang w:val="en-US" w:eastAsia="zh-CN"/>
        </w:rPr>
        <w:t>9</w:t>
      </w:r>
      <w:r>
        <w:rPr>
          <w:rFonts w:hint="eastAsia" w:ascii="宋体" w:hAnsi="宋体" w:cs="宋体"/>
          <w:szCs w:val="21"/>
          <w:highlight w:val="none"/>
        </w:rPr>
        <w:t xml:space="preserve">】  </w:t>
      </w:r>
      <w:r>
        <w:rPr>
          <w:rFonts w:hint="eastAsia" w:ascii="宋体" w:hAnsi="宋体" w:cs="宋体"/>
          <w:szCs w:val="21"/>
          <w:highlight w:val="none"/>
          <w:lang w:val="en-US" w:eastAsia="zh-CN"/>
        </w:rPr>
        <w:t xml:space="preserve"> </w:t>
      </w:r>
      <w:r>
        <w:rPr>
          <w:rFonts w:hint="eastAsia" w:ascii="宋体" w:hAnsi="宋体" w:cs="宋体"/>
          <w:szCs w:val="21"/>
          <w:highlight w:val="none"/>
        </w:rPr>
        <w:t>号</w:t>
      </w:r>
    </w:p>
    <w:p>
      <w:pPr>
        <w:spacing w:line="360" w:lineRule="auto"/>
        <w:ind w:firstLine="2730" w:firstLineChars="1300"/>
        <w:rPr>
          <w:rFonts w:ascii="宋体" w:hAnsi="宋体" w:cs="宋体"/>
          <w:szCs w:val="21"/>
          <w:highlight w:val="none"/>
        </w:rPr>
      </w:pPr>
      <w:r>
        <w:rPr>
          <w:rFonts w:hint="eastAsia" w:ascii="宋体" w:hAnsi="宋体" w:cs="宋体"/>
          <w:szCs w:val="21"/>
          <w:highlight w:val="none"/>
        </w:rPr>
        <w:t>采购编号：温政采【201</w:t>
      </w:r>
      <w:r>
        <w:rPr>
          <w:rFonts w:hint="eastAsia" w:ascii="宋体" w:hAnsi="宋体" w:cs="宋体"/>
          <w:szCs w:val="21"/>
          <w:highlight w:val="none"/>
          <w:lang w:val="en-US" w:eastAsia="zh-CN"/>
        </w:rPr>
        <w:t>9</w:t>
      </w:r>
      <w:r>
        <w:rPr>
          <w:rFonts w:hint="eastAsia" w:ascii="宋体" w:hAnsi="宋体" w:cs="宋体"/>
          <w:szCs w:val="21"/>
          <w:highlight w:val="none"/>
        </w:rPr>
        <w:t xml:space="preserve">】 </w:t>
      </w:r>
      <w:r>
        <w:rPr>
          <w:rFonts w:hint="eastAsia" w:ascii="宋体" w:hAnsi="宋体" w:cs="宋体"/>
          <w:szCs w:val="21"/>
          <w:highlight w:val="none"/>
          <w:lang w:val="en-US" w:eastAsia="zh-CN"/>
        </w:rPr>
        <w:t xml:space="preserve"> </w:t>
      </w:r>
      <w:r>
        <w:rPr>
          <w:rFonts w:hint="eastAsia" w:ascii="宋体" w:hAnsi="宋体" w:cs="宋体"/>
          <w:szCs w:val="21"/>
          <w:highlight w:val="none"/>
        </w:rPr>
        <w:t xml:space="preserve"> 号</w:t>
      </w:r>
    </w:p>
    <w:p>
      <w:pPr>
        <w:spacing w:line="360" w:lineRule="auto"/>
        <w:ind w:firstLine="420" w:firstLineChars="200"/>
        <w:rPr>
          <w:rFonts w:ascii="宋体" w:hAnsi="宋体" w:cs="宋体"/>
          <w:szCs w:val="21"/>
          <w:highlight w:val="none"/>
        </w:rPr>
      </w:pPr>
    </w:p>
    <w:p>
      <w:pPr>
        <w:spacing w:line="360" w:lineRule="auto"/>
        <w:ind w:firstLine="420" w:firstLineChars="200"/>
        <w:rPr>
          <w:rFonts w:ascii="宋体" w:hAnsi="宋体" w:cs="宋体"/>
          <w:szCs w:val="21"/>
          <w:highlight w:val="none"/>
        </w:rPr>
      </w:pPr>
    </w:p>
    <w:p>
      <w:pPr>
        <w:spacing w:line="360" w:lineRule="auto"/>
        <w:ind w:firstLine="420" w:firstLineChars="200"/>
        <w:rPr>
          <w:rFonts w:ascii="宋体" w:hAnsi="宋体" w:cs="宋体"/>
          <w:szCs w:val="21"/>
          <w:highlight w:val="none"/>
        </w:rPr>
      </w:pPr>
    </w:p>
    <w:p>
      <w:pPr>
        <w:spacing w:line="360" w:lineRule="auto"/>
        <w:ind w:firstLine="420" w:firstLineChars="200"/>
        <w:rPr>
          <w:rFonts w:ascii="宋体" w:hAnsi="宋体" w:cs="宋体"/>
          <w:szCs w:val="21"/>
          <w:highlight w:val="none"/>
        </w:rPr>
      </w:pPr>
    </w:p>
    <w:p>
      <w:pPr>
        <w:spacing w:line="360" w:lineRule="auto"/>
        <w:ind w:firstLine="420" w:firstLineChars="200"/>
        <w:rPr>
          <w:rFonts w:ascii="宋体" w:hAnsi="宋体" w:cs="宋体"/>
          <w:szCs w:val="21"/>
          <w:highlight w:val="none"/>
        </w:rPr>
      </w:pPr>
    </w:p>
    <w:p>
      <w:pPr>
        <w:spacing w:line="360" w:lineRule="auto"/>
        <w:jc w:val="center"/>
        <w:rPr>
          <w:rFonts w:ascii="宋体" w:hAnsi="宋体" w:cs="宋体"/>
          <w:sz w:val="28"/>
          <w:szCs w:val="28"/>
          <w:highlight w:val="none"/>
        </w:rPr>
      </w:pPr>
      <w:r>
        <w:rPr>
          <w:rFonts w:hint="eastAsia" w:ascii="宋体" w:hAnsi="宋体" w:cs="宋体"/>
          <w:sz w:val="28"/>
          <w:szCs w:val="28"/>
          <w:highlight w:val="none"/>
        </w:rPr>
        <w:t xml:space="preserve">   投标人：</w:t>
      </w:r>
      <w:r>
        <w:rPr>
          <w:rFonts w:hint="eastAsia" w:ascii="宋体" w:hAnsi="宋体" w:cs="宋体"/>
          <w:sz w:val="28"/>
          <w:szCs w:val="28"/>
          <w:highlight w:val="none"/>
          <w:u w:val="single"/>
        </w:rPr>
        <w:t xml:space="preserve">                </w:t>
      </w:r>
      <w:r>
        <w:rPr>
          <w:rFonts w:hint="eastAsia" w:ascii="宋体" w:hAnsi="宋体" w:cs="宋体"/>
          <w:sz w:val="28"/>
          <w:szCs w:val="28"/>
          <w:highlight w:val="none"/>
        </w:rPr>
        <w:t>（盖单位章）</w:t>
      </w:r>
    </w:p>
    <w:p>
      <w:pPr>
        <w:spacing w:line="360" w:lineRule="auto"/>
        <w:ind w:firstLine="560" w:firstLineChars="200"/>
        <w:rPr>
          <w:rFonts w:ascii="宋体" w:hAnsi="宋体" w:cs="宋体"/>
          <w:sz w:val="28"/>
          <w:szCs w:val="28"/>
          <w:highlight w:val="none"/>
        </w:rPr>
      </w:pPr>
    </w:p>
    <w:p>
      <w:pPr>
        <w:spacing w:line="360" w:lineRule="auto"/>
        <w:ind w:firstLine="1680" w:firstLineChars="600"/>
        <w:rPr>
          <w:rFonts w:ascii="宋体" w:hAnsi="宋体" w:cs="宋体"/>
          <w:sz w:val="28"/>
          <w:szCs w:val="28"/>
          <w:highlight w:val="none"/>
        </w:rPr>
      </w:pPr>
      <w:r>
        <w:rPr>
          <w:rFonts w:hint="eastAsia" w:ascii="宋体" w:hAnsi="宋体" w:cs="宋体"/>
          <w:sz w:val="28"/>
          <w:szCs w:val="28"/>
          <w:highlight w:val="none"/>
        </w:rPr>
        <w:t>法定代表人或其委托代理人：</w:t>
      </w:r>
      <w:r>
        <w:rPr>
          <w:rFonts w:hint="eastAsia" w:ascii="宋体" w:hAnsi="宋体" w:cs="宋体"/>
          <w:sz w:val="28"/>
          <w:szCs w:val="28"/>
          <w:highlight w:val="none"/>
          <w:u w:val="single"/>
        </w:rPr>
        <w:t xml:space="preserve">         </w:t>
      </w:r>
      <w:r>
        <w:rPr>
          <w:rFonts w:hint="eastAsia" w:ascii="宋体" w:hAnsi="宋体" w:cs="宋体"/>
          <w:sz w:val="28"/>
          <w:szCs w:val="28"/>
          <w:highlight w:val="none"/>
        </w:rPr>
        <w:t>（签字）</w:t>
      </w:r>
    </w:p>
    <w:p>
      <w:pPr>
        <w:spacing w:line="360" w:lineRule="auto"/>
        <w:jc w:val="center"/>
        <w:rPr>
          <w:rFonts w:ascii="宋体" w:hAnsi="宋体" w:cs="宋体"/>
          <w:szCs w:val="21"/>
          <w:highlight w:val="none"/>
          <w:u w:val="single"/>
        </w:rPr>
      </w:pPr>
    </w:p>
    <w:p>
      <w:pPr>
        <w:spacing w:line="360" w:lineRule="auto"/>
        <w:jc w:val="center"/>
        <w:rPr>
          <w:rFonts w:ascii="宋体" w:hAnsi="宋体" w:cs="宋体"/>
          <w:highlight w:val="none"/>
        </w:rPr>
      </w:pPr>
      <w:r>
        <w:rPr>
          <w:rFonts w:hint="eastAsia" w:ascii="宋体" w:hAnsi="宋体" w:cs="宋体"/>
          <w:sz w:val="28"/>
          <w:szCs w:val="28"/>
          <w:highlight w:val="none"/>
          <w:u w:val="single"/>
          <w:lang w:val="en-US" w:eastAsia="zh-CN"/>
        </w:rPr>
        <w:t xml:space="preserve">  </w:t>
      </w:r>
      <w:r>
        <w:rPr>
          <w:rFonts w:hint="eastAsia" w:ascii="宋体" w:hAnsi="宋体" w:cs="宋体"/>
          <w:sz w:val="28"/>
          <w:szCs w:val="28"/>
          <w:highlight w:val="none"/>
          <w:u w:val="single"/>
        </w:rPr>
        <w:t xml:space="preserve">    </w:t>
      </w:r>
      <w:r>
        <w:rPr>
          <w:rFonts w:hint="eastAsia" w:ascii="宋体" w:hAnsi="宋体" w:cs="宋体"/>
          <w:sz w:val="28"/>
          <w:szCs w:val="28"/>
          <w:highlight w:val="none"/>
        </w:rPr>
        <w:t>年</w:t>
      </w:r>
      <w:r>
        <w:rPr>
          <w:rFonts w:hint="eastAsia" w:ascii="宋体" w:hAnsi="宋体" w:cs="宋体"/>
          <w:sz w:val="28"/>
          <w:szCs w:val="28"/>
          <w:highlight w:val="none"/>
          <w:u w:val="single"/>
        </w:rPr>
        <w:t xml:space="preserve">    </w:t>
      </w:r>
      <w:r>
        <w:rPr>
          <w:rFonts w:hint="eastAsia" w:ascii="宋体" w:hAnsi="宋体" w:cs="宋体"/>
          <w:sz w:val="28"/>
          <w:szCs w:val="28"/>
          <w:highlight w:val="none"/>
        </w:rPr>
        <w:t>月</w:t>
      </w:r>
      <w:r>
        <w:rPr>
          <w:rFonts w:hint="eastAsia" w:ascii="宋体" w:hAnsi="宋体" w:cs="宋体"/>
          <w:sz w:val="28"/>
          <w:szCs w:val="28"/>
          <w:highlight w:val="none"/>
          <w:u w:val="single"/>
        </w:rPr>
        <w:t xml:space="preserve">   </w:t>
      </w:r>
      <w:r>
        <w:rPr>
          <w:rFonts w:hint="eastAsia" w:ascii="宋体" w:hAnsi="宋体" w:cs="宋体"/>
          <w:sz w:val="28"/>
          <w:szCs w:val="28"/>
          <w:highlight w:val="none"/>
        </w:rPr>
        <w:t>日</w:t>
      </w:r>
      <w:r>
        <w:rPr>
          <w:rFonts w:hint="eastAsia" w:ascii="宋体" w:hAnsi="宋体" w:cs="宋体"/>
          <w:highlight w:val="none"/>
        </w:rPr>
        <w:br w:type="page"/>
      </w:r>
    </w:p>
    <w:p>
      <w:pPr>
        <w:pStyle w:val="8"/>
        <w:jc w:val="center"/>
        <w:rPr>
          <w:rFonts w:ascii="宋体" w:hAnsi="宋体" w:eastAsia="宋体" w:cs="宋体"/>
          <w:highlight w:val="none"/>
        </w:rPr>
      </w:pPr>
      <w:bookmarkStart w:id="1247" w:name="_Toc6667"/>
      <w:bookmarkStart w:id="1248" w:name="_Toc247085873"/>
      <w:bookmarkStart w:id="1249" w:name="_Toc246996355"/>
      <w:bookmarkStart w:id="1250" w:name="_Toc16502"/>
      <w:bookmarkStart w:id="1251" w:name="_Toc31512"/>
      <w:bookmarkStart w:id="1252" w:name="_Toc22318"/>
      <w:bookmarkStart w:id="1253" w:name="_Toc179632807"/>
      <w:bookmarkStart w:id="1254" w:name="_Toc152042576"/>
      <w:bookmarkStart w:id="1255" w:name="_Toc144974856"/>
      <w:bookmarkStart w:id="1256" w:name="_Toc246997098"/>
      <w:bookmarkStart w:id="1257" w:name="_Toc7871"/>
      <w:bookmarkStart w:id="1258" w:name="_Toc24971"/>
      <w:bookmarkStart w:id="1259" w:name="_Toc28419"/>
      <w:bookmarkStart w:id="1260" w:name="_Toc152045787"/>
      <w:r>
        <w:rPr>
          <w:rFonts w:hint="eastAsia" w:ascii="宋体" w:hAnsi="宋体" w:eastAsia="宋体" w:cs="宋体"/>
          <w:highlight w:val="none"/>
        </w:rPr>
        <w:t>目    录</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pPr>
        <w:spacing w:line="540" w:lineRule="exact"/>
        <w:rPr>
          <w:rFonts w:ascii="宋体" w:hAnsi="宋体" w:cs="宋体"/>
          <w:highlight w:val="none"/>
        </w:rPr>
      </w:pPr>
    </w:p>
    <w:p>
      <w:pPr>
        <w:spacing w:line="540" w:lineRule="exact"/>
        <w:ind w:firstLine="630" w:firstLineChars="300"/>
        <w:rPr>
          <w:rFonts w:ascii="宋体" w:hAnsi="宋体" w:cs="宋体"/>
          <w:highlight w:val="none"/>
        </w:rPr>
      </w:pPr>
      <w:r>
        <w:rPr>
          <w:rFonts w:hint="eastAsia" w:ascii="宋体" w:hAnsi="宋体" w:cs="宋体"/>
          <w:highlight w:val="none"/>
        </w:rPr>
        <w:t>一、投标函及投标函附录</w:t>
      </w:r>
    </w:p>
    <w:p>
      <w:pPr>
        <w:spacing w:line="540" w:lineRule="exact"/>
        <w:ind w:firstLine="630" w:firstLineChars="300"/>
        <w:rPr>
          <w:rFonts w:ascii="宋体" w:hAnsi="宋体" w:cs="宋体"/>
          <w:highlight w:val="none"/>
        </w:rPr>
      </w:pPr>
      <w:r>
        <w:rPr>
          <w:rFonts w:hint="eastAsia" w:ascii="宋体" w:hAnsi="宋体" w:cs="宋体"/>
          <w:highlight w:val="none"/>
        </w:rPr>
        <w:t>二、法定代表人身份证明</w:t>
      </w:r>
    </w:p>
    <w:p>
      <w:pPr>
        <w:spacing w:line="540" w:lineRule="exact"/>
        <w:ind w:firstLine="630" w:firstLineChars="300"/>
        <w:rPr>
          <w:rFonts w:ascii="宋体" w:hAnsi="宋体" w:cs="宋体"/>
          <w:highlight w:val="none"/>
        </w:rPr>
      </w:pPr>
      <w:r>
        <w:rPr>
          <w:rFonts w:hint="eastAsia" w:ascii="宋体" w:hAnsi="宋体" w:cs="宋体"/>
          <w:highlight w:val="none"/>
        </w:rPr>
        <w:t>三、授权委托书</w:t>
      </w:r>
    </w:p>
    <w:p>
      <w:pPr>
        <w:spacing w:line="540" w:lineRule="exact"/>
        <w:ind w:firstLine="630" w:firstLineChars="300"/>
        <w:rPr>
          <w:rFonts w:ascii="宋体" w:hAnsi="宋体" w:cs="宋体"/>
          <w:highlight w:val="none"/>
        </w:rPr>
      </w:pPr>
      <w:r>
        <w:rPr>
          <w:rFonts w:hint="eastAsia" w:ascii="宋体" w:hAnsi="宋体" w:cs="宋体"/>
          <w:highlight w:val="none"/>
        </w:rPr>
        <w:t xml:space="preserve">四、投标保证金 </w:t>
      </w:r>
    </w:p>
    <w:p>
      <w:pPr>
        <w:spacing w:line="540" w:lineRule="exact"/>
        <w:ind w:firstLine="630" w:firstLineChars="300"/>
        <w:rPr>
          <w:rFonts w:ascii="宋体" w:hAnsi="宋体" w:cs="宋体"/>
          <w:highlight w:val="none"/>
        </w:rPr>
      </w:pPr>
      <w:r>
        <w:rPr>
          <w:rFonts w:hint="eastAsia" w:ascii="宋体" w:hAnsi="宋体" w:cs="宋体"/>
          <w:highlight w:val="none"/>
        </w:rPr>
        <w:t>五、已标价工程量清单</w:t>
      </w:r>
    </w:p>
    <w:p>
      <w:pPr>
        <w:spacing w:line="540" w:lineRule="exact"/>
        <w:ind w:firstLine="630" w:firstLineChars="300"/>
        <w:rPr>
          <w:rFonts w:ascii="宋体" w:hAnsi="宋体" w:cs="宋体"/>
          <w:highlight w:val="none"/>
        </w:rPr>
      </w:pPr>
      <w:r>
        <w:rPr>
          <w:rFonts w:hint="eastAsia" w:ascii="宋体" w:hAnsi="宋体" w:cs="宋体"/>
          <w:highlight w:val="none"/>
        </w:rPr>
        <w:t>六、施工组织设计</w:t>
      </w:r>
    </w:p>
    <w:p>
      <w:pPr>
        <w:spacing w:line="540" w:lineRule="exact"/>
        <w:ind w:firstLine="630" w:firstLineChars="300"/>
        <w:rPr>
          <w:rFonts w:ascii="宋体" w:hAnsi="宋体" w:cs="宋体"/>
          <w:highlight w:val="none"/>
        </w:rPr>
      </w:pPr>
      <w:r>
        <w:rPr>
          <w:rFonts w:hint="eastAsia" w:ascii="宋体" w:hAnsi="宋体" w:cs="宋体"/>
          <w:highlight w:val="none"/>
        </w:rPr>
        <w:t>七、项目管理机构</w:t>
      </w:r>
    </w:p>
    <w:p>
      <w:pPr>
        <w:spacing w:line="540" w:lineRule="exact"/>
        <w:ind w:firstLine="630" w:firstLineChars="300"/>
        <w:rPr>
          <w:rFonts w:ascii="宋体" w:hAnsi="宋体" w:cs="宋体"/>
          <w:highlight w:val="none"/>
        </w:rPr>
      </w:pPr>
      <w:r>
        <w:rPr>
          <w:rFonts w:hint="eastAsia" w:ascii="宋体" w:hAnsi="宋体" w:cs="宋体"/>
          <w:highlight w:val="none"/>
        </w:rPr>
        <w:t>八、资格审查资料</w:t>
      </w:r>
    </w:p>
    <w:p>
      <w:pPr>
        <w:spacing w:line="540" w:lineRule="exact"/>
        <w:ind w:firstLine="630" w:firstLineChars="300"/>
        <w:rPr>
          <w:rFonts w:ascii="宋体" w:hAnsi="宋体" w:cs="宋体"/>
          <w:highlight w:val="none"/>
        </w:rPr>
      </w:pPr>
      <w:r>
        <w:rPr>
          <w:rFonts w:hint="eastAsia" w:ascii="宋体" w:hAnsi="宋体" w:cs="宋体"/>
          <w:highlight w:val="none"/>
        </w:rPr>
        <w:t>九、投标承诺</w:t>
      </w:r>
    </w:p>
    <w:p>
      <w:pPr>
        <w:spacing w:line="540" w:lineRule="exact"/>
        <w:ind w:firstLine="630" w:firstLineChars="300"/>
        <w:rPr>
          <w:rFonts w:ascii="宋体" w:hAnsi="宋体" w:cs="宋体"/>
          <w:highlight w:val="none"/>
        </w:rPr>
      </w:pPr>
      <w:r>
        <w:rPr>
          <w:rFonts w:hint="eastAsia" w:ascii="宋体" w:hAnsi="宋体" w:cs="宋体"/>
          <w:highlight w:val="none"/>
        </w:rPr>
        <w:t>十、廉政建设承诺书</w:t>
      </w:r>
    </w:p>
    <w:p>
      <w:pPr>
        <w:spacing w:line="540" w:lineRule="exact"/>
        <w:ind w:firstLine="630" w:firstLineChars="300"/>
        <w:rPr>
          <w:rFonts w:ascii="宋体" w:hAnsi="宋体" w:cs="宋体"/>
          <w:highlight w:val="none"/>
        </w:rPr>
      </w:pPr>
      <w:r>
        <w:rPr>
          <w:rFonts w:hint="eastAsia" w:ascii="宋体" w:hAnsi="宋体" w:cs="宋体"/>
          <w:highlight w:val="none"/>
        </w:rPr>
        <w:t>十一、无行贿犯罪记录承诺书</w:t>
      </w: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spacing w:line="540" w:lineRule="exact"/>
        <w:rPr>
          <w:rFonts w:ascii="宋体" w:hAnsi="宋体" w:cs="宋体"/>
          <w:highlight w:val="none"/>
        </w:rPr>
      </w:pPr>
    </w:p>
    <w:p>
      <w:pPr>
        <w:spacing w:line="540" w:lineRule="exact"/>
        <w:rPr>
          <w:rFonts w:ascii="宋体" w:hAnsi="宋体" w:cs="宋体"/>
          <w:highlight w:val="none"/>
        </w:rPr>
      </w:pPr>
    </w:p>
    <w:p>
      <w:pPr>
        <w:spacing w:line="540" w:lineRule="exact"/>
        <w:rPr>
          <w:rFonts w:ascii="宋体" w:hAnsi="宋体" w:cs="宋体"/>
          <w:highlight w:val="none"/>
        </w:rPr>
      </w:pPr>
    </w:p>
    <w:p>
      <w:pPr>
        <w:pStyle w:val="8"/>
        <w:jc w:val="center"/>
        <w:rPr>
          <w:rFonts w:ascii="宋体" w:hAnsi="宋体" w:eastAsia="宋体" w:cs="宋体"/>
          <w:highlight w:val="none"/>
        </w:rPr>
      </w:pPr>
      <w:bookmarkStart w:id="1261" w:name="_Toc144974857"/>
      <w:bookmarkStart w:id="1262" w:name="_Toc246996356"/>
      <w:bookmarkStart w:id="1263" w:name="_Toc152042577"/>
      <w:bookmarkStart w:id="1264" w:name="_Toc8265"/>
      <w:bookmarkStart w:id="1265" w:name="_Toc152045788"/>
      <w:bookmarkStart w:id="1266" w:name="_Toc2887"/>
      <w:bookmarkStart w:id="1267" w:name="_Toc246997099"/>
      <w:bookmarkStart w:id="1268" w:name="_Toc13576"/>
      <w:bookmarkStart w:id="1269" w:name="_Toc24824"/>
      <w:bookmarkStart w:id="1270" w:name="_Toc29907"/>
      <w:bookmarkStart w:id="1271" w:name="_Toc247085874"/>
      <w:bookmarkStart w:id="1272" w:name="_Toc179632808"/>
      <w:bookmarkStart w:id="1273" w:name="_Toc19924"/>
      <w:bookmarkStart w:id="1274" w:name="_Toc9202"/>
      <w:r>
        <w:rPr>
          <w:rFonts w:hint="eastAsia" w:ascii="宋体" w:hAnsi="宋体" w:eastAsia="宋体" w:cs="宋体"/>
          <w:highlight w:val="none"/>
        </w:rPr>
        <w:t>一、投标函及投标函附录</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pPr>
        <w:keepNext/>
        <w:keepLines/>
        <w:spacing w:line="416" w:lineRule="auto"/>
        <w:jc w:val="center"/>
        <w:rPr>
          <w:rFonts w:ascii="宋体" w:hAnsi="宋体" w:cs="宋体"/>
          <w:b/>
          <w:bCs/>
          <w:sz w:val="28"/>
          <w:szCs w:val="28"/>
          <w:highlight w:val="none"/>
        </w:rPr>
      </w:pPr>
      <w:bookmarkStart w:id="1275" w:name="_Toc144974858"/>
      <w:bookmarkStart w:id="1276" w:name="_Toc246997100"/>
      <w:bookmarkStart w:id="1277" w:name="_Toc247085875"/>
      <w:bookmarkStart w:id="1278" w:name="_Toc152042578"/>
      <w:bookmarkStart w:id="1279" w:name="_Toc246996357"/>
      <w:bookmarkStart w:id="1280" w:name="_Toc152045789"/>
      <w:bookmarkStart w:id="1281" w:name="_Toc179632809"/>
      <w:r>
        <w:rPr>
          <w:rFonts w:hint="eastAsia" w:ascii="宋体" w:hAnsi="宋体" w:cs="宋体"/>
          <w:b/>
          <w:bCs/>
          <w:sz w:val="28"/>
          <w:szCs w:val="28"/>
          <w:highlight w:val="none"/>
        </w:rPr>
        <w:t>（一）投标函</w:t>
      </w:r>
      <w:bookmarkEnd w:id="1275"/>
      <w:bookmarkEnd w:id="1276"/>
      <w:bookmarkEnd w:id="1277"/>
      <w:bookmarkEnd w:id="1278"/>
      <w:bookmarkEnd w:id="1279"/>
      <w:bookmarkEnd w:id="1280"/>
      <w:bookmarkEnd w:id="1281"/>
    </w:p>
    <w:p>
      <w:pPr>
        <w:spacing w:line="480" w:lineRule="exact"/>
        <w:rPr>
          <w:rFonts w:ascii="宋体" w:hAnsi="宋体" w:eastAsia="宋体" w:cs="宋体"/>
          <w:szCs w:val="21"/>
          <w:highlight w:val="none"/>
        </w:rPr>
      </w:pPr>
      <w:r>
        <w:rPr>
          <w:rFonts w:hint="eastAsia" w:ascii="宋体" w:hAnsi="宋体" w:cs="宋体"/>
          <w:sz w:val="28"/>
          <w:szCs w:val="28"/>
          <w:highlight w:val="none"/>
          <w:u w:val="single"/>
        </w:rPr>
        <w:t xml:space="preserve">            </w:t>
      </w:r>
      <w:r>
        <w:rPr>
          <w:rFonts w:hint="eastAsia" w:ascii="宋体" w:hAnsi="宋体" w:eastAsia="宋体" w:cs="宋体"/>
          <w:szCs w:val="21"/>
          <w:highlight w:val="none"/>
        </w:rPr>
        <w:t>（招标人名称）：</w:t>
      </w:r>
    </w:p>
    <w:p>
      <w:pPr>
        <w:spacing w:line="480" w:lineRule="exact"/>
        <w:ind w:firstLine="420" w:firstLineChars="200"/>
        <w:rPr>
          <w:rFonts w:ascii="宋体" w:hAnsi="宋体" w:eastAsia="宋体" w:cs="宋体"/>
          <w:szCs w:val="21"/>
          <w:highlight w:val="none"/>
        </w:rPr>
      </w:pPr>
      <w:r>
        <w:rPr>
          <w:rFonts w:hint="eastAsia" w:ascii="宋体" w:hAnsi="宋体" w:eastAsia="宋体" w:cs="宋体"/>
          <w:szCs w:val="21"/>
          <w:highlight w:val="none"/>
        </w:rPr>
        <w:t>1．我方已仔细研究了</w:t>
      </w:r>
      <w:r>
        <w:rPr>
          <w:rFonts w:hint="eastAsia" w:ascii="宋体" w:hAnsi="宋体" w:cs="宋体"/>
          <w:sz w:val="28"/>
          <w:szCs w:val="28"/>
          <w:highlight w:val="none"/>
          <w:u w:val="single"/>
        </w:rPr>
        <w:t xml:space="preserve">               </w:t>
      </w:r>
      <w:r>
        <w:rPr>
          <w:rFonts w:hint="eastAsia" w:ascii="宋体" w:hAnsi="宋体" w:eastAsia="宋体" w:cs="宋体"/>
          <w:szCs w:val="21"/>
          <w:highlight w:val="none"/>
        </w:rPr>
        <w:t>（项目名称）招标文件的全部内容，愿意以人民币（大写）</w:t>
      </w:r>
      <w:r>
        <w:rPr>
          <w:rFonts w:hint="eastAsia" w:ascii="宋体" w:hAnsi="宋体" w:cs="宋体"/>
          <w:sz w:val="28"/>
          <w:szCs w:val="28"/>
          <w:highlight w:val="none"/>
          <w:u w:val="single"/>
        </w:rPr>
        <w:t xml:space="preserve">         </w:t>
      </w:r>
      <w:r>
        <w:rPr>
          <w:rFonts w:hint="eastAsia" w:ascii="宋体" w:hAnsi="宋体" w:eastAsia="宋体" w:cs="宋体"/>
          <w:szCs w:val="21"/>
          <w:highlight w:val="none"/>
        </w:rPr>
        <w:t>（¥</w:t>
      </w:r>
      <w:r>
        <w:rPr>
          <w:rFonts w:hint="eastAsia" w:ascii="宋体" w:hAnsi="宋体" w:cs="宋体"/>
          <w:sz w:val="28"/>
          <w:szCs w:val="28"/>
          <w:highlight w:val="none"/>
          <w:u w:val="single"/>
        </w:rPr>
        <w:t xml:space="preserve">         </w:t>
      </w:r>
      <w:r>
        <w:rPr>
          <w:rFonts w:hint="eastAsia" w:ascii="宋体" w:hAnsi="宋体" w:eastAsia="宋体" w:cs="宋体"/>
          <w:szCs w:val="21"/>
          <w:highlight w:val="none"/>
        </w:rPr>
        <w:t>）的投标总报价</w:t>
      </w:r>
      <w:r>
        <w:rPr>
          <w:rFonts w:hint="eastAsia" w:ascii="宋体" w:hAnsi="宋体" w:cs="宋体"/>
          <w:szCs w:val="21"/>
          <w:highlight w:val="none"/>
          <w:lang w:val="en-US" w:eastAsia="zh-CN"/>
        </w:rPr>
        <w:t>，</w:t>
      </w:r>
      <w:r>
        <w:rPr>
          <w:rFonts w:hint="eastAsia" w:ascii="宋体" w:hAnsi="宋体" w:eastAsia="宋体" w:cs="宋体"/>
          <w:szCs w:val="21"/>
          <w:highlight w:val="none"/>
        </w:rPr>
        <w:t>工期</w:t>
      </w:r>
      <w:r>
        <w:rPr>
          <w:rFonts w:hint="eastAsia" w:ascii="宋体" w:hAnsi="宋体" w:cs="宋体"/>
          <w:sz w:val="28"/>
          <w:szCs w:val="28"/>
          <w:highlight w:val="none"/>
          <w:u w:val="single"/>
        </w:rPr>
        <w:t xml:space="preserve">         </w:t>
      </w:r>
      <w:r>
        <w:rPr>
          <w:rFonts w:hint="eastAsia" w:ascii="宋体" w:hAnsi="宋体" w:eastAsia="宋体" w:cs="宋体"/>
          <w:szCs w:val="21"/>
          <w:highlight w:val="none"/>
        </w:rPr>
        <w:t>日历天，按合同约定实施和完成承包工程，修补工程中的任何缺陷，工程质量达到</w:t>
      </w:r>
      <w:r>
        <w:rPr>
          <w:rFonts w:hint="eastAsia" w:ascii="宋体" w:hAnsi="宋体" w:cs="宋体"/>
          <w:sz w:val="28"/>
          <w:szCs w:val="28"/>
          <w:highlight w:val="none"/>
          <w:u w:val="single"/>
        </w:rPr>
        <w:t xml:space="preserve">         </w:t>
      </w:r>
      <w:r>
        <w:rPr>
          <w:rFonts w:hint="eastAsia" w:ascii="宋体" w:hAnsi="宋体" w:eastAsia="宋体" w:cs="宋体"/>
          <w:szCs w:val="21"/>
          <w:highlight w:val="none"/>
        </w:rPr>
        <w:t>。</w:t>
      </w:r>
    </w:p>
    <w:p>
      <w:pPr>
        <w:spacing w:line="480" w:lineRule="exact"/>
        <w:ind w:firstLine="420" w:firstLineChars="200"/>
        <w:rPr>
          <w:rFonts w:ascii="宋体" w:hAnsi="宋体" w:eastAsia="宋体" w:cs="宋体"/>
          <w:szCs w:val="21"/>
          <w:highlight w:val="none"/>
        </w:rPr>
      </w:pPr>
      <w:r>
        <w:rPr>
          <w:rFonts w:hint="eastAsia" w:ascii="宋体" w:hAnsi="宋体" w:eastAsia="宋体" w:cs="宋体"/>
          <w:szCs w:val="21"/>
          <w:highlight w:val="none"/>
        </w:rPr>
        <w:t>2．我方承诺在招标文件规定的投标有效期内不修改、撤销投标文件。</w:t>
      </w:r>
    </w:p>
    <w:p>
      <w:pPr>
        <w:spacing w:line="480" w:lineRule="exact"/>
        <w:ind w:firstLine="420" w:firstLineChars="200"/>
        <w:rPr>
          <w:rFonts w:ascii="宋体" w:hAnsi="宋体" w:eastAsia="宋体" w:cs="宋体"/>
          <w:szCs w:val="21"/>
          <w:highlight w:val="none"/>
        </w:rPr>
      </w:pPr>
      <w:r>
        <w:rPr>
          <w:rFonts w:hint="eastAsia" w:ascii="宋体" w:hAnsi="宋体" w:eastAsia="宋体" w:cs="宋体"/>
          <w:szCs w:val="21"/>
          <w:highlight w:val="none"/>
        </w:rPr>
        <w:t>3．随同本投标函提交投标保证金一份，金额为人民币（大写）</w:t>
      </w:r>
      <w:r>
        <w:rPr>
          <w:rFonts w:hint="eastAsia" w:ascii="宋体" w:hAnsi="宋体" w:cs="宋体"/>
          <w:sz w:val="28"/>
          <w:szCs w:val="28"/>
          <w:highlight w:val="none"/>
          <w:u w:val="single"/>
        </w:rPr>
        <w:t xml:space="preserve">         </w:t>
      </w:r>
      <w:r>
        <w:rPr>
          <w:rFonts w:hint="eastAsia" w:ascii="宋体" w:hAnsi="宋体" w:eastAsia="宋体" w:cs="宋体"/>
          <w:szCs w:val="21"/>
          <w:highlight w:val="none"/>
        </w:rPr>
        <w:t>（¥</w:t>
      </w:r>
      <w:r>
        <w:rPr>
          <w:rFonts w:hint="eastAsia" w:ascii="宋体" w:hAnsi="宋体" w:cs="宋体"/>
          <w:sz w:val="28"/>
          <w:szCs w:val="28"/>
          <w:highlight w:val="none"/>
          <w:u w:val="single"/>
        </w:rPr>
        <w:t xml:space="preserve">         </w:t>
      </w:r>
      <w:r>
        <w:rPr>
          <w:rFonts w:hint="eastAsia" w:ascii="宋体" w:hAnsi="宋体" w:eastAsia="宋体" w:cs="宋体"/>
          <w:szCs w:val="21"/>
          <w:highlight w:val="none"/>
        </w:rPr>
        <w:t>）。</w:t>
      </w:r>
    </w:p>
    <w:p>
      <w:pPr>
        <w:spacing w:line="480" w:lineRule="exact"/>
        <w:ind w:firstLine="420" w:firstLineChars="200"/>
        <w:rPr>
          <w:rFonts w:ascii="宋体" w:hAnsi="宋体" w:eastAsia="宋体" w:cs="宋体"/>
          <w:szCs w:val="21"/>
          <w:highlight w:val="none"/>
        </w:rPr>
      </w:pPr>
      <w:r>
        <w:rPr>
          <w:rFonts w:hint="eastAsia" w:ascii="宋体" w:hAnsi="宋体" w:eastAsia="宋体" w:cs="宋体"/>
          <w:szCs w:val="21"/>
          <w:highlight w:val="none"/>
        </w:rPr>
        <w:t>4．如我方中标：</w:t>
      </w:r>
    </w:p>
    <w:p>
      <w:pPr>
        <w:spacing w:line="480" w:lineRule="exact"/>
        <w:ind w:firstLine="718" w:firstLineChars="342"/>
        <w:rPr>
          <w:rFonts w:ascii="宋体" w:hAnsi="宋体" w:eastAsia="宋体" w:cs="宋体"/>
          <w:szCs w:val="21"/>
          <w:highlight w:val="none"/>
        </w:rPr>
      </w:pPr>
      <w:r>
        <w:rPr>
          <w:rFonts w:hint="eastAsia" w:ascii="宋体" w:hAnsi="宋体" w:eastAsia="宋体" w:cs="宋体"/>
          <w:szCs w:val="21"/>
          <w:highlight w:val="none"/>
        </w:rPr>
        <w:t>（1）我方承诺在收到中标通知书后，在中标通知书规定的期限内与你方签订合同。</w:t>
      </w:r>
    </w:p>
    <w:p>
      <w:pPr>
        <w:spacing w:line="480" w:lineRule="exact"/>
        <w:ind w:firstLine="718" w:firstLineChars="342"/>
        <w:rPr>
          <w:rFonts w:ascii="宋体" w:hAnsi="宋体" w:eastAsia="宋体" w:cs="宋体"/>
          <w:szCs w:val="21"/>
          <w:highlight w:val="none"/>
        </w:rPr>
      </w:pPr>
      <w:r>
        <w:rPr>
          <w:rFonts w:hint="eastAsia" w:ascii="宋体" w:hAnsi="宋体" w:eastAsia="宋体" w:cs="宋体"/>
          <w:szCs w:val="21"/>
          <w:highlight w:val="none"/>
        </w:rPr>
        <w:t>（2）随同本投标函递交的投标函附录属于合同文件的组成部分。</w:t>
      </w:r>
    </w:p>
    <w:p>
      <w:pPr>
        <w:spacing w:line="480" w:lineRule="exact"/>
        <w:ind w:firstLine="718" w:firstLineChars="342"/>
        <w:rPr>
          <w:rFonts w:ascii="宋体" w:hAnsi="宋体" w:eastAsia="宋体" w:cs="宋体"/>
          <w:szCs w:val="21"/>
          <w:highlight w:val="none"/>
        </w:rPr>
      </w:pPr>
      <w:r>
        <w:rPr>
          <w:rFonts w:hint="eastAsia" w:ascii="宋体" w:hAnsi="宋体" w:eastAsia="宋体" w:cs="宋体"/>
          <w:szCs w:val="21"/>
          <w:highlight w:val="none"/>
        </w:rPr>
        <w:t>（3）我方承诺按照招标文件规定向你方递交履约担保。</w:t>
      </w:r>
    </w:p>
    <w:p>
      <w:pPr>
        <w:spacing w:line="480" w:lineRule="exact"/>
        <w:ind w:firstLine="718" w:firstLineChars="342"/>
        <w:rPr>
          <w:rFonts w:ascii="宋体" w:hAnsi="宋体" w:eastAsia="宋体" w:cs="宋体"/>
          <w:szCs w:val="21"/>
          <w:highlight w:val="none"/>
        </w:rPr>
      </w:pPr>
      <w:r>
        <w:rPr>
          <w:rFonts w:hint="eastAsia" w:ascii="宋体" w:hAnsi="宋体" w:eastAsia="宋体" w:cs="宋体"/>
          <w:szCs w:val="21"/>
          <w:highlight w:val="none"/>
        </w:rPr>
        <w:t>（4）我方承诺在合同约定的期限内完成并移交全部合同工程。</w:t>
      </w:r>
    </w:p>
    <w:p>
      <w:pPr>
        <w:spacing w:line="480" w:lineRule="exact"/>
        <w:ind w:firstLine="420" w:firstLineChars="200"/>
        <w:rPr>
          <w:rFonts w:ascii="宋体" w:hAnsi="宋体" w:eastAsia="宋体" w:cs="宋体"/>
          <w:szCs w:val="21"/>
          <w:highlight w:val="none"/>
        </w:rPr>
      </w:pPr>
      <w:r>
        <w:rPr>
          <w:rFonts w:hint="eastAsia" w:ascii="宋体" w:hAnsi="宋体" w:eastAsia="宋体" w:cs="宋体"/>
          <w:szCs w:val="21"/>
          <w:highlight w:val="none"/>
        </w:rPr>
        <w:t>5．</w:t>
      </w:r>
      <w:r>
        <w:rPr>
          <w:rFonts w:hint="eastAsia" w:ascii="宋体" w:hAnsi="宋体" w:eastAsia="宋体" w:cs="宋体"/>
          <w:highlight w:val="none"/>
        </w:rPr>
        <w:t>我方在此声明，所递交的投标文件及有关资料内容完整、真实和准确，且不存在第二章“投标人须知”第1.4.2项和第1.4.3项规定的任何一种情形。</w:t>
      </w:r>
    </w:p>
    <w:p>
      <w:pPr>
        <w:spacing w:line="480" w:lineRule="exact"/>
        <w:ind w:firstLine="420" w:firstLineChars="200"/>
        <w:rPr>
          <w:rFonts w:ascii="宋体" w:hAnsi="宋体" w:eastAsia="宋体" w:cs="宋体"/>
          <w:szCs w:val="21"/>
          <w:highlight w:val="none"/>
        </w:rPr>
      </w:pPr>
      <w:r>
        <w:rPr>
          <w:rFonts w:hint="eastAsia" w:ascii="宋体" w:hAnsi="宋体" w:eastAsia="宋体" w:cs="宋体"/>
          <w:szCs w:val="21"/>
          <w:highlight w:val="none"/>
        </w:rPr>
        <w:t>6．</w:t>
      </w:r>
      <w:r>
        <w:rPr>
          <w:rFonts w:hint="eastAsia" w:ascii="宋体" w:hAnsi="宋体" w:cs="宋体"/>
          <w:sz w:val="28"/>
          <w:szCs w:val="28"/>
          <w:highlight w:val="none"/>
          <w:u w:val="single"/>
        </w:rPr>
        <w:t xml:space="preserve">              </w:t>
      </w:r>
      <w:r>
        <w:rPr>
          <w:rFonts w:hint="eastAsia" w:ascii="宋体" w:hAnsi="宋体" w:eastAsia="宋体" w:cs="宋体"/>
          <w:szCs w:val="21"/>
          <w:highlight w:val="none"/>
        </w:rPr>
        <w:t>（其他补充说明）。</w:t>
      </w:r>
    </w:p>
    <w:p>
      <w:pPr>
        <w:spacing w:line="480" w:lineRule="exact"/>
        <w:rPr>
          <w:rFonts w:hint="eastAsia" w:ascii="宋体" w:hAnsi="宋体" w:eastAsia="宋体" w:cs="宋体"/>
          <w:szCs w:val="21"/>
          <w:highlight w:val="none"/>
        </w:rPr>
      </w:pPr>
    </w:p>
    <w:p>
      <w:pPr>
        <w:spacing w:line="480" w:lineRule="exact"/>
        <w:ind w:firstLine="3675" w:firstLineChars="1750"/>
        <w:rPr>
          <w:rFonts w:ascii="宋体" w:hAnsi="宋体" w:eastAsia="宋体" w:cs="宋体"/>
          <w:szCs w:val="21"/>
          <w:highlight w:val="none"/>
        </w:rPr>
      </w:pPr>
      <w:r>
        <w:rPr>
          <w:rFonts w:hint="eastAsia" w:ascii="宋体" w:hAnsi="宋体" w:eastAsia="宋体" w:cs="宋体"/>
          <w:szCs w:val="21"/>
          <w:highlight w:val="none"/>
        </w:rPr>
        <w:t>投 标 人：</w:t>
      </w:r>
      <w:r>
        <w:rPr>
          <w:rFonts w:hint="eastAsia" w:ascii="宋体" w:hAnsi="宋体" w:cs="宋体"/>
          <w:sz w:val="28"/>
          <w:szCs w:val="28"/>
          <w:highlight w:val="none"/>
          <w:u w:val="single"/>
        </w:rPr>
        <w:t xml:space="preserve">         </w:t>
      </w:r>
      <w:r>
        <w:rPr>
          <w:rFonts w:hint="eastAsia" w:ascii="宋体" w:hAnsi="宋体" w:eastAsia="宋体" w:cs="宋体"/>
          <w:szCs w:val="21"/>
          <w:highlight w:val="none"/>
        </w:rPr>
        <w:t>（盖单位章）</w:t>
      </w:r>
    </w:p>
    <w:p>
      <w:pPr>
        <w:spacing w:line="480" w:lineRule="exact"/>
        <w:ind w:firstLine="3675" w:firstLineChars="1750"/>
        <w:rPr>
          <w:rFonts w:ascii="宋体" w:hAnsi="宋体" w:eastAsia="宋体" w:cs="宋体"/>
          <w:szCs w:val="21"/>
          <w:highlight w:val="none"/>
        </w:rPr>
      </w:pPr>
      <w:r>
        <w:rPr>
          <w:rFonts w:hint="eastAsia" w:ascii="宋体" w:hAnsi="宋体" w:eastAsia="宋体" w:cs="宋体"/>
          <w:szCs w:val="21"/>
          <w:highlight w:val="none"/>
        </w:rPr>
        <w:t>法定代表人或其委托代理人：</w:t>
      </w:r>
      <w:r>
        <w:rPr>
          <w:rFonts w:hint="eastAsia" w:ascii="宋体" w:hAnsi="宋体" w:cs="宋体"/>
          <w:sz w:val="28"/>
          <w:szCs w:val="28"/>
          <w:highlight w:val="none"/>
          <w:u w:val="single"/>
        </w:rPr>
        <w:t xml:space="preserve">         </w:t>
      </w:r>
      <w:r>
        <w:rPr>
          <w:rFonts w:hint="eastAsia" w:ascii="宋体" w:hAnsi="宋体" w:eastAsia="宋体" w:cs="宋体"/>
          <w:szCs w:val="21"/>
          <w:highlight w:val="none"/>
        </w:rPr>
        <w:t>（签字）</w:t>
      </w:r>
    </w:p>
    <w:p>
      <w:pPr>
        <w:spacing w:line="480" w:lineRule="exact"/>
        <w:ind w:firstLine="3675" w:firstLineChars="1750"/>
        <w:rPr>
          <w:rFonts w:ascii="宋体" w:hAnsi="宋体" w:eastAsia="宋体" w:cs="宋体"/>
          <w:szCs w:val="21"/>
          <w:highlight w:val="none"/>
        </w:rPr>
      </w:pPr>
      <w:r>
        <w:rPr>
          <w:rFonts w:hint="eastAsia" w:ascii="宋体" w:hAnsi="宋体" w:eastAsia="宋体" w:cs="宋体"/>
          <w:szCs w:val="21"/>
          <w:highlight w:val="none"/>
        </w:rPr>
        <w:t>地址：</w:t>
      </w:r>
      <w:r>
        <w:rPr>
          <w:rFonts w:hint="eastAsia" w:ascii="宋体" w:hAnsi="宋体" w:cs="宋体"/>
          <w:sz w:val="28"/>
          <w:szCs w:val="28"/>
          <w:highlight w:val="none"/>
          <w:u w:val="single"/>
        </w:rPr>
        <w:t xml:space="preserve">                     </w:t>
      </w:r>
    </w:p>
    <w:p>
      <w:pPr>
        <w:spacing w:line="480" w:lineRule="exact"/>
        <w:ind w:firstLine="3675" w:firstLineChars="1750"/>
        <w:rPr>
          <w:rFonts w:ascii="宋体" w:hAnsi="宋体" w:eastAsia="宋体" w:cs="宋体"/>
          <w:szCs w:val="21"/>
          <w:highlight w:val="none"/>
        </w:rPr>
      </w:pPr>
      <w:r>
        <w:rPr>
          <w:rFonts w:hint="eastAsia" w:ascii="宋体" w:hAnsi="宋体" w:eastAsia="宋体" w:cs="宋体"/>
          <w:szCs w:val="21"/>
          <w:highlight w:val="none"/>
        </w:rPr>
        <w:t>网址：</w:t>
      </w:r>
      <w:r>
        <w:rPr>
          <w:rFonts w:hint="eastAsia" w:ascii="宋体" w:hAnsi="宋体" w:cs="宋体"/>
          <w:sz w:val="28"/>
          <w:szCs w:val="28"/>
          <w:highlight w:val="none"/>
          <w:u w:val="single"/>
        </w:rPr>
        <w:t xml:space="preserve">                     </w:t>
      </w:r>
    </w:p>
    <w:p>
      <w:pPr>
        <w:spacing w:line="480" w:lineRule="exact"/>
        <w:ind w:firstLine="3675" w:firstLineChars="1750"/>
        <w:rPr>
          <w:rFonts w:ascii="宋体" w:hAnsi="宋体" w:eastAsia="宋体" w:cs="宋体"/>
          <w:szCs w:val="21"/>
          <w:highlight w:val="none"/>
        </w:rPr>
      </w:pPr>
      <w:r>
        <w:rPr>
          <w:rFonts w:hint="eastAsia" w:ascii="宋体" w:hAnsi="宋体" w:eastAsia="宋体" w:cs="宋体"/>
          <w:szCs w:val="21"/>
          <w:highlight w:val="none"/>
        </w:rPr>
        <w:t>电话：</w:t>
      </w:r>
      <w:r>
        <w:rPr>
          <w:rFonts w:hint="eastAsia" w:ascii="宋体" w:hAnsi="宋体" w:cs="宋体"/>
          <w:sz w:val="28"/>
          <w:szCs w:val="28"/>
          <w:highlight w:val="none"/>
          <w:u w:val="single"/>
        </w:rPr>
        <w:t xml:space="preserve">                     </w:t>
      </w:r>
    </w:p>
    <w:p>
      <w:pPr>
        <w:spacing w:line="480" w:lineRule="exact"/>
        <w:ind w:firstLine="3675" w:firstLineChars="1750"/>
        <w:rPr>
          <w:rFonts w:ascii="宋体" w:hAnsi="宋体" w:eastAsia="宋体" w:cs="宋体"/>
          <w:szCs w:val="21"/>
          <w:highlight w:val="none"/>
        </w:rPr>
      </w:pPr>
      <w:r>
        <w:rPr>
          <w:rFonts w:hint="eastAsia" w:ascii="宋体" w:hAnsi="宋体" w:eastAsia="宋体" w:cs="宋体"/>
          <w:szCs w:val="21"/>
          <w:highlight w:val="none"/>
        </w:rPr>
        <w:t>传真：</w:t>
      </w:r>
      <w:r>
        <w:rPr>
          <w:rFonts w:hint="eastAsia" w:ascii="宋体" w:hAnsi="宋体" w:cs="宋体"/>
          <w:sz w:val="28"/>
          <w:szCs w:val="28"/>
          <w:highlight w:val="none"/>
          <w:u w:val="single"/>
        </w:rPr>
        <w:t xml:space="preserve">                     </w:t>
      </w:r>
    </w:p>
    <w:p>
      <w:pPr>
        <w:spacing w:line="480" w:lineRule="exact"/>
        <w:ind w:firstLine="3675" w:firstLineChars="1750"/>
        <w:rPr>
          <w:rFonts w:ascii="宋体" w:hAnsi="宋体" w:eastAsia="宋体" w:cs="宋体"/>
          <w:szCs w:val="21"/>
          <w:highlight w:val="none"/>
        </w:rPr>
      </w:pPr>
      <w:r>
        <w:rPr>
          <w:rFonts w:hint="eastAsia" w:ascii="宋体" w:hAnsi="宋体" w:eastAsia="宋体" w:cs="宋体"/>
          <w:szCs w:val="21"/>
          <w:highlight w:val="none"/>
        </w:rPr>
        <w:t>邮政编码：</w:t>
      </w:r>
      <w:r>
        <w:rPr>
          <w:rFonts w:hint="eastAsia" w:ascii="宋体" w:hAnsi="宋体" w:cs="宋体"/>
          <w:sz w:val="28"/>
          <w:szCs w:val="28"/>
          <w:highlight w:val="none"/>
          <w:u w:val="single"/>
        </w:rPr>
        <w:t xml:space="preserve">                     </w:t>
      </w:r>
    </w:p>
    <w:p>
      <w:pPr>
        <w:spacing w:line="480" w:lineRule="exact"/>
        <w:ind w:firstLine="6720" w:firstLineChars="2400"/>
        <w:rPr>
          <w:rFonts w:hint="eastAsia" w:ascii="宋体" w:hAnsi="宋体" w:eastAsia="宋体" w:cs="宋体"/>
          <w:szCs w:val="21"/>
          <w:highlight w:val="none"/>
        </w:rPr>
      </w:pPr>
      <w:r>
        <w:rPr>
          <w:rFonts w:hint="eastAsia" w:ascii="宋体" w:hAnsi="宋体" w:cs="宋体"/>
          <w:sz w:val="28"/>
          <w:szCs w:val="28"/>
          <w:highlight w:val="none"/>
          <w:u w:val="single"/>
        </w:rPr>
        <w:t xml:space="preserve">    </w:t>
      </w:r>
      <w:r>
        <w:rPr>
          <w:rFonts w:hint="eastAsia" w:ascii="宋体" w:hAnsi="宋体" w:eastAsia="宋体" w:cs="宋体"/>
          <w:szCs w:val="21"/>
          <w:highlight w:val="none"/>
        </w:rPr>
        <w:t>年</w:t>
      </w:r>
      <w:r>
        <w:rPr>
          <w:rFonts w:hint="eastAsia" w:ascii="宋体" w:hAnsi="宋体" w:cs="宋体"/>
          <w:sz w:val="28"/>
          <w:szCs w:val="28"/>
          <w:highlight w:val="none"/>
          <w:u w:val="single"/>
        </w:rPr>
        <w:t xml:space="preserve">    </w:t>
      </w:r>
      <w:r>
        <w:rPr>
          <w:rFonts w:hint="eastAsia" w:ascii="宋体" w:hAnsi="宋体" w:eastAsia="宋体" w:cs="宋体"/>
          <w:szCs w:val="21"/>
          <w:highlight w:val="none"/>
        </w:rPr>
        <w:t>月</w:t>
      </w:r>
      <w:r>
        <w:rPr>
          <w:rFonts w:hint="eastAsia" w:ascii="宋体" w:hAnsi="宋体" w:cs="宋体"/>
          <w:sz w:val="28"/>
          <w:szCs w:val="28"/>
          <w:highlight w:val="none"/>
          <w:u w:val="single"/>
        </w:rPr>
        <w:t xml:space="preserve">    </w:t>
      </w:r>
      <w:r>
        <w:rPr>
          <w:rFonts w:hint="eastAsia" w:ascii="宋体" w:hAnsi="宋体" w:eastAsia="宋体" w:cs="宋体"/>
          <w:szCs w:val="21"/>
          <w:highlight w:val="none"/>
        </w:rPr>
        <w:t>日</w:t>
      </w:r>
    </w:p>
    <w:p>
      <w:pPr>
        <w:pStyle w:val="26"/>
        <w:rPr>
          <w:rFonts w:hint="eastAsia" w:ascii="宋体" w:hAnsi="宋体" w:eastAsia="宋体" w:cs="宋体"/>
          <w:szCs w:val="21"/>
          <w:highlight w:val="none"/>
        </w:rPr>
      </w:pPr>
    </w:p>
    <w:p>
      <w:pPr>
        <w:pStyle w:val="26"/>
        <w:rPr>
          <w:rFonts w:hint="eastAsia" w:ascii="宋体" w:hAnsi="宋体" w:eastAsia="宋体" w:cs="宋体"/>
          <w:szCs w:val="21"/>
          <w:highlight w:val="none"/>
        </w:rPr>
      </w:pPr>
    </w:p>
    <w:p>
      <w:pPr>
        <w:keepNext/>
        <w:keepLines/>
        <w:spacing w:line="416" w:lineRule="auto"/>
        <w:jc w:val="center"/>
        <w:rPr>
          <w:rFonts w:ascii="宋体" w:hAnsi="宋体" w:cs="宋体"/>
          <w:b/>
          <w:bCs/>
          <w:sz w:val="28"/>
          <w:szCs w:val="28"/>
          <w:highlight w:val="none"/>
        </w:rPr>
      </w:pPr>
      <w:bookmarkStart w:id="1282" w:name="_Toc179632810"/>
      <w:bookmarkStart w:id="1283" w:name="_Toc246996358"/>
      <w:bookmarkStart w:id="1284" w:name="_Toc144974859"/>
      <w:bookmarkStart w:id="1285" w:name="_Toc152045790"/>
      <w:bookmarkStart w:id="1286" w:name="_Toc246997101"/>
      <w:bookmarkStart w:id="1287" w:name="_Toc247085876"/>
      <w:bookmarkStart w:id="1288" w:name="_Toc152042579"/>
      <w:r>
        <w:rPr>
          <w:rFonts w:hint="eastAsia" w:ascii="宋体" w:hAnsi="宋体" w:cs="宋体"/>
          <w:b/>
          <w:bCs/>
          <w:sz w:val="28"/>
          <w:szCs w:val="28"/>
          <w:highlight w:val="none"/>
        </w:rPr>
        <w:t>（二）投标函附录</w:t>
      </w:r>
      <w:bookmarkEnd w:id="1282"/>
      <w:bookmarkEnd w:id="1283"/>
      <w:bookmarkEnd w:id="1284"/>
      <w:bookmarkEnd w:id="1285"/>
      <w:bookmarkEnd w:id="1286"/>
      <w:bookmarkEnd w:id="1287"/>
      <w:bookmarkEnd w:id="1288"/>
    </w:p>
    <w:p>
      <w:pPr>
        <w:spacing w:line="440" w:lineRule="exact"/>
        <w:rPr>
          <w:rFonts w:ascii="宋体" w:hAnsi="宋体" w:cs="宋体"/>
          <w:highlight w:val="none"/>
        </w:rPr>
      </w:pPr>
    </w:p>
    <w:tbl>
      <w:tblPr>
        <w:tblStyle w:val="22"/>
        <w:tblW w:w="85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2337"/>
        <w:gridCol w:w="2161"/>
        <w:gridCol w:w="2702"/>
        <w:gridCol w:w="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0" w:type="dxa"/>
            <w:vAlign w:val="center"/>
          </w:tcPr>
          <w:p>
            <w:pPr>
              <w:spacing w:line="440" w:lineRule="exact"/>
              <w:jc w:val="center"/>
              <w:rPr>
                <w:rFonts w:ascii="宋体" w:hAnsi="宋体" w:cs="宋体"/>
                <w:b/>
                <w:szCs w:val="21"/>
                <w:highlight w:val="none"/>
              </w:rPr>
            </w:pPr>
            <w:r>
              <w:rPr>
                <w:rFonts w:hint="eastAsia" w:ascii="宋体" w:hAnsi="宋体" w:cs="宋体"/>
                <w:b/>
                <w:szCs w:val="21"/>
                <w:highlight w:val="none"/>
              </w:rPr>
              <w:t>序号</w:t>
            </w:r>
          </w:p>
        </w:tc>
        <w:tc>
          <w:tcPr>
            <w:tcW w:w="2337" w:type="dxa"/>
            <w:vAlign w:val="center"/>
          </w:tcPr>
          <w:p>
            <w:pPr>
              <w:spacing w:line="440" w:lineRule="exact"/>
              <w:jc w:val="center"/>
              <w:rPr>
                <w:rFonts w:ascii="宋体" w:hAnsi="宋体" w:cs="宋体"/>
                <w:b/>
                <w:szCs w:val="21"/>
                <w:highlight w:val="none"/>
              </w:rPr>
            </w:pPr>
            <w:r>
              <w:rPr>
                <w:rFonts w:hint="eastAsia" w:ascii="宋体" w:hAnsi="宋体" w:cs="宋体"/>
                <w:b/>
                <w:szCs w:val="21"/>
                <w:highlight w:val="none"/>
              </w:rPr>
              <w:t>条款名称</w:t>
            </w:r>
          </w:p>
        </w:tc>
        <w:tc>
          <w:tcPr>
            <w:tcW w:w="2161" w:type="dxa"/>
            <w:vAlign w:val="center"/>
          </w:tcPr>
          <w:p>
            <w:pPr>
              <w:spacing w:line="440" w:lineRule="exact"/>
              <w:jc w:val="center"/>
              <w:rPr>
                <w:rFonts w:ascii="宋体" w:hAnsi="宋体" w:cs="宋体"/>
                <w:b/>
                <w:szCs w:val="21"/>
                <w:highlight w:val="none"/>
              </w:rPr>
            </w:pPr>
            <w:r>
              <w:rPr>
                <w:rFonts w:hint="eastAsia" w:ascii="宋体" w:hAnsi="宋体" w:cs="宋体"/>
                <w:b/>
                <w:szCs w:val="21"/>
                <w:highlight w:val="none"/>
              </w:rPr>
              <w:t>合同条款号</w:t>
            </w:r>
          </w:p>
        </w:tc>
        <w:tc>
          <w:tcPr>
            <w:tcW w:w="2702" w:type="dxa"/>
            <w:vAlign w:val="center"/>
          </w:tcPr>
          <w:p>
            <w:pPr>
              <w:spacing w:line="440" w:lineRule="exact"/>
              <w:jc w:val="center"/>
              <w:rPr>
                <w:rFonts w:ascii="宋体" w:hAnsi="宋体" w:cs="宋体"/>
                <w:b/>
                <w:szCs w:val="21"/>
                <w:highlight w:val="none"/>
              </w:rPr>
            </w:pPr>
            <w:r>
              <w:rPr>
                <w:rFonts w:hint="eastAsia" w:ascii="宋体" w:hAnsi="宋体" w:cs="宋体"/>
                <w:b/>
                <w:szCs w:val="21"/>
                <w:highlight w:val="none"/>
              </w:rPr>
              <w:t>约定内容</w:t>
            </w:r>
          </w:p>
        </w:tc>
        <w:tc>
          <w:tcPr>
            <w:tcW w:w="718" w:type="dxa"/>
            <w:vAlign w:val="center"/>
          </w:tcPr>
          <w:p>
            <w:pPr>
              <w:spacing w:line="440" w:lineRule="exact"/>
              <w:jc w:val="center"/>
              <w:rPr>
                <w:rFonts w:ascii="宋体" w:hAnsi="宋体" w:cs="宋体"/>
                <w:b/>
                <w:szCs w:val="21"/>
                <w:highlight w:val="none"/>
              </w:rPr>
            </w:pPr>
            <w:r>
              <w:rPr>
                <w:rFonts w:hint="eastAsia" w:ascii="宋体" w:hAnsi="宋体" w:cs="宋体"/>
                <w:b/>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0"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1</w:t>
            </w:r>
          </w:p>
        </w:tc>
        <w:tc>
          <w:tcPr>
            <w:tcW w:w="2337"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项目经理</w:t>
            </w:r>
          </w:p>
        </w:tc>
        <w:tc>
          <w:tcPr>
            <w:tcW w:w="2161"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1.1.2.4</w:t>
            </w:r>
          </w:p>
        </w:tc>
        <w:tc>
          <w:tcPr>
            <w:tcW w:w="2702" w:type="dxa"/>
            <w:vAlign w:val="center"/>
          </w:tcPr>
          <w:p>
            <w:pPr>
              <w:spacing w:line="440" w:lineRule="exact"/>
              <w:rPr>
                <w:rFonts w:ascii="宋体" w:hAnsi="宋体" w:cs="宋体"/>
                <w:szCs w:val="21"/>
                <w:highlight w:val="none"/>
                <w:u w:val="single"/>
              </w:rPr>
            </w:pPr>
            <w:r>
              <w:rPr>
                <w:rFonts w:hint="eastAsia" w:ascii="宋体" w:hAnsi="宋体" w:cs="宋体"/>
                <w:szCs w:val="21"/>
                <w:highlight w:val="none"/>
              </w:rPr>
              <w:t>姓名：</w:t>
            </w:r>
            <w:r>
              <w:rPr>
                <w:rFonts w:hint="eastAsia" w:ascii="宋体" w:hAnsi="宋体" w:cs="宋体"/>
                <w:sz w:val="28"/>
                <w:szCs w:val="28"/>
                <w:highlight w:val="none"/>
                <w:u w:val="single"/>
              </w:rPr>
              <w:t xml:space="preserve">         </w:t>
            </w:r>
          </w:p>
        </w:tc>
        <w:tc>
          <w:tcPr>
            <w:tcW w:w="718" w:type="dxa"/>
            <w:vAlign w:val="center"/>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0"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2</w:t>
            </w:r>
          </w:p>
        </w:tc>
        <w:tc>
          <w:tcPr>
            <w:tcW w:w="2337"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工期</w:t>
            </w:r>
          </w:p>
        </w:tc>
        <w:tc>
          <w:tcPr>
            <w:tcW w:w="2161"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1.1.4.3</w:t>
            </w:r>
          </w:p>
        </w:tc>
        <w:tc>
          <w:tcPr>
            <w:tcW w:w="2702" w:type="dxa"/>
            <w:vAlign w:val="center"/>
          </w:tcPr>
          <w:p>
            <w:pPr>
              <w:spacing w:line="440" w:lineRule="exact"/>
              <w:rPr>
                <w:rFonts w:ascii="宋体" w:hAnsi="宋体" w:cs="宋体"/>
                <w:szCs w:val="21"/>
                <w:highlight w:val="none"/>
                <w:u w:val="single"/>
              </w:rPr>
            </w:pPr>
            <w:r>
              <w:rPr>
                <w:rFonts w:hint="eastAsia" w:ascii="宋体" w:hAnsi="宋体" w:cs="宋体"/>
                <w:szCs w:val="21"/>
                <w:highlight w:val="none"/>
              </w:rPr>
              <w:t>天数：</w:t>
            </w:r>
            <w:r>
              <w:rPr>
                <w:rFonts w:hint="eastAsia" w:ascii="宋体" w:hAnsi="宋体" w:cs="宋体"/>
                <w:sz w:val="28"/>
                <w:szCs w:val="28"/>
                <w:highlight w:val="none"/>
                <w:u w:val="single"/>
              </w:rPr>
              <w:t xml:space="preserve">    </w:t>
            </w:r>
            <w:r>
              <w:rPr>
                <w:rFonts w:hint="eastAsia" w:ascii="宋体" w:hAnsi="宋体" w:cs="宋体"/>
                <w:szCs w:val="21"/>
                <w:highlight w:val="none"/>
              </w:rPr>
              <w:t>日历天</w:t>
            </w:r>
          </w:p>
        </w:tc>
        <w:tc>
          <w:tcPr>
            <w:tcW w:w="718" w:type="dxa"/>
            <w:vAlign w:val="center"/>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0"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3</w:t>
            </w:r>
          </w:p>
        </w:tc>
        <w:tc>
          <w:tcPr>
            <w:tcW w:w="2337"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缺陷责任期</w:t>
            </w:r>
          </w:p>
        </w:tc>
        <w:tc>
          <w:tcPr>
            <w:tcW w:w="2161"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1.1.4.5</w:t>
            </w:r>
          </w:p>
        </w:tc>
        <w:tc>
          <w:tcPr>
            <w:tcW w:w="2702" w:type="dxa"/>
            <w:vAlign w:val="center"/>
          </w:tcPr>
          <w:p>
            <w:pPr>
              <w:spacing w:line="440" w:lineRule="exact"/>
              <w:rPr>
                <w:rFonts w:ascii="宋体" w:hAnsi="宋体" w:cs="宋体"/>
                <w:szCs w:val="21"/>
                <w:highlight w:val="none"/>
              </w:rPr>
            </w:pPr>
          </w:p>
        </w:tc>
        <w:tc>
          <w:tcPr>
            <w:tcW w:w="718" w:type="dxa"/>
            <w:vAlign w:val="center"/>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0"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337"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161"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702"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718" w:type="dxa"/>
            <w:vAlign w:val="center"/>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0"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337"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161"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702"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718" w:type="dxa"/>
            <w:vAlign w:val="center"/>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0"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337"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161"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702"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718" w:type="dxa"/>
            <w:vAlign w:val="center"/>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0"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337"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161"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702"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718" w:type="dxa"/>
            <w:vAlign w:val="center"/>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0"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337"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161"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2702"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w:t>
            </w:r>
          </w:p>
        </w:tc>
        <w:tc>
          <w:tcPr>
            <w:tcW w:w="718" w:type="dxa"/>
            <w:vAlign w:val="center"/>
          </w:tcPr>
          <w:p>
            <w:pPr>
              <w:spacing w:line="440" w:lineRule="exact"/>
              <w:jc w:val="center"/>
              <w:rPr>
                <w:rFonts w:ascii="宋体" w:hAnsi="宋体" w:cs="宋体"/>
                <w:szCs w:val="21"/>
                <w:highlight w:val="none"/>
              </w:rPr>
            </w:pPr>
          </w:p>
        </w:tc>
      </w:tr>
    </w:tbl>
    <w:p>
      <w:pPr>
        <w:spacing w:line="440" w:lineRule="exact"/>
        <w:ind w:left="840" w:leftChars="400" w:firstLine="2310" w:firstLineChars="1100"/>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240" w:lineRule="exact"/>
        <w:rPr>
          <w:rFonts w:ascii="宋体" w:hAnsi="宋体" w:cs="宋体"/>
          <w:highlight w:val="none"/>
        </w:rPr>
      </w:pPr>
    </w:p>
    <w:p>
      <w:pPr>
        <w:pStyle w:val="8"/>
        <w:jc w:val="center"/>
        <w:rPr>
          <w:rFonts w:ascii="宋体" w:hAnsi="宋体" w:eastAsia="宋体" w:cs="宋体"/>
          <w:highlight w:val="none"/>
        </w:rPr>
      </w:pPr>
      <w:bookmarkStart w:id="1289" w:name="_Toc246997102"/>
      <w:bookmarkStart w:id="1290" w:name="_Toc152042580"/>
      <w:bookmarkStart w:id="1291" w:name="_Toc30583"/>
      <w:bookmarkStart w:id="1292" w:name="_Toc179632811"/>
      <w:bookmarkStart w:id="1293" w:name="_Toc22972"/>
      <w:bookmarkStart w:id="1294" w:name="_Toc144974860"/>
      <w:bookmarkStart w:id="1295" w:name="_Toc31146"/>
      <w:bookmarkStart w:id="1296" w:name="_Toc152045791"/>
      <w:bookmarkStart w:id="1297" w:name="_Toc10787"/>
      <w:bookmarkStart w:id="1298" w:name="_Toc247085877"/>
      <w:bookmarkStart w:id="1299" w:name="_Toc8598"/>
      <w:bookmarkStart w:id="1300" w:name="_Toc2668"/>
      <w:bookmarkStart w:id="1301" w:name="_Toc246996359"/>
      <w:bookmarkStart w:id="1302" w:name="_Toc6482"/>
      <w:r>
        <w:rPr>
          <w:rFonts w:hint="eastAsia" w:ascii="宋体" w:hAnsi="宋体" w:eastAsia="宋体" w:cs="宋体"/>
          <w:highlight w:val="none"/>
        </w:rPr>
        <w:t>二、法定代表人身份证明</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pPr>
        <w:spacing w:line="440" w:lineRule="exact"/>
        <w:rPr>
          <w:rFonts w:ascii="宋体" w:hAnsi="宋体" w:cs="宋体"/>
          <w:highlight w:val="none"/>
        </w:rPr>
      </w:pPr>
    </w:p>
    <w:p>
      <w:pPr>
        <w:spacing w:line="440" w:lineRule="exact"/>
        <w:rPr>
          <w:rFonts w:ascii="宋体" w:hAnsi="宋体" w:cs="宋体"/>
          <w:szCs w:val="21"/>
          <w:highlight w:val="none"/>
        </w:rPr>
      </w:pPr>
    </w:p>
    <w:p>
      <w:pPr>
        <w:spacing w:line="440" w:lineRule="exact"/>
        <w:ind w:firstLine="447" w:firstLineChars="213"/>
        <w:rPr>
          <w:rFonts w:ascii="宋体" w:hAnsi="宋体" w:cs="宋体"/>
          <w:szCs w:val="21"/>
          <w:highlight w:val="none"/>
        </w:rPr>
      </w:pPr>
      <w:r>
        <w:rPr>
          <w:rFonts w:hint="eastAsia" w:ascii="宋体" w:hAnsi="宋体" w:cs="宋体"/>
          <w:szCs w:val="21"/>
          <w:highlight w:val="none"/>
        </w:rPr>
        <w:t>投标人名称：</w:t>
      </w:r>
      <w:r>
        <w:rPr>
          <w:rFonts w:hint="eastAsia" w:ascii="宋体" w:hAnsi="宋体" w:cs="宋体"/>
          <w:sz w:val="28"/>
          <w:szCs w:val="28"/>
          <w:highlight w:val="none"/>
          <w:u w:val="single"/>
        </w:rPr>
        <w:t xml:space="preserve">                    </w:t>
      </w:r>
    </w:p>
    <w:p>
      <w:pPr>
        <w:spacing w:line="440" w:lineRule="exact"/>
        <w:ind w:firstLine="447" w:firstLineChars="213"/>
        <w:rPr>
          <w:rFonts w:ascii="宋体" w:hAnsi="宋体" w:cs="宋体"/>
          <w:szCs w:val="21"/>
          <w:highlight w:val="none"/>
        </w:rPr>
      </w:pPr>
      <w:r>
        <w:rPr>
          <w:rFonts w:hint="eastAsia" w:ascii="宋体" w:hAnsi="宋体" w:cs="宋体"/>
          <w:szCs w:val="21"/>
          <w:highlight w:val="none"/>
        </w:rPr>
        <w:t>单位性质：</w:t>
      </w:r>
      <w:r>
        <w:rPr>
          <w:rFonts w:hint="eastAsia" w:ascii="宋体" w:hAnsi="宋体" w:cs="宋体"/>
          <w:sz w:val="28"/>
          <w:szCs w:val="28"/>
          <w:highlight w:val="none"/>
          <w:u w:val="single"/>
        </w:rPr>
        <w:t xml:space="preserve">                    </w:t>
      </w:r>
    </w:p>
    <w:p>
      <w:pPr>
        <w:spacing w:line="440" w:lineRule="exact"/>
        <w:ind w:firstLine="447" w:firstLineChars="213"/>
        <w:rPr>
          <w:rFonts w:ascii="宋体" w:hAnsi="宋体" w:cs="宋体"/>
          <w:szCs w:val="21"/>
          <w:highlight w:val="none"/>
        </w:rPr>
      </w:pPr>
      <w:r>
        <w:rPr>
          <w:rFonts w:hint="eastAsia" w:ascii="宋体" w:hAnsi="宋体" w:cs="宋体"/>
          <w:szCs w:val="21"/>
          <w:highlight w:val="none"/>
        </w:rPr>
        <w:t>地址：</w:t>
      </w:r>
      <w:r>
        <w:rPr>
          <w:rFonts w:hint="eastAsia" w:ascii="宋体" w:hAnsi="宋体" w:cs="宋体"/>
          <w:sz w:val="28"/>
          <w:szCs w:val="28"/>
          <w:highlight w:val="none"/>
          <w:u w:val="single"/>
        </w:rPr>
        <w:t xml:space="preserve">                    </w:t>
      </w:r>
    </w:p>
    <w:p>
      <w:pPr>
        <w:spacing w:line="440" w:lineRule="exact"/>
        <w:ind w:firstLine="447" w:firstLineChars="213"/>
        <w:rPr>
          <w:rFonts w:ascii="宋体" w:hAnsi="宋体" w:cs="宋体"/>
          <w:szCs w:val="21"/>
          <w:highlight w:val="none"/>
        </w:rPr>
      </w:pPr>
      <w:r>
        <w:rPr>
          <w:rFonts w:hint="eastAsia" w:ascii="宋体" w:hAnsi="宋体" w:cs="宋体"/>
          <w:szCs w:val="21"/>
          <w:highlight w:val="none"/>
        </w:rPr>
        <w:t>成立时间：</w:t>
      </w:r>
      <w:r>
        <w:rPr>
          <w:rFonts w:hint="eastAsia" w:ascii="宋体" w:hAnsi="宋体" w:cs="宋体"/>
          <w:sz w:val="28"/>
          <w:szCs w:val="28"/>
          <w:highlight w:val="none"/>
          <w:u w:val="single"/>
        </w:rPr>
        <w:t xml:space="preserve">    </w:t>
      </w:r>
      <w:r>
        <w:rPr>
          <w:rFonts w:hint="eastAsia" w:ascii="宋体" w:hAnsi="宋体" w:cs="宋体"/>
          <w:szCs w:val="21"/>
          <w:highlight w:val="none"/>
        </w:rPr>
        <w:t>年</w:t>
      </w:r>
      <w:r>
        <w:rPr>
          <w:rFonts w:hint="eastAsia" w:ascii="宋体" w:hAnsi="宋体" w:cs="宋体"/>
          <w:sz w:val="28"/>
          <w:szCs w:val="28"/>
          <w:highlight w:val="none"/>
          <w:u w:val="single"/>
        </w:rPr>
        <w:t xml:space="preserve">    </w:t>
      </w:r>
      <w:r>
        <w:rPr>
          <w:rFonts w:hint="eastAsia" w:ascii="宋体" w:hAnsi="宋体" w:cs="宋体"/>
          <w:szCs w:val="21"/>
          <w:highlight w:val="none"/>
        </w:rPr>
        <w:t>月</w:t>
      </w:r>
      <w:r>
        <w:rPr>
          <w:rFonts w:hint="eastAsia" w:ascii="宋体" w:hAnsi="宋体" w:cs="宋体"/>
          <w:sz w:val="28"/>
          <w:szCs w:val="28"/>
          <w:highlight w:val="none"/>
          <w:u w:val="single"/>
        </w:rPr>
        <w:t xml:space="preserve">    </w:t>
      </w:r>
      <w:r>
        <w:rPr>
          <w:rFonts w:hint="eastAsia" w:ascii="宋体" w:hAnsi="宋体" w:cs="宋体"/>
          <w:szCs w:val="21"/>
          <w:highlight w:val="none"/>
        </w:rPr>
        <w:t>日</w:t>
      </w:r>
    </w:p>
    <w:p>
      <w:pPr>
        <w:spacing w:line="440" w:lineRule="exact"/>
        <w:ind w:firstLine="447" w:firstLineChars="213"/>
        <w:rPr>
          <w:rFonts w:ascii="宋体" w:hAnsi="宋体" w:cs="宋体"/>
          <w:szCs w:val="21"/>
          <w:highlight w:val="none"/>
        </w:rPr>
      </w:pPr>
      <w:r>
        <w:rPr>
          <w:rFonts w:hint="eastAsia" w:ascii="宋体" w:hAnsi="宋体" w:cs="宋体"/>
          <w:szCs w:val="21"/>
          <w:highlight w:val="none"/>
        </w:rPr>
        <w:t>经营期限：</w:t>
      </w:r>
      <w:r>
        <w:rPr>
          <w:rFonts w:hint="eastAsia" w:ascii="宋体" w:hAnsi="宋体" w:cs="宋体"/>
          <w:sz w:val="28"/>
          <w:szCs w:val="28"/>
          <w:highlight w:val="none"/>
          <w:u w:val="single"/>
        </w:rPr>
        <w:t xml:space="preserve">                    </w:t>
      </w:r>
    </w:p>
    <w:p>
      <w:pPr>
        <w:spacing w:line="440" w:lineRule="exact"/>
        <w:ind w:firstLine="447" w:firstLineChars="213"/>
        <w:rPr>
          <w:rFonts w:ascii="宋体" w:hAnsi="宋体" w:cs="宋体"/>
          <w:szCs w:val="21"/>
          <w:highlight w:val="none"/>
        </w:rPr>
      </w:pPr>
      <w:r>
        <w:rPr>
          <w:rFonts w:hint="eastAsia" w:ascii="宋体" w:hAnsi="宋体" w:cs="宋体"/>
          <w:szCs w:val="21"/>
          <w:highlight w:val="none"/>
        </w:rPr>
        <w:t>姓名：</w:t>
      </w:r>
      <w:r>
        <w:rPr>
          <w:rFonts w:hint="eastAsia" w:ascii="宋体" w:hAnsi="宋体" w:cs="宋体"/>
          <w:sz w:val="28"/>
          <w:szCs w:val="28"/>
          <w:highlight w:val="none"/>
          <w:u w:val="single"/>
        </w:rPr>
        <w:t xml:space="preserve">    </w:t>
      </w:r>
      <w:r>
        <w:rPr>
          <w:rFonts w:hint="eastAsia" w:ascii="宋体" w:hAnsi="宋体" w:cs="宋体"/>
          <w:szCs w:val="21"/>
          <w:highlight w:val="none"/>
        </w:rPr>
        <w:t xml:space="preserve"> 性别：</w:t>
      </w:r>
      <w:r>
        <w:rPr>
          <w:rFonts w:hint="eastAsia" w:ascii="宋体" w:hAnsi="宋体" w:cs="宋体"/>
          <w:sz w:val="28"/>
          <w:szCs w:val="28"/>
          <w:highlight w:val="none"/>
          <w:u w:val="single"/>
        </w:rPr>
        <w:t xml:space="preserve">    </w:t>
      </w:r>
      <w:r>
        <w:rPr>
          <w:rFonts w:hint="eastAsia" w:ascii="宋体" w:hAnsi="宋体" w:cs="宋体"/>
          <w:szCs w:val="21"/>
          <w:highlight w:val="none"/>
        </w:rPr>
        <w:t>年龄：</w:t>
      </w:r>
      <w:r>
        <w:rPr>
          <w:rFonts w:hint="eastAsia" w:ascii="宋体" w:hAnsi="宋体" w:cs="宋体"/>
          <w:sz w:val="28"/>
          <w:szCs w:val="28"/>
          <w:highlight w:val="none"/>
          <w:u w:val="single"/>
        </w:rPr>
        <w:t xml:space="preserve">    </w:t>
      </w:r>
      <w:r>
        <w:rPr>
          <w:rFonts w:hint="eastAsia" w:ascii="宋体" w:hAnsi="宋体" w:cs="宋体"/>
          <w:szCs w:val="21"/>
          <w:highlight w:val="none"/>
        </w:rPr>
        <w:t>职务：</w:t>
      </w:r>
      <w:r>
        <w:rPr>
          <w:rFonts w:hint="eastAsia" w:ascii="宋体" w:hAnsi="宋体" w:cs="宋体"/>
          <w:sz w:val="28"/>
          <w:szCs w:val="28"/>
          <w:highlight w:val="none"/>
          <w:u w:val="single"/>
        </w:rPr>
        <w:t xml:space="preserve">    </w:t>
      </w:r>
    </w:p>
    <w:p>
      <w:pPr>
        <w:spacing w:line="440" w:lineRule="exact"/>
        <w:ind w:firstLine="447" w:firstLineChars="213"/>
        <w:rPr>
          <w:rFonts w:ascii="宋体" w:hAnsi="宋体" w:cs="宋体"/>
          <w:szCs w:val="21"/>
          <w:highlight w:val="none"/>
        </w:rPr>
      </w:pPr>
      <w:r>
        <w:rPr>
          <w:rFonts w:hint="eastAsia" w:ascii="宋体" w:hAnsi="宋体" w:cs="宋体"/>
          <w:szCs w:val="21"/>
          <w:highlight w:val="none"/>
        </w:rPr>
        <w:t>系</w:t>
      </w:r>
      <w:r>
        <w:rPr>
          <w:rFonts w:hint="eastAsia" w:ascii="宋体" w:hAnsi="宋体" w:cs="宋体"/>
          <w:sz w:val="28"/>
          <w:szCs w:val="28"/>
          <w:highlight w:val="none"/>
          <w:u w:val="single"/>
        </w:rPr>
        <w:t xml:space="preserve">                    </w:t>
      </w:r>
      <w:r>
        <w:rPr>
          <w:rFonts w:hint="eastAsia" w:ascii="宋体" w:hAnsi="宋体" w:cs="宋体"/>
          <w:szCs w:val="21"/>
          <w:highlight w:val="none"/>
        </w:rPr>
        <w:t xml:space="preserve"> （投标人名称）的法定代表人。</w:t>
      </w:r>
    </w:p>
    <w:p>
      <w:pPr>
        <w:spacing w:line="440" w:lineRule="exact"/>
        <w:ind w:firstLine="447" w:firstLineChars="213"/>
        <w:rPr>
          <w:rFonts w:ascii="宋体" w:hAnsi="宋体" w:cs="宋体"/>
          <w:szCs w:val="21"/>
          <w:highlight w:val="none"/>
        </w:rPr>
      </w:pPr>
      <w:r>
        <w:rPr>
          <w:rFonts w:hint="eastAsia" w:ascii="宋体" w:hAnsi="宋体" w:cs="宋体"/>
          <w:szCs w:val="21"/>
          <w:highlight w:val="none"/>
        </w:rPr>
        <w:t>特此证明。</w:t>
      </w:r>
    </w:p>
    <w:p>
      <w:pPr>
        <w:spacing w:line="440" w:lineRule="exact"/>
        <w:rPr>
          <w:rFonts w:ascii="宋体" w:hAnsi="宋体" w:cs="宋体"/>
          <w:szCs w:val="21"/>
          <w:highlight w:val="none"/>
        </w:rPr>
      </w:pPr>
    </w:p>
    <w:p>
      <w:pPr>
        <w:spacing w:line="440" w:lineRule="exact"/>
        <w:rPr>
          <w:rFonts w:ascii="宋体" w:hAnsi="宋体" w:cs="宋体"/>
          <w:szCs w:val="21"/>
          <w:highlight w:val="none"/>
        </w:rPr>
      </w:pPr>
    </w:p>
    <w:p>
      <w:pPr>
        <w:spacing w:line="440" w:lineRule="exact"/>
        <w:rPr>
          <w:rFonts w:ascii="宋体" w:hAnsi="宋体" w:cs="宋体"/>
          <w:szCs w:val="21"/>
          <w:highlight w:val="none"/>
        </w:rPr>
      </w:pPr>
      <w:r>
        <w:rPr>
          <w:rFonts w:hint="eastAsia" w:ascii="宋体" w:hAnsi="宋体" w:cs="宋体"/>
          <w:szCs w:val="21"/>
          <w:highlight w:val="none"/>
        </w:rPr>
        <w:t xml:space="preserve">                          投标人：</w:t>
      </w:r>
      <w:r>
        <w:rPr>
          <w:rFonts w:hint="eastAsia" w:ascii="宋体" w:hAnsi="宋体" w:cs="宋体"/>
          <w:sz w:val="28"/>
          <w:szCs w:val="28"/>
          <w:highlight w:val="none"/>
          <w:u w:val="single"/>
        </w:rPr>
        <w:t xml:space="preserve">                    </w:t>
      </w:r>
      <w:r>
        <w:rPr>
          <w:rFonts w:hint="eastAsia" w:ascii="宋体" w:hAnsi="宋体" w:cs="宋体"/>
          <w:szCs w:val="21"/>
          <w:highlight w:val="none"/>
        </w:rPr>
        <w:t>（盖单位章）</w:t>
      </w:r>
    </w:p>
    <w:p>
      <w:pPr>
        <w:spacing w:line="440" w:lineRule="exact"/>
        <w:ind w:firstLine="4620" w:firstLineChars="1650"/>
        <w:rPr>
          <w:rFonts w:ascii="宋体" w:hAnsi="宋体" w:cs="宋体"/>
          <w:szCs w:val="21"/>
          <w:highlight w:val="none"/>
        </w:rPr>
      </w:pPr>
      <w:r>
        <w:rPr>
          <w:rFonts w:hint="eastAsia" w:ascii="宋体" w:hAnsi="宋体" w:cs="宋体"/>
          <w:sz w:val="28"/>
          <w:szCs w:val="28"/>
          <w:highlight w:val="none"/>
          <w:u w:val="single"/>
        </w:rPr>
        <w:t xml:space="preserve">     </w:t>
      </w:r>
      <w:r>
        <w:rPr>
          <w:rFonts w:hint="eastAsia" w:ascii="宋体" w:hAnsi="宋体" w:cs="宋体"/>
          <w:szCs w:val="21"/>
          <w:highlight w:val="none"/>
        </w:rPr>
        <w:t>年</w:t>
      </w:r>
      <w:r>
        <w:rPr>
          <w:rFonts w:hint="eastAsia" w:ascii="宋体" w:hAnsi="宋体" w:cs="宋体"/>
          <w:sz w:val="28"/>
          <w:szCs w:val="28"/>
          <w:highlight w:val="none"/>
          <w:u w:val="single"/>
        </w:rPr>
        <w:t xml:space="preserve">     </w:t>
      </w:r>
      <w:r>
        <w:rPr>
          <w:rFonts w:hint="eastAsia" w:ascii="宋体" w:hAnsi="宋体" w:cs="宋体"/>
          <w:szCs w:val="21"/>
          <w:highlight w:val="none"/>
        </w:rPr>
        <w:t>月</w:t>
      </w:r>
      <w:r>
        <w:rPr>
          <w:rFonts w:hint="eastAsia" w:ascii="宋体" w:hAnsi="宋体" w:cs="宋体"/>
          <w:sz w:val="28"/>
          <w:szCs w:val="28"/>
          <w:highlight w:val="none"/>
          <w:u w:val="single"/>
        </w:rPr>
        <w:t xml:space="preserve">     </w:t>
      </w:r>
      <w:r>
        <w:rPr>
          <w:rFonts w:hint="eastAsia" w:ascii="宋体" w:hAnsi="宋体" w:cs="宋体"/>
          <w:szCs w:val="21"/>
          <w:highlight w:val="none"/>
        </w:rPr>
        <w:t xml:space="preserve">日  </w:t>
      </w:r>
    </w:p>
    <w:p>
      <w:pPr>
        <w:spacing w:line="440" w:lineRule="exact"/>
        <w:jc w:val="center"/>
        <w:rPr>
          <w:rFonts w:ascii="宋体" w:hAnsi="宋体" w:cs="宋体"/>
          <w:highlight w:val="none"/>
        </w:rPr>
      </w:pPr>
    </w:p>
    <w:p>
      <w:pPr>
        <w:spacing w:line="440" w:lineRule="exact"/>
        <w:jc w:val="center"/>
        <w:rPr>
          <w:rFonts w:ascii="宋体" w:hAnsi="宋体" w:cs="宋体"/>
          <w:highlight w:val="none"/>
        </w:rPr>
      </w:pPr>
    </w:p>
    <w:p>
      <w:pPr>
        <w:spacing w:line="440" w:lineRule="exact"/>
        <w:jc w:val="center"/>
        <w:rPr>
          <w:rFonts w:ascii="宋体" w:hAnsi="宋体" w:cs="宋体"/>
          <w:highlight w:val="none"/>
        </w:rPr>
      </w:pPr>
    </w:p>
    <w:p>
      <w:pPr>
        <w:spacing w:line="440" w:lineRule="exact"/>
        <w:jc w:val="center"/>
        <w:rPr>
          <w:rFonts w:ascii="宋体" w:hAnsi="宋体" w:cs="宋体"/>
          <w:highlight w:val="none"/>
        </w:rPr>
      </w:pPr>
    </w:p>
    <w:p>
      <w:pPr>
        <w:spacing w:line="440" w:lineRule="exact"/>
        <w:jc w:val="center"/>
        <w:rPr>
          <w:rFonts w:ascii="宋体" w:hAnsi="宋体" w:cs="宋体"/>
          <w:highlight w:val="none"/>
        </w:rPr>
      </w:pPr>
    </w:p>
    <w:p>
      <w:pPr>
        <w:spacing w:line="440" w:lineRule="exact"/>
        <w:jc w:val="center"/>
        <w:rPr>
          <w:rFonts w:ascii="宋体" w:hAnsi="宋体" w:cs="宋体"/>
          <w:highlight w:val="none"/>
        </w:rPr>
      </w:pPr>
    </w:p>
    <w:p>
      <w:pPr>
        <w:spacing w:line="440" w:lineRule="exact"/>
        <w:jc w:val="center"/>
        <w:rPr>
          <w:rFonts w:ascii="宋体" w:hAnsi="宋体" w:cs="宋体"/>
          <w:highlight w:val="none"/>
        </w:rPr>
      </w:pPr>
    </w:p>
    <w:p>
      <w:pPr>
        <w:spacing w:line="440" w:lineRule="exact"/>
        <w:jc w:val="center"/>
        <w:rPr>
          <w:rFonts w:ascii="宋体" w:hAnsi="宋体" w:cs="宋体"/>
          <w:highlight w:val="none"/>
        </w:rPr>
      </w:pPr>
    </w:p>
    <w:p>
      <w:pPr>
        <w:spacing w:line="440" w:lineRule="exact"/>
        <w:jc w:val="center"/>
        <w:rPr>
          <w:rFonts w:ascii="宋体" w:hAnsi="宋体" w:cs="宋体"/>
          <w:highlight w:val="none"/>
        </w:rPr>
      </w:pPr>
    </w:p>
    <w:p>
      <w:pPr>
        <w:spacing w:line="440" w:lineRule="exact"/>
        <w:jc w:val="center"/>
        <w:rPr>
          <w:rFonts w:ascii="宋体" w:hAnsi="宋体" w:cs="宋体"/>
          <w:highlight w:val="none"/>
        </w:rPr>
      </w:pPr>
    </w:p>
    <w:p>
      <w:pPr>
        <w:spacing w:line="440" w:lineRule="exact"/>
        <w:jc w:val="center"/>
        <w:rPr>
          <w:rFonts w:ascii="宋体" w:hAnsi="宋体" w:cs="宋体"/>
          <w:highlight w:val="none"/>
        </w:rPr>
      </w:pPr>
    </w:p>
    <w:p>
      <w:pPr>
        <w:spacing w:line="440" w:lineRule="exact"/>
        <w:jc w:val="center"/>
        <w:rPr>
          <w:rFonts w:ascii="宋体" w:hAnsi="宋体" w:cs="宋体"/>
          <w:highlight w:val="none"/>
        </w:rPr>
      </w:pPr>
    </w:p>
    <w:p>
      <w:pPr>
        <w:spacing w:line="440" w:lineRule="exact"/>
        <w:jc w:val="center"/>
        <w:rPr>
          <w:rFonts w:ascii="宋体" w:hAnsi="宋体" w:cs="宋体"/>
          <w:highlight w:val="none"/>
        </w:rPr>
      </w:pPr>
    </w:p>
    <w:p>
      <w:pPr>
        <w:spacing w:line="440" w:lineRule="exact"/>
        <w:rPr>
          <w:rFonts w:ascii="宋体" w:hAnsi="宋体" w:cs="宋体"/>
          <w:highlight w:val="none"/>
        </w:rPr>
      </w:pPr>
    </w:p>
    <w:p>
      <w:pPr>
        <w:spacing w:line="240" w:lineRule="exact"/>
        <w:rPr>
          <w:rFonts w:ascii="宋体" w:hAnsi="宋体" w:cs="宋体"/>
          <w:highlight w:val="none"/>
        </w:rPr>
      </w:pPr>
    </w:p>
    <w:p>
      <w:pPr>
        <w:pStyle w:val="8"/>
        <w:jc w:val="center"/>
        <w:rPr>
          <w:rFonts w:ascii="宋体" w:hAnsi="宋体" w:eastAsia="宋体" w:cs="宋体"/>
          <w:highlight w:val="none"/>
        </w:rPr>
      </w:pPr>
      <w:bookmarkStart w:id="1303" w:name="_Toc14356"/>
      <w:bookmarkStart w:id="1304" w:name="_Toc18123"/>
      <w:bookmarkStart w:id="1305" w:name="_Toc18198"/>
      <w:bookmarkStart w:id="1306" w:name="_Toc20243"/>
      <w:bookmarkStart w:id="1307" w:name="_Toc246996360"/>
      <w:bookmarkStart w:id="1308" w:name="_Toc179632812"/>
      <w:bookmarkStart w:id="1309" w:name="_Toc144974861"/>
      <w:bookmarkStart w:id="1310" w:name="_Toc246997103"/>
      <w:bookmarkStart w:id="1311" w:name="_Toc25941"/>
      <w:bookmarkStart w:id="1312" w:name="_Toc247085878"/>
      <w:bookmarkStart w:id="1313" w:name="_Toc8260"/>
      <w:bookmarkStart w:id="1314" w:name="_Toc152042581"/>
      <w:bookmarkStart w:id="1315" w:name="_Toc152045792"/>
      <w:bookmarkStart w:id="1316" w:name="_Toc12799"/>
      <w:r>
        <w:rPr>
          <w:rFonts w:hint="eastAsia" w:ascii="宋体" w:hAnsi="宋体" w:eastAsia="宋体" w:cs="宋体"/>
          <w:highlight w:val="none"/>
        </w:rPr>
        <w:t>三、授权委托书</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pPr>
        <w:spacing w:line="440" w:lineRule="exact"/>
        <w:rPr>
          <w:rFonts w:ascii="宋体" w:hAnsi="宋体" w:cs="宋体"/>
          <w:szCs w:val="21"/>
          <w:highlight w:val="none"/>
        </w:rPr>
      </w:pPr>
    </w:p>
    <w:p>
      <w:pPr>
        <w:topLinePunct/>
        <w:spacing w:line="440" w:lineRule="exact"/>
        <w:ind w:firstLine="420" w:firstLineChars="200"/>
        <w:rPr>
          <w:rFonts w:ascii="宋体" w:hAnsi="宋体" w:cs="宋体"/>
          <w:szCs w:val="21"/>
          <w:highlight w:val="none"/>
        </w:rPr>
      </w:pPr>
      <w:r>
        <w:rPr>
          <w:rFonts w:hint="eastAsia" w:ascii="宋体" w:hAnsi="宋体" w:cs="宋体"/>
          <w:szCs w:val="21"/>
          <w:highlight w:val="none"/>
        </w:rPr>
        <w:t>本人</w:t>
      </w:r>
      <w:r>
        <w:rPr>
          <w:rFonts w:hint="eastAsia" w:ascii="宋体" w:hAnsi="宋体" w:cs="宋体"/>
          <w:sz w:val="28"/>
          <w:szCs w:val="28"/>
          <w:highlight w:val="none"/>
          <w:u w:val="single"/>
        </w:rPr>
        <w:t xml:space="preserve">     </w:t>
      </w:r>
      <w:r>
        <w:rPr>
          <w:rFonts w:hint="eastAsia" w:ascii="宋体" w:hAnsi="宋体" w:cs="宋体"/>
          <w:szCs w:val="21"/>
          <w:highlight w:val="none"/>
        </w:rPr>
        <w:t>（姓名）系</w:t>
      </w:r>
      <w:r>
        <w:rPr>
          <w:rFonts w:hint="eastAsia" w:ascii="宋体" w:hAnsi="宋体" w:cs="宋体"/>
          <w:sz w:val="28"/>
          <w:szCs w:val="28"/>
          <w:highlight w:val="none"/>
          <w:u w:val="single"/>
        </w:rPr>
        <w:t xml:space="preserve">       </w:t>
      </w:r>
      <w:r>
        <w:rPr>
          <w:rFonts w:hint="eastAsia" w:ascii="宋体" w:hAnsi="宋体" w:cs="宋体"/>
          <w:szCs w:val="21"/>
          <w:highlight w:val="none"/>
        </w:rPr>
        <w:t>（投标人名称）的法定代表人，现委托</w:t>
      </w:r>
      <w:r>
        <w:rPr>
          <w:rFonts w:hint="eastAsia" w:ascii="宋体" w:hAnsi="宋体" w:cs="宋体"/>
          <w:sz w:val="28"/>
          <w:szCs w:val="28"/>
          <w:highlight w:val="none"/>
          <w:u w:val="single"/>
        </w:rPr>
        <w:t xml:space="preserve">      </w:t>
      </w:r>
      <w:r>
        <w:rPr>
          <w:rFonts w:hint="eastAsia" w:ascii="宋体" w:hAnsi="宋体" w:cs="宋体"/>
          <w:szCs w:val="21"/>
          <w:highlight w:val="none"/>
        </w:rPr>
        <w:t>（姓名）为我方代理人。代理人根据授权，以我方名义签署、澄清、说明、补正、递交、撤回、修改</w:t>
      </w:r>
      <w:r>
        <w:rPr>
          <w:rFonts w:hint="eastAsia" w:ascii="宋体" w:hAnsi="宋体" w:cs="宋体"/>
          <w:sz w:val="28"/>
          <w:szCs w:val="28"/>
          <w:highlight w:val="none"/>
          <w:u w:val="single"/>
        </w:rPr>
        <w:t xml:space="preserve">     </w:t>
      </w:r>
      <w:r>
        <w:rPr>
          <w:rFonts w:hint="eastAsia" w:ascii="宋体" w:hAnsi="宋体" w:cs="宋体"/>
          <w:szCs w:val="21"/>
          <w:highlight w:val="none"/>
        </w:rPr>
        <w:t>（项目名称）投标文件、签订合同和处理有关事宜，其法律后果由我方承担。</w:t>
      </w:r>
    </w:p>
    <w:p>
      <w:pPr>
        <w:spacing w:line="440" w:lineRule="exact"/>
        <w:rPr>
          <w:rFonts w:ascii="宋体" w:hAnsi="宋体" w:cs="宋体"/>
          <w:szCs w:val="21"/>
          <w:highlight w:val="none"/>
        </w:rPr>
      </w:pPr>
      <w:r>
        <w:rPr>
          <w:rFonts w:hint="eastAsia" w:ascii="宋体" w:hAnsi="宋体" w:cs="宋体"/>
          <w:szCs w:val="21"/>
          <w:highlight w:val="none"/>
        </w:rPr>
        <w:t xml:space="preserve">    委托期限：</w:t>
      </w:r>
      <w:r>
        <w:rPr>
          <w:rFonts w:hint="eastAsia" w:ascii="宋体" w:hAnsi="宋体" w:cs="宋体"/>
          <w:sz w:val="28"/>
          <w:szCs w:val="28"/>
          <w:highlight w:val="none"/>
          <w:u w:val="single"/>
        </w:rPr>
        <w:t xml:space="preserve">        </w:t>
      </w:r>
      <w:r>
        <w:rPr>
          <w:rFonts w:hint="eastAsia" w:ascii="宋体" w:hAnsi="宋体" w:cs="宋体"/>
          <w:szCs w:val="21"/>
          <w:highlight w:val="none"/>
        </w:rPr>
        <w:t>。</w:t>
      </w:r>
    </w:p>
    <w:p>
      <w:pPr>
        <w:spacing w:line="440" w:lineRule="exact"/>
        <w:ind w:firstLine="420" w:firstLineChars="200"/>
        <w:rPr>
          <w:rFonts w:ascii="宋体" w:hAnsi="宋体" w:cs="宋体"/>
          <w:szCs w:val="21"/>
          <w:highlight w:val="none"/>
        </w:rPr>
      </w:pPr>
      <w:r>
        <w:rPr>
          <w:rFonts w:hint="eastAsia" w:ascii="宋体" w:hAnsi="宋体" w:cs="宋体"/>
          <w:szCs w:val="21"/>
          <w:highlight w:val="none"/>
        </w:rPr>
        <w:t>代理人无转委托权。</w:t>
      </w:r>
    </w:p>
    <w:p>
      <w:pPr>
        <w:spacing w:line="440" w:lineRule="exact"/>
        <w:ind w:firstLine="420" w:firstLineChars="200"/>
        <w:rPr>
          <w:rFonts w:ascii="宋体" w:hAnsi="宋体" w:cs="宋体"/>
          <w:szCs w:val="21"/>
          <w:highlight w:val="none"/>
        </w:rPr>
      </w:pPr>
      <w:r>
        <w:rPr>
          <w:rFonts w:hint="eastAsia" w:ascii="宋体" w:hAnsi="宋体" w:cs="宋体"/>
          <w:szCs w:val="21"/>
          <w:highlight w:val="none"/>
        </w:rPr>
        <w:t>附：法定代表人身份证明</w:t>
      </w:r>
    </w:p>
    <w:p>
      <w:pPr>
        <w:spacing w:line="440" w:lineRule="exact"/>
        <w:rPr>
          <w:rFonts w:ascii="宋体" w:hAnsi="宋体" w:cs="宋体"/>
          <w:szCs w:val="21"/>
          <w:highlight w:val="none"/>
        </w:rPr>
      </w:pPr>
    </w:p>
    <w:p>
      <w:pPr>
        <w:spacing w:line="440" w:lineRule="exact"/>
        <w:rPr>
          <w:rFonts w:ascii="宋体" w:hAnsi="宋体" w:cs="宋体"/>
          <w:szCs w:val="21"/>
          <w:highlight w:val="none"/>
        </w:rPr>
      </w:pPr>
    </w:p>
    <w:p>
      <w:pPr>
        <w:spacing w:line="440" w:lineRule="exact"/>
        <w:ind w:firstLine="447" w:firstLineChars="213"/>
        <w:rPr>
          <w:rFonts w:ascii="宋体" w:hAnsi="宋体" w:cs="宋体"/>
          <w:szCs w:val="21"/>
          <w:highlight w:val="none"/>
        </w:rPr>
      </w:pPr>
      <w:r>
        <w:rPr>
          <w:rFonts w:hint="eastAsia" w:ascii="宋体" w:hAnsi="宋体" w:cs="宋体"/>
          <w:szCs w:val="21"/>
          <w:highlight w:val="none"/>
        </w:rPr>
        <w:t>投标人：</w:t>
      </w:r>
      <w:r>
        <w:rPr>
          <w:rFonts w:hint="eastAsia" w:ascii="宋体" w:hAnsi="宋体" w:cs="宋体"/>
          <w:sz w:val="28"/>
          <w:szCs w:val="28"/>
          <w:highlight w:val="none"/>
          <w:u w:val="single"/>
        </w:rPr>
        <w:t xml:space="preserve">               </w:t>
      </w:r>
      <w:r>
        <w:rPr>
          <w:rFonts w:hint="eastAsia" w:ascii="宋体" w:hAnsi="宋体" w:cs="宋体"/>
          <w:szCs w:val="21"/>
          <w:highlight w:val="none"/>
        </w:rPr>
        <w:t>（盖单位章）</w:t>
      </w:r>
    </w:p>
    <w:p>
      <w:pPr>
        <w:spacing w:line="440" w:lineRule="exact"/>
        <w:ind w:firstLine="447" w:firstLineChars="213"/>
        <w:rPr>
          <w:rFonts w:ascii="宋体" w:hAnsi="宋体" w:cs="宋体"/>
          <w:szCs w:val="21"/>
          <w:highlight w:val="none"/>
        </w:rPr>
      </w:pPr>
    </w:p>
    <w:p>
      <w:pPr>
        <w:spacing w:line="440" w:lineRule="exact"/>
        <w:ind w:firstLine="447" w:firstLineChars="213"/>
        <w:rPr>
          <w:rFonts w:ascii="宋体" w:hAnsi="宋体" w:cs="宋体"/>
          <w:szCs w:val="21"/>
          <w:highlight w:val="none"/>
        </w:rPr>
      </w:pPr>
      <w:r>
        <w:rPr>
          <w:rFonts w:hint="eastAsia" w:ascii="宋体" w:hAnsi="宋体" w:cs="宋体"/>
          <w:szCs w:val="21"/>
          <w:highlight w:val="none"/>
        </w:rPr>
        <w:t>法定代表人：</w:t>
      </w:r>
      <w:r>
        <w:rPr>
          <w:rFonts w:hint="eastAsia" w:ascii="宋体" w:hAnsi="宋体" w:cs="宋体"/>
          <w:sz w:val="28"/>
          <w:szCs w:val="28"/>
          <w:highlight w:val="none"/>
          <w:u w:val="single"/>
        </w:rPr>
        <w:t xml:space="preserve">            </w:t>
      </w:r>
      <w:r>
        <w:rPr>
          <w:rFonts w:hint="eastAsia" w:ascii="宋体" w:hAnsi="宋体" w:cs="宋体"/>
          <w:szCs w:val="21"/>
          <w:highlight w:val="none"/>
        </w:rPr>
        <w:t>（签字）</w:t>
      </w:r>
    </w:p>
    <w:p>
      <w:pPr>
        <w:spacing w:line="440" w:lineRule="exact"/>
        <w:ind w:firstLine="447" w:firstLineChars="213"/>
        <w:rPr>
          <w:rFonts w:ascii="宋体" w:hAnsi="宋体" w:cs="宋体"/>
          <w:szCs w:val="21"/>
          <w:highlight w:val="none"/>
        </w:rPr>
      </w:pPr>
    </w:p>
    <w:p>
      <w:pPr>
        <w:spacing w:line="440" w:lineRule="exact"/>
        <w:ind w:firstLine="447" w:firstLineChars="213"/>
        <w:rPr>
          <w:rFonts w:ascii="宋体" w:hAnsi="宋体" w:cs="宋体"/>
          <w:szCs w:val="21"/>
          <w:highlight w:val="none"/>
        </w:rPr>
      </w:pPr>
      <w:r>
        <w:rPr>
          <w:rFonts w:hint="eastAsia" w:ascii="宋体" w:hAnsi="宋体" w:cs="宋体"/>
          <w:szCs w:val="21"/>
          <w:highlight w:val="none"/>
        </w:rPr>
        <w:t>身份证号码：</w:t>
      </w:r>
      <w:r>
        <w:rPr>
          <w:rFonts w:hint="eastAsia" w:ascii="宋体" w:hAnsi="宋体" w:cs="宋体"/>
          <w:sz w:val="28"/>
          <w:szCs w:val="28"/>
          <w:highlight w:val="none"/>
          <w:u w:val="single"/>
        </w:rPr>
        <w:t xml:space="preserve">                    </w:t>
      </w:r>
    </w:p>
    <w:p>
      <w:pPr>
        <w:spacing w:line="440" w:lineRule="exact"/>
        <w:ind w:firstLine="447" w:firstLineChars="213"/>
        <w:rPr>
          <w:rFonts w:ascii="宋体" w:hAnsi="宋体" w:cs="宋体"/>
          <w:szCs w:val="21"/>
          <w:highlight w:val="none"/>
        </w:rPr>
      </w:pPr>
    </w:p>
    <w:p>
      <w:pPr>
        <w:spacing w:line="440" w:lineRule="exact"/>
        <w:ind w:firstLine="447" w:firstLineChars="213"/>
        <w:rPr>
          <w:rFonts w:ascii="宋体" w:hAnsi="宋体" w:cs="宋体"/>
          <w:szCs w:val="21"/>
          <w:highlight w:val="none"/>
        </w:rPr>
      </w:pPr>
      <w:r>
        <w:rPr>
          <w:rFonts w:hint="eastAsia" w:ascii="宋体" w:hAnsi="宋体" w:cs="宋体"/>
          <w:szCs w:val="21"/>
          <w:highlight w:val="none"/>
        </w:rPr>
        <w:t>委托代理人：</w:t>
      </w:r>
      <w:r>
        <w:rPr>
          <w:rFonts w:hint="eastAsia" w:ascii="宋体" w:hAnsi="宋体" w:cs="宋体"/>
          <w:sz w:val="28"/>
          <w:szCs w:val="28"/>
          <w:highlight w:val="none"/>
          <w:u w:val="single"/>
        </w:rPr>
        <w:t xml:space="preserve">             </w:t>
      </w:r>
      <w:r>
        <w:rPr>
          <w:rFonts w:hint="eastAsia" w:ascii="宋体" w:hAnsi="宋体" w:cs="宋体"/>
          <w:szCs w:val="21"/>
          <w:highlight w:val="none"/>
        </w:rPr>
        <w:t xml:space="preserve">（签字） </w:t>
      </w:r>
    </w:p>
    <w:p>
      <w:pPr>
        <w:spacing w:line="440" w:lineRule="exact"/>
        <w:ind w:firstLine="447" w:firstLineChars="213"/>
        <w:rPr>
          <w:rFonts w:ascii="宋体" w:hAnsi="宋体" w:cs="宋体"/>
          <w:szCs w:val="21"/>
          <w:highlight w:val="none"/>
        </w:rPr>
      </w:pPr>
    </w:p>
    <w:p>
      <w:pPr>
        <w:spacing w:line="440" w:lineRule="exact"/>
        <w:ind w:firstLine="447" w:firstLineChars="213"/>
        <w:rPr>
          <w:rFonts w:ascii="宋体" w:hAnsi="宋体" w:cs="宋体"/>
          <w:szCs w:val="21"/>
          <w:highlight w:val="none"/>
        </w:rPr>
      </w:pPr>
      <w:r>
        <w:rPr>
          <w:rFonts w:hint="eastAsia" w:ascii="宋体" w:hAnsi="宋体" w:cs="宋体"/>
          <w:szCs w:val="21"/>
          <w:highlight w:val="none"/>
        </w:rPr>
        <w:t>身份证号码：</w:t>
      </w:r>
      <w:r>
        <w:rPr>
          <w:rFonts w:hint="eastAsia" w:ascii="宋体" w:hAnsi="宋体" w:cs="宋体"/>
          <w:sz w:val="28"/>
          <w:szCs w:val="28"/>
          <w:highlight w:val="none"/>
          <w:u w:val="single"/>
        </w:rPr>
        <w:t xml:space="preserve">                    </w:t>
      </w:r>
    </w:p>
    <w:p>
      <w:pPr>
        <w:spacing w:line="440" w:lineRule="exact"/>
        <w:ind w:firstLine="447" w:firstLineChars="213"/>
        <w:rPr>
          <w:rFonts w:ascii="宋体" w:hAnsi="宋体" w:cs="宋体"/>
          <w:szCs w:val="21"/>
          <w:highlight w:val="none"/>
        </w:rPr>
      </w:pPr>
    </w:p>
    <w:p>
      <w:pPr>
        <w:spacing w:line="440" w:lineRule="exact"/>
        <w:ind w:firstLine="447" w:firstLineChars="213"/>
        <w:rPr>
          <w:rFonts w:ascii="宋体" w:hAnsi="宋体" w:cs="宋体"/>
          <w:szCs w:val="21"/>
          <w:highlight w:val="none"/>
        </w:rPr>
      </w:pPr>
    </w:p>
    <w:p>
      <w:pPr>
        <w:spacing w:line="440" w:lineRule="exact"/>
        <w:jc w:val="right"/>
        <w:rPr>
          <w:rFonts w:ascii="宋体" w:hAnsi="宋体" w:cs="宋体"/>
          <w:szCs w:val="21"/>
          <w:highlight w:val="none"/>
        </w:rPr>
      </w:pPr>
      <w:r>
        <w:rPr>
          <w:rFonts w:hint="eastAsia" w:ascii="宋体" w:hAnsi="宋体" w:cs="宋体"/>
          <w:sz w:val="28"/>
          <w:szCs w:val="28"/>
          <w:highlight w:val="none"/>
          <w:u w:val="single"/>
        </w:rPr>
        <w:t xml:space="preserve">     </w:t>
      </w:r>
      <w:r>
        <w:rPr>
          <w:rFonts w:hint="eastAsia" w:ascii="宋体" w:hAnsi="宋体" w:cs="宋体"/>
          <w:szCs w:val="21"/>
          <w:highlight w:val="none"/>
        </w:rPr>
        <w:t>年</w:t>
      </w:r>
      <w:r>
        <w:rPr>
          <w:rFonts w:hint="eastAsia" w:ascii="宋体" w:hAnsi="宋体" w:cs="宋体"/>
          <w:sz w:val="28"/>
          <w:szCs w:val="28"/>
          <w:highlight w:val="none"/>
          <w:u w:val="single"/>
        </w:rPr>
        <w:t xml:space="preserve">     </w:t>
      </w:r>
      <w:r>
        <w:rPr>
          <w:rFonts w:hint="eastAsia" w:ascii="宋体" w:hAnsi="宋体" w:cs="宋体"/>
          <w:szCs w:val="21"/>
          <w:highlight w:val="none"/>
        </w:rPr>
        <w:t>月</w:t>
      </w:r>
      <w:r>
        <w:rPr>
          <w:rFonts w:hint="eastAsia" w:ascii="宋体" w:hAnsi="宋体" w:cs="宋体"/>
          <w:sz w:val="28"/>
          <w:szCs w:val="28"/>
          <w:highlight w:val="none"/>
          <w:u w:val="single"/>
        </w:rPr>
        <w:t xml:space="preserve">     </w:t>
      </w:r>
      <w:r>
        <w:rPr>
          <w:rFonts w:hint="eastAsia" w:ascii="宋体" w:hAnsi="宋体" w:cs="宋体"/>
          <w:szCs w:val="21"/>
          <w:highlight w:val="none"/>
        </w:rPr>
        <w:t>日</w:t>
      </w:r>
    </w:p>
    <w:p>
      <w:pPr>
        <w:spacing w:line="400" w:lineRule="exact"/>
        <w:rPr>
          <w:rFonts w:ascii="宋体" w:hAnsi="宋体" w:cs="宋体"/>
          <w:highlight w:val="none"/>
        </w:rPr>
      </w:pPr>
    </w:p>
    <w:p>
      <w:pPr>
        <w:pStyle w:val="26"/>
        <w:rPr>
          <w:rFonts w:ascii="宋体" w:hAnsi="宋体" w:cs="宋体"/>
          <w:highlight w:val="none"/>
        </w:rPr>
      </w:pPr>
    </w:p>
    <w:p>
      <w:pPr>
        <w:pStyle w:val="26"/>
        <w:rPr>
          <w:rFonts w:ascii="宋体" w:hAnsi="宋体" w:cs="宋体"/>
          <w:highlight w:val="none"/>
        </w:rPr>
      </w:pPr>
    </w:p>
    <w:p>
      <w:pPr>
        <w:pStyle w:val="26"/>
        <w:rPr>
          <w:rFonts w:ascii="宋体" w:hAnsi="宋体" w:cs="宋体"/>
          <w:highlight w:val="none"/>
        </w:rPr>
      </w:pPr>
    </w:p>
    <w:p>
      <w:pPr>
        <w:pStyle w:val="26"/>
        <w:rPr>
          <w:rFonts w:ascii="宋体" w:hAnsi="宋体" w:cs="宋体"/>
          <w:highlight w:val="none"/>
        </w:rPr>
      </w:pPr>
    </w:p>
    <w:p>
      <w:pPr>
        <w:pStyle w:val="26"/>
        <w:rPr>
          <w:rFonts w:ascii="宋体" w:hAnsi="宋体" w:cs="宋体"/>
          <w:highlight w:val="none"/>
        </w:rPr>
      </w:pPr>
    </w:p>
    <w:p>
      <w:pPr>
        <w:pStyle w:val="26"/>
        <w:rPr>
          <w:rFonts w:ascii="宋体" w:hAnsi="宋体" w:cs="宋体"/>
          <w:highlight w:val="none"/>
        </w:rPr>
      </w:pPr>
    </w:p>
    <w:p>
      <w:pPr>
        <w:pStyle w:val="26"/>
      </w:pPr>
    </w:p>
    <w:p>
      <w:pPr>
        <w:spacing w:line="400" w:lineRule="exact"/>
        <w:rPr>
          <w:rFonts w:ascii="宋体" w:hAnsi="宋体" w:cs="宋体"/>
          <w:highlight w:val="none"/>
        </w:rPr>
      </w:pPr>
    </w:p>
    <w:p>
      <w:pPr>
        <w:pStyle w:val="8"/>
        <w:jc w:val="center"/>
        <w:rPr>
          <w:rFonts w:ascii="宋体" w:hAnsi="宋体" w:eastAsia="宋体" w:cs="宋体"/>
          <w:highlight w:val="none"/>
        </w:rPr>
      </w:pPr>
      <w:bookmarkStart w:id="1317" w:name="_Toc742"/>
      <w:bookmarkStart w:id="1318" w:name="_Toc152042583"/>
      <w:bookmarkStart w:id="1319" w:name="_Toc152045794"/>
      <w:bookmarkStart w:id="1320" w:name="_Toc502"/>
      <w:bookmarkStart w:id="1321" w:name="_Toc247085880"/>
      <w:bookmarkStart w:id="1322" w:name="_Toc21206"/>
      <w:bookmarkStart w:id="1323" w:name="_Toc31123"/>
      <w:bookmarkStart w:id="1324" w:name="_Toc24472"/>
      <w:bookmarkStart w:id="1325" w:name="_Toc144974862"/>
      <w:bookmarkStart w:id="1326" w:name="_Toc20213"/>
      <w:bookmarkStart w:id="1327" w:name="_Toc14167"/>
      <w:bookmarkStart w:id="1328" w:name="_Toc246996362"/>
      <w:bookmarkStart w:id="1329" w:name="_Toc246997105"/>
      <w:bookmarkStart w:id="1330" w:name="_Toc179632814"/>
      <w:r>
        <w:rPr>
          <w:rFonts w:hint="eastAsia" w:ascii="宋体" w:hAnsi="宋体" w:eastAsia="宋体" w:cs="宋体"/>
          <w:highlight w:val="none"/>
        </w:rPr>
        <w:t>四、投标保证金</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pPr>
        <w:spacing w:line="440" w:lineRule="exact"/>
        <w:jc w:val="center"/>
        <w:rPr>
          <w:rFonts w:ascii="宋体" w:hAnsi="宋体" w:cs="宋体"/>
          <w:b w:val="0"/>
          <w:bCs/>
          <w:sz w:val="28"/>
          <w:szCs w:val="28"/>
          <w:highlight w:val="none"/>
        </w:rPr>
      </w:pPr>
      <w:r>
        <w:rPr>
          <w:rFonts w:hint="eastAsia" w:ascii="宋体" w:hAnsi="宋体" w:cs="宋体"/>
          <w:b w:val="0"/>
          <w:bCs/>
          <w:sz w:val="28"/>
          <w:szCs w:val="28"/>
          <w:highlight w:val="none"/>
        </w:rPr>
        <w:t>银行转账凭证</w:t>
      </w: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spacing w:line="440" w:lineRule="exact"/>
        <w:jc w:val="center"/>
        <w:rPr>
          <w:rFonts w:ascii="宋体" w:hAnsi="宋体" w:cs="宋体"/>
          <w:b/>
          <w:sz w:val="28"/>
          <w:szCs w:val="28"/>
          <w:highlight w:val="none"/>
        </w:rPr>
      </w:pPr>
    </w:p>
    <w:p>
      <w:pPr>
        <w:pStyle w:val="8"/>
        <w:jc w:val="both"/>
        <w:rPr>
          <w:rFonts w:hint="eastAsia" w:ascii="宋体" w:hAnsi="宋体" w:eastAsia="宋体" w:cs="宋体"/>
          <w:highlight w:val="none"/>
        </w:rPr>
      </w:pPr>
      <w:bookmarkStart w:id="1331" w:name="_Toc25588"/>
      <w:bookmarkStart w:id="1332" w:name="_Toc246997106"/>
      <w:bookmarkStart w:id="1333" w:name="_Toc28823"/>
      <w:bookmarkStart w:id="1334" w:name="_Toc152045795"/>
      <w:bookmarkStart w:id="1335" w:name="_Toc144974863"/>
      <w:bookmarkStart w:id="1336" w:name="_Toc3823"/>
      <w:bookmarkStart w:id="1337" w:name="_Toc246996363"/>
      <w:bookmarkStart w:id="1338" w:name="_Toc4401"/>
      <w:bookmarkStart w:id="1339" w:name="_Toc179632815"/>
      <w:bookmarkStart w:id="1340" w:name="_Toc247085881"/>
      <w:bookmarkStart w:id="1341" w:name="_Toc25602"/>
      <w:bookmarkStart w:id="1342" w:name="_Toc9825"/>
      <w:bookmarkStart w:id="1343" w:name="_Toc152042584"/>
    </w:p>
    <w:p>
      <w:pPr>
        <w:rPr>
          <w:rFonts w:hint="eastAsia"/>
        </w:rPr>
      </w:pPr>
    </w:p>
    <w:p>
      <w:pPr>
        <w:pStyle w:val="8"/>
        <w:jc w:val="center"/>
        <w:rPr>
          <w:rFonts w:ascii="宋体" w:hAnsi="宋体" w:eastAsia="宋体" w:cs="宋体"/>
          <w:highlight w:val="none"/>
        </w:rPr>
      </w:pPr>
      <w:bookmarkStart w:id="1344" w:name="_Toc24786"/>
      <w:r>
        <w:rPr>
          <w:rFonts w:hint="eastAsia" w:ascii="宋体" w:hAnsi="宋体" w:eastAsia="宋体" w:cs="宋体"/>
          <w:highlight w:val="none"/>
        </w:rPr>
        <w:t>五、已标价工程量清单</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pPr>
        <w:spacing w:line="440" w:lineRule="exact"/>
        <w:jc w:val="both"/>
        <w:rPr>
          <w:rFonts w:ascii="宋体" w:hAnsi="宋体" w:cs="宋体"/>
          <w:highlight w:val="none"/>
        </w:rPr>
      </w:pPr>
      <w:r>
        <w:rPr>
          <w:rFonts w:hint="eastAsia" w:ascii="宋体" w:hAnsi="宋体" w:cs="宋体"/>
          <w:highlight w:val="none"/>
        </w:rPr>
        <w:br w:type="page"/>
      </w:r>
    </w:p>
    <w:p>
      <w:pPr>
        <w:pStyle w:val="8"/>
        <w:jc w:val="center"/>
        <w:rPr>
          <w:rFonts w:ascii="宋体" w:hAnsi="宋体" w:eastAsia="宋体" w:cs="宋体"/>
          <w:highlight w:val="none"/>
        </w:rPr>
      </w:pPr>
      <w:bookmarkStart w:id="1345" w:name="_Toc144974864"/>
      <w:bookmarkStart w:id="1346" w:name="_Toc247085882"/>
      <w:bookmarkStart w:id="1347" w:name="_Toc179632816"/>
      <w:bookmarkStart w:id="1348" w:name="_Toc29300"/>
      <w:bookmarkStart w:id="1349" w:name="_Toc26350"/>
      <w:bookmarkStart w:id="1350" w:name="_Toc246996364"/>
      <w:bookmarkStart w:id="1351" w:name="_Toc12997"/>
      <w:bookmarkStart w:id="1352" w:name="_Toc152042585"/>
      <w:bookmarkStart w:id="1353" w:name="_Toc17952"/>
      <w:bookmarkStart w:id="1354" w:name="_Toc26768"/>
      <w:bookmarkStart w:id="1355" w:name="_Toc8111"/>
      <w:bookmarkStart w:id="1356" w:name="_Toc152045796"/>
      <w:bookmarkStart w:id="1357" w:name="_Toc246997107"/>
      <w:bookmarkStart w:id="1358" w:name="_Toc11406"/>
      <w:r>
        <w:rPr>
          <w:rFonts w:hint="eastAsia" w:ascii="宋体" w:hAnsi="宋体" w:eastAsia="宋体" w:cs="宋体"/>
          <w:highlight w:val="none"/>
        </w:rPr>
        <w:t>六、施工组织设计</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pPr>
        <w:spacing w:line="440" w:lineRule="exact"/>
        <w:rPr>
          <w:rFonts w:ascii="宋体" w:hAnsi="宋体" w:cs="宋体"/>
          <w:szCs w:val="21"/>
          <w:highlight w:val="none"/>
        </w:rPr>
      </w:pPr>
    </w:p>
    <w:p>
      <w:pPr>
        <w:tabs>
          <w:tab w:val="left" w:pos="720"/>
        </w:tabs>
        <w:spacing w:line="440" w:lineRule="exact"/>
        <w:ind w:firstLine="420" w:firstLineChars="200"/>
        <w:rPr>
          <w:rFonts w:ascii="宋体" w:hAnsi="宋体" w:cs="宋体"/>
          <w:szCs w:val="21"/>
          <w:highlight w:val="none"/>
        </w:rPr>
      </w:pPr>
      <w:r>
        <w:rPr>
          <w:rFonts w:hint="eastAsia" w:ascii="宋体" w:hAnsi="宋体" w:cs="宋体"/>
          <w:szCs w:val="21"/>
          <w:highlight w:val="none"/>
        </w:rPr>
        <w:t xml:space="preserve">1. </w:t>
      </w:r>
      <w:r>
        <w:rPr>
          <w:rFonts w:hint="eastAsia" w:ascii="宋体" w:hAnsi="宋体" w:cs="宋体"/>
          <w:szCs w:val="21"/>
          <w:highlight w:val="none"/>
        </w:rPr>
        <w:tab/>
      </w:r>
      <w:r>
        <w:rPr>
          <w:rFonts w:hint="eastAsia" w:ascii="宋体" w:hAnsi="宋体" w:cs="宋体"/>
          <w:szCs w:val="21"/>
          <w:highlight w:val="none"/>
        </w:rPr>
        <w:t>投标人编制施工组织设计的要求：编制时应简明扼要地说明施工方法，工程质量、安全生产、文明施工、环境保护、冬雨季施工、工程进度、技术组织等主要措施。用图表形式阐明本项目的施工总平面、进度计划以及拟投入主要施工设备、劳动力、项目管理机构等。</w:t>
      </w:r>
    </w:p>
    <w:p>
      <w:pPr>
        <w:tabs>
          <w:tab w:val="left" w:pos="720"/>
        </w:tabs>
        <w:spacing w:line="440" w:lineRule="exact"/>
        <w:ind w:firstLine="420" w:firstLineChars="200"/>
        <w:rPr>
          <w:rFonts w:ascii="宋体" w:hAnsi="宋体" w:cs="宋体"/>
          <w:szCs w:val="21"/>
          <w:highlight w:val="none"/>
        </w:rPr>
      </w:pPr>
      <w:r>
        <w:rPr>
          <w:rFonts w:hint="eastAsia" w:ascii="宋体" w:hAnsi="宋体" w:cs="宋体"/>
          <w:szCs w:val="21"/>
          <w:highlight w:val="none"/>
        </w:rPr>
        <w:t>2. 图表及格式要求：</w:t>
      </w:r>
    </w:p>
    <w:p>
      <w:pPr>
        <w:tabs>
          <w:tab w:val="left" w:pos="720"/>
        </w:tabs>
        <w:spacing w:line="440" w:lineRule="exact"/>
        <w:ind w:firstLine="756" w:firstLineChars="360"/>
        <w:rPr>
          <w:rFonts w:ascii="宋体" w:hAnsi="宋体" w:cs="宋体"/>
          <w:szCs w:val="21"/>
          <w:highlight w:val="none"/>
        </w:rPr>
      </w:pPr>
      <w:r>
        <w:rPr>
          <w:rFonts w:hint="eastAsia" w:ascii="宋体" w:hAnsi="宋体" w:cs="宋体"/>
          <w:szCs w:val="21"/>
          <w:highlight w:val="none"/>
        </w:rPr>
        <w:t>附表一  拟投入的主要施工设备表</w:t>
      </w:r>
    </w:p>
    <w:p>
      <w:pPr>
        <w:tabs>
          <w:tab w:val="left" w:pos="720"/>
        </w:tabs>
        <w:spacing w:line="440" w:lineRule="exact"/>
        <w:ind w:firstLine="756" w:firstLineChars="360"/>
        <w:rPr>
          <w:rFonts w:ascii="宋体" w:hAnsi="宋体" w:cs="宋体"/>
          <w:szCs w:val="21"/>
          <w:highlight w:val="none"/>
        </w:rPr>
      </w:pPr>
      <w:r>
        <w:rPr>
          <w:rFonts w:hint="eastAsia" w:ascii="宋体" w:hAnsi="宋体" w:cs="宋体"/>
          <w:szCs w:val="21"/>
          <w:highlight w:val="none"/>
        </w:rPr>
        <w:t>附表二  劳动力计划表</w:t>
      </w:r>
    </w:p>
    <w:p>
      <w:pPr>
        <w:tabs>
          <w:tab w:val="left" w:pos="720"/>
        </w:tabs>
        <w:spacing w:line="440" w:lineRule="exact"/>
        <w:ind w:firstLine="756" w:firstLineChars="360"/>
        <w:rPr>
          <w:rFonts w:ascii="宋体" w:hAnsi="宋体" w:cs="宋体"/>
          <w:szCs w:val="21"/>
          <w:highlight w:val="none"/>
        </w:rPr>
      </w:pPr>
      <w:r>
        <w:rPr>
          <w:rFonts w:hint="eastAsia" w:ascii="宋体" w:hAnsi="宋体" w:cs="宋体"/>
          <w:szCs w:val="21"/>
          <w:highlight w:val="none"/>
        </w:rPr>
        <w:t>附表三  进度计划</w:t>
      </w:r>
    </w:p>
    <w:p>
      <w:pPr>
        <w:tabs>
          <w:tab w:val="left" w:pos="720"/>
        </w:tabs>
        <w:spacing w:line="440" w:lineRule="exact"/>
        <w:ind w:firstLine="756" w:firstLineChars="360"/>
        <w:rPr>
          <w:rFonts w:ascii="宋体" w:hAnsi="宋体" w:cs="宋体"/>
          <w:szCs w:val="21"/>
          <w:highlight w:val="none"/>
        </w:rPr>
      </w:pPr>
      <w:r>
        <w:rPr>
          <w:rFonts w:hint="eastAsia" w:ascii="宋体" w:hAnsi="宋体" w:cs="宋体"/>
          <w:szCs w:val="21"/>
          <w:highlight w:val="none"/>
        </w:rPr>
        <w:t>附表四  施工总平面图</w:t>
      </w: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300" w:lineRule="exact"/>
        <w:rPr>
          <w:rFonts w:ascii="宋体" w:hAnsi="宋体" w:cs="宋体"/>
          <w:highlight w:val="none"/>
        </w:rPr>
      </w:pPr>
    </w:p>
    <w:p>
      <w:pPr>
        <w:spacing w:line="300" w:lineRule="exact"/>
        <w:rPr>
          <w:rFonts w:hint="eastAsia" w:ascii="宋体" w:hAnsi="宋体" w:cs="宋体"/>
          <w:highlight w:val="none"/>
        </w:rPr>
      </w:pPr>
    </w:p>
    <w:p>
      <w:pPr>
        <w:spacing w:line="300" w:lineRule="exact"/>
        <w:rPr>
          <w:rFonts w:ascii="宋体" w:hAnsi="宋体" w:cs="宋体"/>
          <w:highlight w:val="none"/>
        </w:rPr>
      </w:pPr>
    </w:p>
    <w:p>
      <w:pPr>
        <w:keepNext/>
        <w:keepLines/>
        <w:spacing w:line="300" w:lineRule="exact"/>
        <w:rPr>
          <w:rFonts w:ascii="宋体" w:hAnsi="宋体" w:cs="宋体"/>
          <w:b/>
          <w:bCs/>
          <w:sz w:val="28"/>
          <w:szCs w:val="28"/>
          <w:highlight w:val="none"/>
        </w:rPr>
      </w:pPr>
      <w:bookmarkStart w:id="1359" w:name="_Toc152042586"/>
      <w:bookmarkStart w:id="1360" w:name="_Toc144974865"/>
      <w:bookmarkStart w:id="1361" w:name="_Toc246996365"/>
      <w:bookmarkStart w:id="1362" w:name="_Toc247085883"/>
      <w:bookmarkStart w:id="1363" w:name="_Toc179632817"/>
      <w:bookmarkStart w:id="1364" w:name="_Toc152045797"/>
      <w:bookmarkStart w:id="1365" w:name="_Toc246997108"/>
      <w:r>
        <w:rPr>
          <w:rFonts w:hint="eastAsia" w:ascii="宋体" w:hAnsi="宋体" w:cs="宋体"/>
          <w:b/>
          <w:bCs/>
          <w:sz w:val="28"/>
          <w:szCs w:val="28"/>
          <w:highlight w:val="none"/>
        </w:rPr>
        <w:t>附表一：拟投入本项目的主要施工设备表</w:t>
      </w:r>
      <w:bookmarkEnd w:id="1359"/>
      <w:bookmarkEnd w:id="1360"/>
      <w:bookmarkEnd w:id="1361"/>
      <w:bookmarkEnd w:id="1362"/>
      <w:bookmarkEnd w:id="1363"/>
      <w:bookmarkEnd w:id="1364"/>
      <w:bookmarkEnd w:id="1365"/>
    </w:p>
    <w:tbl>
      <w:tblPr>
        <w:tblStyle w:val="22"/>
        <w:tblW w:w="874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086"/>
        <w:gridCol w:w="761"/>
        <w:gridCol w:w="990"/>
        <w:gridCol w:w="672"/>
        <w:gridCol w:w="738"/>
        <w:gridCol w:w="1212"/>
        <w:gridCol w:w="874"/>
        <w:gridCol w:w="1055"/>
        <w:gridCol w:w="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center"/>
          </w:tcPr>
          <w:p>
            <w:pPr>
              <w:spacing w:line="440" w:lineRule="exact"/>
              <w:rPr>
                <w:rFonts w:ascii="宋体" w:hAnsi="宋体" w:cs="宋体"/>
                <w:szCs w:val="21"/>
                <w:highlight w:val="none"/>
              </w:rPr>
            </w:pPr>
            <w:r>
              <w:rPr>
                <w:rFonts w:hint="eastAsia" w:ascii="宋体" w:hAnsi="宋体" w:cs="宋体"/>
                <w:szCs w:val="21"/>
                <w:highlight w:val="none"/>
              </w:rPr>
              <w:t>序号</w:t>
            </w:r>
          </w:p>
        </w:tc>
        <w:tc>
          <w:tcPr>
            <w:tcW w:w="1086"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设备名称</w:t>
            </w:r>
          </w:p>
        </w:tc>
        <w:tc>
          <w:tcPr>
            <w:tcW w:w="761"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型号</w:t>
            </w:r>
          </w:p>
          <w:p>
            <w:pPr>
              <w:spacing w:line="440" w:lineRule="exact"/>
              <w:jc w:val="center"/>
              <w:rPr>
                <w:rFonts w:ascii="宋体" w:hAnsi="宋体" w:cs="宋体"/>
                <w:szCs w:val="21"/>
                <w:highlight w:val="none"/>
              </w:rPr>
            </w:pPr>
            <w:r>
              <w:rPr>
                <w:rFonts w:hint="eastAsia" w:ascii="宋体" w:hAnsi="宋体" w:cs="宋体"/>
                <w:szCs w:val="21"/>
                <w:highlight w:val="none"/>
              </w:rPr>
              <w:t>规格</w:t>
            </w:r>
          </w:p>
        </w:tc>
        <w:tc>
          <w:tcPr>
            <w:tcW w:w="990"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数量</w:t>
            </w:r>
          </w:p>
        </w:tc>
        <w:tc>
          <w:tcPr>
            <w:tcW w:w="672"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国别</w:t>
            </w:r>
          </w:p>
          <w:p>
            <w:pPr>
              <w:spacing w:line="440" w:lineRule="exact"/>
              <w:jc w:val="center"/>
              <w:rPr>
                <w:rFonts w:ascii="宋体" w:hAnsi="宋体" w:cs="宋体"/>
                <w:szCs w:val="21"/>
                <w:highlight w:val="none"/>
              </w:rPr>
            </w:pPr>
            <w:r>
              <w:rPr>
                <w:rFonts w:hint="eastAsia" w:ascii="宋体" w:hAnsi="宋体" w:cs="宋体"/>
                <w:szCs w:val="21"/>
                <w:highlight w:val="none"/>
              </w:rPr>
              <w:t>产地</w:t>
            </w:r>
          </w:p>
        </w:tc>
        <w:tc>
          <w:tcPr>
            <w:tcW w:w="738"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制造</w:t>
            </w:r>
          </w:p>
          <w:p>
            <w:pPr>
              <w:spacing w:line="440" w:lineRule="exact"/>
              <w:jc w:val="center"/>
              <w:rPr>
                <w:rFonts w:ascii="宋体" w:hAnsi="宋体" w:cs="宋体"/>
                <w:szCs w:val="21"/>
                <w:highlight w:val="none"/>
              </w:rPr>
            </w:pPr>
            <w:r>
              <w:rPr>
                <w:rFonts w:hint="eastAsia" w:ascii="宋体" w:hAnsi="宋体" w:cs="宋体"/>
                <w:szCs w:val="21"/>
                <w:highlight w:val="none"/>
              </w:rPr>
              <w:t>年份</w:t>
            </w:r>
          </w:p>
        </w:tc>
        <w:tc>
          <w:tcPr>
            <w:tcW w:w="1212"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额定功率（kW）</w:t>
            </w:r>
          </w:p>
        </w:tc>
        <w:tc>
          <w:tcPr>
            <w:tcW w:w="874"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生产</w:t>
            </w:r>
          </w:p>
          <w:p>
            <w:pPr>
              <w:spacing w:line="440" w:lineRule="exact"/>
              <w:jc w:val="center"/>
              <w:rPr>
                <w:rFonts w:ascii="宋体" w:hAnsi="宋体" w:cs="宋体"/>
                <w:szCs w:val="21"/>
                <w:highlight w:val="none"/>
              </w:rPr>
            </w:pPr>
            <w:r>
              <w:rPr>
                <w:rFonts w:hint="eastAsia" w:ascii="宋体" w:hAnsi="宋体" w:cs="宋体"/>
                <w:szCs w:val="21"/>
                <w:highlight w:val="none"/>
              </w:rPr>
              <w:t>能力</w:t>
            </w:r>
          </w:p>
        </w:tc>
        <w:tc>
          <w:tcPr>
            <w:tcW w:w="1055"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用于施工部位</w:t>
            </w:r>
          </w:p>
        </w:tc>
        <w:tc>
          <w:tcPr>
            <w:tcW w:w="691"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center"/>
          </w:tcPr>
          <w:p>
            <w:pPr>
              <w:spacing w:line="440" w:lineRule="exact"/>
              <w:jc w:val="center"/>
              <w:rPr>
                <w:rFonts w:ascii="宋体" w:hAnsi="宋体" w:cs="宋体"/>
                <w:szCs w:val="21"/>
                <w:highlight w:val="none"/>
              </w:rPr>
            </w:pPr>
          </w:p>
        </w:tc>
        <w:tc>
          <w:tcPr>
            <w:tcW w:w="1086" w:type="dxa"/>
            <w:vAlign w:val="center"/>
          </w:tcPr>
          <w:p>
            <w:pPr>
              <w:spacing w:line="440" w:lineRule="exact"/>
              <w:jc w:val="center"/>
              <w:rPr>
                <w:rFonts w:ascii="宋体" w:hAnsi="宋体" w:cs="宋体"/>
                <w:szCs w:val="21"/>
                <w:highlight w:val="none"/>
              </w:rPr>
            </w:pPr>
          </w:p>
        </w:tc>
        <w:tc>
          <w:tcPr>
            <w:tcW w:w="761" w:type="dxa"/>
            <w:vAlign w:val="center"/>
          </w:tcPr>
          <w:p>
            <w:pPr>
              <w:spacing w:line="440" w:lineRule="exact"/>
              <w:jc w:val="center"/>
              <w:rPr>
                <w:rFonts w:ascii="宋体" w:hAnsi="宋体" w:cs="宋体"/>
                <w:szCs w:val="21"/>
                <w:highlight w:val="none"/>
              </w:rPr>
            </w:pPr>
          </w:p>
        </w:tc>
        <w:tc>
          <w:tcPr>
            <w:tcW w:w="990" w:type="dxa"/>
            <w:vAlign w:val="center"/>
          </w:tcPr>
          <w:p>
            <w:pPr>
              <w:spacing w:line="440" w:lineRule="exact"/>
              <w:jc w:val="center"/>
              <w:rPr>
                <w:rFonts w:ascii="宋体" w:hAnsi="宋体" w:cs="宋体"/>
                <w:szCs w:val="21"/>
                <w:highlight w:val="none"/>
              </w:rPr>
            </w:pPr>
          </w:p>
        </w:tc>
        <w:tc>
          <w:tcPr>
            <w:tcW w:w="672" w:type="dxa"/>
            <w:vAlign w:val="center"/>
          </w:tcPr>
          <w:p>
            <w:pPr>
              <w:spacing w:line="440" w:lineRule="exact"/>
              <w:jc w:val="center"/>
              <w:rPr>
                <w:rFonts w:ascii="宋体" w:hAnsi="宋体" w:cs="宋体"/>
                <w:szCs w:val="21"/>
                <w:highlight w:val="none"/>
              </w:rPr>
            </w:pPr>
          </w:p>
        </w:tc>
        <w:tc>
          <w:tcPr>
            <w:tcW w:w="738" w:type="dxa"/>
            <w:vAlign w:val="center"/>
          </w:tcPr>
          <w:p>
            <w:pPr>
              <w:spacing w:line="440" w:lineRule="exact"/>
              <w:jc w:val="center"/>
              <w:rPr>
                <w:rFonts w:ascii="宋体" w:hAnsi="宋体" w:cs="宋体"/>
                <w:szCs w:val="21"/>
                <w:highlight w:val="none"/>
              </w:rPr>
            </w:pPr>
          </w:p>
        </w:tc>
        <w:tc>
          <w:tcPr>
            <w:tcW w:w="1212" w:type="dxa"/>
            <w:vAlign w:val="center"/>
          </w:tcPr>
          <w:p>
            <w:pPr>
              <w:spacing w:line="440" w:lineRule="exact"/>
              <w:jc w:val="center"/>
              <w:rPr>
                <w:rFonts w:ascii="宋体" w:hAnsi="宋体" w:cs="宋体"/>
                <w:szCs w:val="21"/>
                <w:highlight w:val="none"/>
              </w:rPr>
            </w:pPr>
          </w:p>
        </w:tc>
        <w:tc>
          <w:tcPr>
            <w:tcW w:w="874" w:type="dxa"/>
            <w:vAlign w:val="center"/>
          </w:tcPr>
          <w:p>
            <w:pPr>
              <w:spacing w:line="440" w:lineRule="exact"/>
              <w:jc w:val="center"/>
              <w:rPr>
                <w:rFonts w:ascii="宋体" w:hAnsi="宋体" w:cs="宋体"/>
                <w:szCs w:val="21"/>
                <w:highlight w:val="none"/>
              </w:rPr>
            </w:pPr>
          </w:p>
        </w:tc>
        <w:tc>
          <w:tcPr>
            <w:tcW w:w="1055" w:type="dxa"/>
            <w:vAlign w:val="center"/>
          </w:tcPr>
          <w:p>
            <w:pPr>
              <w:spacing w:line="440" w:lineRule="exact"/>
              <w:jc w:val="center"/>
              <w:rPr>
                <w:rFonts w:ascii="宋体" w:hAnsi="宋体" w:cs="宋体"/>
                <w:szCs w:val="21"/>
                <w:highlight w:val="none"/>
              </w:rPr>
            </w:pPr>
          </w:p>
        </w:tc>
        <w:tc>
          <w:tcPr>
            <w:tcW w:w="691" w:type="dxa"/>
            <w:vAlign w:val="center"/>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center"/>
          </w:tcPr>
          <w:p>
            <w:pPr>
              <w:spacing w:line="440" w:lineRule="exact"/>
              <w:jc w:val="center"/>
              <w:rPr>
                <w:rFonts w:ascii="宋体" w:hAnsi="宋体" w:cs="宋体"/>
                <w:szCs w:val="21"/>
                <w:highlight w:val="none"/>
              </w:rPr>
            </w:pPr>
          </w:p>
        </w:tc>
        <w:tc>
          <w:tcPr>
            <w:tcW w:w="1086" w:type="dxa"/>
            <w:vAlign w:val="center"/>
          </w:tcPr>
          <w:p>
            <w:pPr>
              <w:spacing w:line="440" w:lineRule="exact"/>
              <w:jc w:val="center"/>
              <w:rPr>
                <w:rFonts w:ascii="宋体" w:hAnsi="宋体" w:cs="宋体"/>
                <w:szCs w:val="21"/>
                <w:highlight w:val="none"/>
              </w:rPr>
            </w:pPr>
          </w:p>
        </w:tc>
        <w:tc>
          <w:tcPr>
            <w:tcW w:w="761" w:type="dxa"/>
            <w:vAlign w:val="center"/>
          </w:tcPr>
          <w:p>
            <w:pPr>
              <w:spacing w:line="440" w:lineRule="exact"/>
              <w:jc w:val="center"/>
              <w:rPr>
                <w:rFonts w:ascii="宋体" w:hAnsi="宋体" w:cs="宋体"/>
                <w:szCs w:val="21"/>
                <w:highlight w:val="none"/>
              </w:rPr>
            </w:pPr>
          </w:p>
        </w:tc>
        <w:tc>
          <w:tcPr>
            <w:tcW w:w="990" w:type="dxa"/>
            <w:vAlign w:val="center"/>
          </w:tcPr>
          <w:p>
            <w:pPr>
              <w:spacing w:line="440" w:lineRule="exact"/>
              <w:jc w:val="center"/>
              <w:rPr>
                <w:rFonts w:ascii="宋体" w:hAnsi="宋体" w:cs="宋体"/>
                <w:szCs w:val="21"/>
                <w:highlight w:val="none"/>
              </w:rPr>
            </w:pPr>
          </w:p>
        </w:tc>
        <w:tc>
          <w:tcPr>
            <w:tcW w:w="672" w:type="dxa"/>
            <w:vAlign w:val="center"/>
          </w:tcPr>
          <w:p>
            <w:pPr>
              <w:spacing w:line="440" w:lineRule="exact"/>
              <w:jc w:val="center"/>
              <w:rPr>
                <w:rFonts w:ascii="宋体" w:hAnsi="宋体" w:cs="宋体"/>
                <w:szCs w:val="21"/>
                <w:highlight w:val="none"/>
              </w:rPr>
            </w:pPr>
          </w:p>
        </w:tc>
        <w:tc>
          <w:tcPr>
            <w:tcW w:w="738" w:type="dxa"/>
            <w:vAlign w:val="center"/>
          </w:tcPr>
          <w:p>
            <w:pPr>
              <w:spacing w:line="440" w:lineRule="exact"/>
              <w:jc w:val="center"/>
              <w:rPr>
                <w:rFonts w:ascii="宋体" w:hAnsi="宋体" w:cs="宋体"/>
                <w:szCs w:val="21"/>
                <w:highlight w:val="none"/>
              </w:rPr>
            </w:pPr>
          </w:p>
        </w:tc>
        <w:tc>
          <w:tcPr>
            <w:tcW w:w="1212" w:type="dxa"/>
            <w:vAlign w:val="center"/>
          </w:tcPr>
          <w:p>
            <w:pPr>
              <w:spacing w:line="440" w:lineRule="exact"/>
              <w:jc w:val="center"/>
              <w:rPr>
                <w:rFonts w:ascii="宋体" w:hAnsi="宋体" w:cs="宋体"/>
                <w:szCs w:val="21"/>
                <w:highlight w:val="none"/>
              </w:rPr>
            </w:pPr>
          </w:p>
        </w:tc>
        <w:tc>
          <w:tcPr>
            <w:tcW w:w="874" w:type="dxa"/>
            <w:vAlign w:val="center"/>
          </w:tcPr>
          <w:p>
            <w:pPr>
              <w:spacing w:line="440" w:lineRule="exact"/>
              <w:jc w:val="center"/>
              <w:rPr>
                <w:rFonts w:ascii="宋体" w:hAnsi="宋体" w:cs="宋体"/>
                <w:szCs w:val="21"/>
                <w:highlight w:val="none"/>
              </w:rPr>
            </w:pPr>
          </w:p>
        </w:tc>
        <w:tc>
          <w:tcPr>
            <w:tcW w:w="1055" w:type="dxa"/>
            <w:vAlign w:val="center"/>
          </w:tcPr>
          <w:p>
            <w:pPr>
              <w:spacing w:line="440" w:lineRule="exact"/>
              <w:jc w:val="center"/>
              <w:rPr>
                <w:rFonts w:ascii="宋体" w:hAnsi="宋体" w:cs="宋体"/>
                <w:szCs w:val="21"/>
                <w:highlight w:val="none"/>
              </w:rPr>
            </w:pPr>
          </w:p>
        </w:tc>
        <w:tc>
          <w:tcPr>
            <w:tcW w:w="691" w:type="dxa"/>
            <w:vAlign w:val="center"/>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vAlign w:val="top"/>
          </w:tcPr>
          <w:p>
            <w:pPr>
              <w:spacing w:line="440" w:lineRule="exact"/>
              <w:jc w:val="center"/>
              <w:rPr>
                <w:rFonts w:ascii="宋体" w:hAnsi="宋体" w:cs="宋体"/>
                <w:szCs w:val="21"/>
                <w:highlight w:val="none"/>
              </w:rPr>
            </w:pPr>
          </w:p>
        </w:tc>
        <w:tc>
          <w:tcPr>
            <w:tcW w:w="1086" w:type="dxa"/>
            <w:vAlign w:val="top"/>
          </w:tcPr>
          <w:p>
            <w:pPr>
              <w:spacing w:line="440" w:lineRule="exact"/>
              <w:jc w:val="center"/>
              <w:rPr>
                <w:rFonts w:ascii="宋体" w:hAnsi="宋体" w:cs="宋体"/>
                <w:szCs w:val="21"/>
                <w:highlight w:val="none"/>
              </w:rPr>
            </w:pPr>
          </w:p>
        </w:tc>
        <w:tc>
          <w:tcPr>
            <w:tcW w:w="761" w:type="dxa"/>
            <w:vAlign w:val="top"/>
          </w:tcPr>
          <w:p>
            <w:pPr>
              <w:spacing w:line="440" w:lineRule="exact"/>
              <w:jc w:val="center"/>
              <w:rPr>
                <w:rFonts w:ascii="宋体" w:hAnsi="宋体" w:cs="宋体"/>
                <w:szCs w:val="21"/>
                <w:highlight w:val="none"/>
              </w:rPr>
            </w:pPr>
          </w:p>
        </w:tc>
        <w:tc>
          <w:tcPr>
            <w:tcW w:w="990"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c>
          <w:tcPr>
            <w:tcW w:w="738" w:type="dxa"/>
            <w:vAlign w:val="top"/>
          </w:tcPr>
          <w:p>
            <w:pPr>
              <w:spacing w:line="440" w:lineRule="exact"/>
              <w:jc w:val="center"/>
              <w:rPr>
                <w:rFonts w:ascii="宋体" w:hAnsi="宋体" w:cs="宋体"/>
                <w:szCs w:val="21"/>
                <w:highlight w:val="none"/>
              </w:rPr>
            </w:pPr>
          </w:p>
        </w:tc>
        <w:tc>
          <w:tcPr>
            <w:tcW w:w="1212" w:type="dxa"/>
            <w:vAlign w:val="top"/>
          </w:tcPr>
          <w:p>
            <w:pPr>
              <w:spacing w:line="440" w:lineRule="exact"/>
              <w:jc w:val="center"/>
              <w:rPr>
                <w:rFonts w:ascii="宋体" w:hAnsi="宋体" w:cs="宋体"/>
                <w:szCs w:val="21"/>
                <w:highlight w:val="none"/>
              </w:rPr>
            </w:pPr>
          </w:p>
        </w:tc>
        <w:tc>
          <w:tcPr>
            <w:tcW w:w="874" w:type="dxa"/>
            <w:vAlign w:val="top"/>
          </w:tcPr>
          <w:p>
            <w:pPr>
              <w:spacing w:line="440" w:lineRule="exact"/>
              <w:jc w:val="center"/>
              <w:rPr>
                <w:rFonts w:ascii="宋体" w:hAnsi="宋体" w:cs="宋体"/>
                <w:szCs w:val="21"/>
                <w:highlight w:val="none"/>
              </w:rPr>
            </w:pPr>
          </w:p>
        </w:tc>
        <w:tc>
          <w:tcPr>
            <w:tcW w:w="1055" w:type="dxa"/>
            <w:vAlign w:val="top"/>
          </w:tcPr>
          <w:p>
            <w:pPr>
              <w:spacing w:line="440" w:lineRule="exact"/>
              <w:jc w:val="center"/>
              <w:rPr>
                <w:rFonts w:ascii="宋体" w:hAnsi="宋体" w:cs="宋体"/>
                <w:szCs w:val="21"/>
                <w:highlight w:val="none"/>
              </w:rPr>
            </w:pPr>
          </w:p>
        </w:tc>
        <w:tc>
          <w:tcPr>
            <w:tcW w:w="691" w:type="dxa"/>
            <w:vAlign w:val="top"/>
          </w:tcPr>
          <w:p>
            <w:pPr>
              <w:spacing w:line="440" w:lineRule="exact"/>
              <w:jc w:val="center"/>
              <w:rPr>
                <w:rFonts w:ascii="宋体" w:hAnsi="宋体" w:cs="宋体"/>
                <w:szCs w:val="21"/>
                <w:highlight w:val="none"/>
              </w:rPr>
            </w:pPr>
          </w:p>
        </w:tc>
      </w:tr>
    </w:tbl>
    <w:p>
      <w:pPr>
        <w:spacing w:line="440" w:lineRule="exact"/>
        <w:rPr>
          <w:rFonts w:ascii="宋体" w:hAnsi="宋体" w:cs="宋体"/>
          <w:highlight w:val="none"/>
        </w:rPr>
      </w:pPr>
    </w:p>
    <w:p>
      <w:pPr>
        <w:spacing w:line="300" w:lineRule="exact"/>
        <w:rPr>
          <w:rFonts w:hint="eastAsia" w:ascii="宋体" w:hAnsi="宋体" w:cs="宋体"/>
          <w:b/>
          <w:bCs/>
          <w:sz w:val="28"/>
          <w:szCs w:val="28"/>
          <w:highlight w:val="none"/>
        </w:rPr>
      </w:pPr>
      <w:r>
        <w:rPr>
          <w:rFonts w:hint="eastAsia" w:ascii="宋体" w:hAnsi="宋体" w:cs="宋体"/>
          <w:highlight w:val="none"/>
        </w:rPr>
        <w:br w:type="page"/>
      </w:r>
      <w:bookmarkStart w:id="1366" w:name="_Toc152042588"/>
      <w:bookmarkStart w:id="1367" w:name="_Toc247085884"/>
      <w:bookmarkStart w:id="1368" w:name="_Toc144974867"/>
      <w:bookmarkStart w:id="1369" w:name="_Toc179632819"/>
      <w:bookmarkStart w:id="1370" w:name="_Toc246996366"/>
      <w:bookmarkStart w:id="1371" w:name="_Toc152045799"/>
      <w:bookmarkStart w:id="1372" w:name="_Toc246997109"/>
    </w:p>
    <w:p>
      <w:pPr>
        <w:keepNext/>
        <w:keepLines/>
        <w:spacing w:line="300" w:lineRule="exact"/>
        <w:rPr>
          <w:rFonts w:ascii="宋体" w:hAnsi="宋体" w:cs="宋体"/>
          <w:b/>
          <w:bCs/>
          <w:sz w:val="28"/>
          <w:szCs w:val="28"/>
          <w:highlight w:val="none"/>
        </w:rPr>
      </w:pPr>
      <w:r>
        <w:rPr>
          <w:rFonts w:hint="eastAsia" w:ascii="宋体" w:hAnsi="宋体" w:cs="宋体"/>
          <w:b/>
          <w:bCs/>
          <w:sz w:val="28"/>
          <w:szCs w:val="28"/>
          <w:highlight w:val="none"/>
        </w:rPr>
        <w:t>附表二：劳动力计划表</w:t>
      </w:r>
      <w:bookmarkEnd w:id="1366"/>
      <w:bookmarkEnd w:id="1367"/>
      <w:bookmarkEnd w:id="1368"/>
      <w:bookmarkEnd w:id="1369"/>
      <w:bookmarkEnd w:id="1370"/>
      <w:bookmarkEnd w:id="1371"/>
      <w:bookmarkEnd w:id="1372"/>
    </w:p>
    <w:p>
      <w:pPr>
        <w:spacing w:line="440" w:lineRule="exact"/>
        <w:ind w:right="200"/>
        <w:jc w:val="right"/>
        <w:rPr>
          <w:rFonts w:ascii="宋体" w:hAnsi="宋体" w:cs="宋体"/>
          <w:szCs w:val="21"/>
          <w:highlight w:val="none"/>
        </w:rPr>
      </w:pPr>
      <w:r>
        <w:rPr>
          <w:rFonts w:hint="eastAsia" w:ascii="宋体" w:hAnsi="宋体" w:cs="宋体"/>
          <w:szCs w:val="21"/>
          <w:highlight w:val="none"/>
        </w:rPr>
        <w:t>单位：人</w:t>
      </w:r>
    </w:p>
    <w:tbl>
      <w:tblPr>
        <w:tblStyle w:val="22"/>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1304"/>
        <w:gridCol w:w="1065"/>
        <w:gridCol w:w="1065"/>
        <w:gridCol w:w="1065"/>
        <w:gridCol w:w="1065"/>
        <w:gridCol w:w="1065"/>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工种</w:t>
            </w:r>
          </w:p>
        </w:tc>
        <w:tc>
          <w:tcPr>
            <w:tcW w:w="7693" w:type="dxa"/>
            <w:gridSpan w:val="7"/>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center"/>
          </w:tcPr>
          <w:p>
            <w:pPr>
              <w:spacing w:line="440" w:lineRule="exact"/>
              <w:jc w:val="center"/>
              <w:rPr>
                <w:rFonts w:ascii="宋体" w:hAnsi="宋体" w:cs="宋体"/>
                <w:szCs w:val="21"/>
                <w:highlight w:val="none"/>
              </w:rPr>
            </w:pPr>
          </w:p>
        </w:tc>
        <w:tc>
          <w:tcPr>
            <w:tcW w:w="1304" w:type="dxa"/>
            <w:vAlign w:val="center"/>
          </w:tcPr>
          <w:p>
            <w:pPr>
              <w:spacing w:line="440" w:lineRule="exact"/>
              <w:jc w:val="center"/>
              <w:rPr>
                <w:rFonts w:ascii="宋体" w:hAnsi="宋体" w:cs="宋体"/>
                <w:szCs w:val="21"/>
                <w:highlight w:val="none"/>
              </w:rPr>
            </w:pPr>
          </w:p>
        </w:tc>
        <w:tc>
          <w:tcPr>
            <w:tcW w:w="1065" w:type="dxa"/>
            <w:vAlign w:val="center"/>
          </w:tcPr>
          <w:p>
            <w:pPr>
              <w:spacing w:line="440" w:lineRule="exact"/>
              <w:jc w:val="center"/>
              <w:rPr>
                <w:rFonts w:ascii="宋体" w:hAnsi="宋体" w:cs="宋体"/>
                <w:szCs w:val="21"/>
                <w:highlight w:val="none"/>
              </w:rPr>
            </w:pPr>
          </w:p>
        </w:tc>
        <w:tc>
          <w:tcPr>
            <w:tcW w:w="1065" w:type="dxa"/>
            <w:vAlign w:val="center"/>
          </w:tcPr>
          <w:p>
            <w:pPr>
              <w:spacing w:line="440" w:lineRule="exact"/>
              <w:jc w:val="center"/>
              <w:rPr>
                <w:rFonts w:ascii="宋体" w:hAnsi="宋体" w:cs="宋体"/>
                <w:szCs w:val="21"/>
                <w:highlight w:val="none"/>
              </w:rPr>
            </w:pPr>
          </w:p>
        </w:tc>
        <w:tc>
          <w:tcPr>
            <w:tcW w:w="1065" w:type="dxa"/>
            <w:vAlign w:val="center"/>
          </w:tcPr>
          <w:p>
            <w:pPr>
              <w:spacing w:line="440" w:lineRule="exact"/>
              <w:jc w:val="center"/>
              <w:rPr>
                <w:rFonts w:ascii="宋体" w:hAnsi="宋体" w:cs="宋体"/>
                <w:szCs w:val="21"/>
                <w:highlight w:val="none"/>
              </w:rPr>
            </w:pPr>
          </w:p>
        </w:tc>
        <w:tc>
          <w:tcPr>
            <w:tcW w:w="1065" w:type="dxa"/>
            <w:vAlign w:val="center"/>
          </w:tcPr>
          <w:p>
            <w:pPr>
              <w:spacing w:line="440" w:lineRule="exact"/>
              <w:jc w:val="center"/>
              <w:rPr>
                <w:rFonts w:ascii="宋体" w:hAnsi="宋体" w:cs="宋体"/>
                <w:szCs w:val="21"/>
                <w:highlight w:val="none"/>
              </w:rPr>
            </w:pPr>
          </w:p>
        </w:tc>
        <w:tc>
          <w:tcPr>
            <w:tcW w:w="1065" w:type="dxa"/>
            <w:vAlign w:val="center"/>
          </w:tcPr>
          <w:p>
            <w:pPr>
              <w:spacing w:line="440" w:lineRule="exact"/>
              <w:jc w:val="center"/>
              <w:rPr>
                <w:rFonts w:ascii="宋体" w:hAnsi="宋体" w:cs="宋体"/>
                <w:szCs w:val="21"/>
                <w:highlight w:val="none"/>
              </w:rPr>
            </w:pPr>
          </w:p>
        </w:tc>
        <w:tc>
          <w:tcPr>
            <w:tcW w:w="1064" w:type="dxa"/>
            <w:vAlign w:val="center"/>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center"/>
          </w:tcPr>
          <w:p>
            <w:pPr>
              <w:spacing w:line="440" w:lineRule="exact"/>
              <w:jc w:val="center"/>
              <w:rPr>
                <w:rFonts w:ascii="宋体" w:hAnsi="宋体" w:cs="宋体"/>
                <w:szCs w:val="21"/>
                <w:highlight w:val="none"/>
              </w:rPr>
            </w:pPr>
          </w:p>
        </w:tc>
        <w:tc>
          <w:tcPr>
            <w:tcW w:w="1304" w:type="dxa"/>
            <w:vAlign w:val="center"/>
          </w:tcPr>
          <w:p>
            <w:pPr>
              <w:spacing w:line="440" w:lineRule="exact"/>
              <w:jc w:val="center"/>
              <w:rPr>
                <w:rFonts w:ascii="宋体" w:hAnsi="宋体" w:cs="宋体"/>
                <w:szCs w:val="21"/>
                <w:highlight w:val="none"/>
              </w:rPr>
            </w:pPr>
          </w:p>
        </w:tc>
        <w:tc>
          <w:tcPr>
            <w:tcW w:w="1065" w:type="dxa"/>
            <w:vAlign w:val="center"/>
          </w:tcPr>
          <w:p>
            <w:pPr>
              <w:spacing w:line="440" w:lineRule="exact"/>
              <w:jc w:val="center"/>
              <w:rPr>
                <w:rFonts w:ascii="宋体" w:hAnsi="宋体" w:cs="宋体"/>
                <w:szCs w:val="21"/>
                <w:highlight w:val="none"/>
              </w:rPr>
            </w:pPr>
          </w:p>
        </w:tc>
        <w:tc>
          <w:tcPr>
            <w:tcW w:w="1065" w:type="dxa"/>
            <w:vAlign w:val="center"/>
          </w:tcPr>
          <w:p>
            <w:pPr>
              <w:spacing w:line="440" w:lineRule="exact"/>
              <w:jc w:val="center"/>
              <w:rPr>
                <w:rFonts w:ascii="宋体" w:hAnsi="宋体" w:cs="宋体"/>
                <w:szCs w:val="21"/>
                <w:highlight w:val="none"/>
              </w:rPr>
            </w:pPr>
          </w:p>
        </w:tc>
        <w:tc>
          <w:tcPr>
            <w:tcW w:w="1065" w:type="dxa"/>
            <w:vAlign w:val="center"/>
          </w:tcPr>
          <w:p>
            <w:pPr>
              <w:spacing w:line="440" w:lineRule="exact"/>
              <w:jc w:val="center"/>
              <w:rPr>
                <w:rFonts w:ascii="宋体" w:hAnsi="宋体" w:cs="宋体"/>
                <w:szCs w:val="21"/>
                <w:highlight w:val="none"/>
              </w:rPr>
            </w:pPr>
          </w:p>
        </w:tc>
        <w:tc>
          <w:tcPr>
            <w:tcW w:w="1065" w:type="dxa"/>
            <w:vAlign w:val="center"/>
          </w:tcPr>
          <w:p>
            <w:pPr>
              <w:spacing w:line="440" w:lineRule="exact"/>
              <w:jc w:val="center"/>
              <w:rPr>
                <w:rFonts w:ascii="宋体" w:hAnsi="宋体" w:cs="宋体"/>
                <w:szCs w:val="21"/>
                <w:highlight w:val="none"/>
              </w:rPr>
            </w:pPr>
          </w:p>
        </w:tc>
        <w:tc>
          <w:tcPr>
            <w:tcW w:w="1065" w:type="dxa"/>
            <w:vAlign w:val="center"/>
          </w:tcPr>
          <w:p>
            <w:pPr>
              <w:spacing w:line="440" w:lineRule="exact"/>
              <w:jc w:val="center"/>
              <w:rPr>
                <w:rFonts w:ascii="宋体" w:hAnsi="宋体" w:cs="宋体"/>
                <w:szCs w:val="21"/>
                <w:highlight w:val="none"/>
              </w:rPr>
            </w:pPr>
          </w:p>
        </w:tc>
        <w:tc>
          <w:tcPr>
            <w:tcW w:w="1064" w:type="dxa"/>
            <w:vAlign w:val="center"/>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jc w:val="center"/>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 w:type="dxa"/>
            <w:vAlign w:val="top"/>
          </w:tcPr>
          <w:p>
            <w:pPr>
              <w:spacing w:line="440" w:lineRule="exact"/>
              <w:rPr>
                <w:rFonts w:ascii="宋体" w:hAnsi="宋体" w:cs="宋体"/>
                <w:szCs w:val="21"/>
                <w:highlight w:val="none"/>
              </w:rPr>
            </w:pPr>
          </w:p>
        </w:tc>
        <w:tc>
          <w:tcPr>
            <w:tcW w:w="1304"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5" w:type="dxa"/>
            <w:vAlign w:val="top"/>
          </w:tcPr>
          <w:p>
            <w:pPr>
              <w:spacing w:line="440" w:lineRule="exact"/>
              <w:jc w:val="center"/>
              <w:rPr>
                <w:rFonts w:ascii="宋体" w:hAnsi="宋体" w:cs="宋体"/>
                <w:szCs w:val="21"/>
                <w:highlight w:val="none"/>
              </w:rPr>
            </w:pPr>
          </w:p>
        </w:tc>
        <w:tc>
          <w:tcPr>
            <w:tcW w:w="1064" w:type="dxa"/>
            <w:vAlign w:val="top"/>
          </w:tcPr>
          <w:p>
            <w:pPr>
              <w:spacing w:line="440" w:lineRule="exact"/>
              <w:jc w:val="center"/>
              <w:rPr>
                <w:rFonts w:ascii="宋体" w:hAnsi="宋体" w:cs="宋体"/>
                <w:szCs w:val="21"/>
                <w:highlight w:val="none"/>
              </w:rPr>
            </w:pPr>
          </w:p>
        </w:tc>
      </w:tr>
    </w:tbl>
    <w:p>
      <w:pPr>
        <w:pStyle w:val="13"/>
        <w:rPr>
          <w:rFonts w:ascii="宋体" w:hAnsi="宋体" w:cs="宋体"/>
          <w:highlight w:val="none"/>
        </w:rPr>
      </w:pPr>
      <w:bookmarkStart w:id="1373" w:name="_Toc246996367"/>
      <w:bookmarkStart w:id="1374" w:name="_Toc152042589"/>
      <w:bookmarkStart w:id="1375" w:name="_Toc152045800"/>
      <w:bookmarkStart w:id="1376" w:name="_Toc179632820"/>
      <w:bookmarkStart w:id="1377" w:name="_Toc246997110"/>
      <w:bookmarkStart w:id="1378" w:name="_Toc144974868"/>
    </w:p>
    <w:p>
      <w:pPr>
        <w:spacing w:line="300" w:lineRule="exact"/>
        <w:rPr>
          <w:rFonts w:hint="eastAsia" w:ascii="宋体" w:hAnsi="宋体" w:cs="宋体"/>
          <w:b/>
          <w:bCs/>
          <w:sz w:val="28"/>
          <w:szCs w:val="28"/>
          <w:highlight w:val="none"/>
        </w:rPr>
      </w:pPr>
      <w:r>
        <w:rPr>
          <w:rFonts w:hint="eastAsia" w:ascii="宋体" w:hAnsi="宋体" w:cs="宋体"/>
          <w:highlight w:val="none"/>
        </w:rPr>
        <w:br w:type="page"/>
      </w:r>
      <w:bookmarkStart w:id="1379" w:name="_Toc247085885"/>
    </w:p>
    <w:p>
      <w:pPr>
        <w:keepNext/>
        <w:keepLines/>
        <w:spacing w:line="300" w:lineRule="exact"/>
        <w:rPr>
          <w:rFonts w:ascii="宋体" w:hAnsi="宋体" w:cs="宋体"/>
          <w:b/>
          <w:bCs/>
          <w:sz w:val="28"/>
          <w:szCs w:val="28"/>
          <w:highlight w:val="none"/>
        </w:rPr>
      </w:pPr>
      <w:r>
        <w:rPr>
          <w:rFonts w:hint="eastAsia" w:ascii="宋体" w:hAnsi="宋体" w:cs="宋体"/>
          <w:b/>
          <w:bCs/>
          <w:sz w:val="28"/>
          <w:szCs w:val="28"/>
          <w:highlight w:val="none"/>
        </w:rPr>
        <w:t>附表三：进度计划</w:t>
      </w:r>
      <w:bookmarkEnd w:id="1373"/>
      <w:bookmarkEnd w:id="1374"/>
      <w:bookmarkEnd w:id="1375"/>
      <w:bookmarkEnd w:id="1376"/>
      <w:bookmarkEnd w:id="1377"/>
      <w:bookmarkEnd w:id="1378"/>
      <w:bookmarkEnd w:id="1379"/>
    </w:p>
    <w:p>
      <w:pPr>
        <w:spacing w:line="440" w:lineRule="exact"/>
        <w:rPr>
          <w:rFonts w:ascii="宋体" w:hAnsi="宋体" w:cs="宋体"/>
          <w:highlight w:val="none"/>
        </w:rPr>
      </w:pPr>
    </w:p>
    <w:p>
      <w:pPr>
        <w:spacing w:line="440" w:lineRule="exact"/>
        <w:ind w:firstLine="420" w:firstLineChars="200"/>
        <w:rPr>
          <w:rFonts w:ascii="宋体" w:hAnsi="宋体" w:cs="宋体"/>
          <w:szCs w:val="21"/>
          <w:highlight w:val="none"/>
        </w:rPr>
      </w:pPr>
      <w:r>
        <w:rPr>
          <w:rFonts w:hint="eastAsia" w:ascii="宋体" w:hAnsi="宋体" w:cs="宋体"/>
          <w:szCs w:val="21"/>
          <w:highlight w:val="none"/>
        </w:rPr>
        <w:t>1. 投标人应递交施工进度网络图或施工进度表，说明按招标文件要求的计划工期进行施工的各个关键日期。</w:t>
      </w:r>
    </w:p>
    <w:p>
      <w:pPr>
        <w:spacing w:line="440" w:lineRule="exact"/>
        <w:ind w:firstLine="420" w:firstLineChars="200"/>
        <w:rPr>
          <w:rFonts w:ascii="宋体" w:hAnsi="宋体" w:cs="宋体"/>
          <w:szCs w:val="21"/>
          <w:highlight w:val="none"/>
        </w:rPr>
      </w:pPr>
      <w:r>
        <w:rPr>
          <w:rFonts w:hint="eastAsia" w:ascii="宋体" w:hAnsi="宋体" w:cs="宋体"/>
          <w:szCs w:val="21"/>
          <w:highlight w:val="none"/>
        </w:rPr>
        <w:t>2. 施工进度表可采用网络图或横道图表示。</w:t>
      </w: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ascii="宋体" w:hAnsi="宋体" w:cs="宋体"/>
          <w:highlight w:val="none"/>
        </w:rPr>
      </w:pPr>
    </w:p>
    <w:p>
      <w:pPr>
        <w:spacing w:line="440" w:lineRule="exact"/>
        <w:rPr>
          <w:rFonts w:hint="eastAsia" w:ascii="宋体" w:hAnsi="宋体" w:cs="宋体"/>
          <w:b/>
          <w:bCs/>
          <w:sz w:val="28"/>
          <w:szCs w:val="28"/>
          <w:highlight w:val="none"/>
        </w:rPr>
      </w:pPr>
      <w:r>
        <w:rPr>
          <w:rFonts w:hint="eastAsia" w:ascii="宋体" w:hAnsi="宋体" w:cs="宋体"/>
          <w:highlight w:val="none"/>
        </w:rPr>
        <w:br w:type="page"/>
      </w:r>
      <w:bookmarkStart w:id="1380" w:name="_Toc247085886"/>
      <w:bookmarkStart w:id="1381" w:name="_Toc179632821"/>
      <w:bookmarkStart w:id="1382" w:name="_Toc152045801"/>
      <w:bookmarkStart w:id="1383" w:name="_Toc144974869"/>
      <w:bookmarkStart w:id="1384" w:name="_Toc246997111"/>
      <w:bookmarkStart w:id="1385" w:name="_Toc246996368"/>
      <w:bookmarkStart w:id="1386" w:name="_Toc152042590"/>
    </w:p>
    <w:p>
      <w:pPr>
        <w:keepNext/>
        <w:keepLines/>
        <w:spacing w:line="300" w:lineRule="exact"/>
        <w:rPr>
          <w:rFonts w:ascii="宋体" w:hAnsi="宋体" w:cs="宋体"/>
          <w:b/>
          <w:bCs/>
          <w:sz w:val="28"/>
          <w:szCs w:val="28"/>
          <w:highlight w:val="none"/>
        </w:rPr>
      </w:pPr>
      <w:r>
        <w:rPr>
          <w:rFonts w:hint="eastAsia" w:ascii="宋体" w:hAnsi="宋体" w:cs="宋体"/>
          <w:b/>
          <w:bCs/>
          <w:sz w:val="28"/>
          <w:szCs w:val="28"/>
          <w:highlight w:val="none"/>
        </w:rPr>
        <w:t>附表四：施工总平面图</w:t>
      </w:r>
      <w:bookmarkEnd w:id="1380"/>
      <w:bookmarkEnd w:id="1381"/>
      <w:bookmarkEnd w:id="1382"/>
      <w:bookmarkEnd w:id="1383"/>
      <w:bookmarkEnd w:id="1384"/>
      <w:bookmarkEnd w:id="1385"/>
      <w:bookmarkEnd w:id="1386"/>
    </w:p>
    <w:p>
      <w:pPr>
        <w:spacing w:line="440" w:lineRule="exact"/>
        <w:rPr>
          <w:rFonts w:ascii="宋体" w:hAnsi="宋体" w:cs="宋体"/>
          <w:highlight w:val="none"/>
        </w:rPr>
      </w:pPr>
      <w:r>
        <w:rPr>
          <w:rFonts w:hint="eastAsia" w:ascii="宋体" w:hAnsi="宋体" w:cs="宋体"/>
          <w:highlight w:val="none"/>
        </w:rPr>
        <w:tab/>
      </w:r>
    </w:p>
    <w:p>
      <w:pPr>
        <w:spacing w:line="440" w:lineRule="exact"/>
        <w:ind w:firstLine="420" w:firstLineChars="200"/>
        <w:rPr>
          <w:rFonts w:ascii="宋体" w:hAnsi="宋体" w:cs="宋体"/>
          <w:szCs w:val="21"/>
          <w:highlight w:val="none"/>
        </w:rPr>
      </w:pPr>
      <w:r>
        <w:rPr>
          <w:rFonts w:hint="eastAsia" w:ascii="宋体" w:hAnsi="宋体" w:cs="宋体"/>
          <w:szCs w:val="21"/>
          <w:highlight w:val="none"/>
        </w:rPr>
        <w:t>投标人应递交一份施工总平面图，绘出现场临时设施布置图表，并注明临时设施、加工车间、现场办公、设备及仓储、供电、供水、卫生、生活、道路、消防等设施的情况和布置。</w:t>
      </w:r>
      <w:bookmarkStart w:id="1387" w:name="_Toc152042592"/>
      <w:bookmarkStart w:id="1388" w:name="_Toc144974871"/>
      <w:bookmarkStart w:id="1389" w:name="_Toc152045803"/>
      <w:bookmarkStart w:id="1390" w:name="_Toc179632823"/>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spacing w:line="440" w:lineRule="exact"/>
        <w:ind w:firstLine="420" w:firstLineChars="200"/>
        <w:rPr>
          <w:rFonts w:ascii="宋体" w:hAnsi="宋体" w:cs="宋体"/>
          <w:highlight w:val="none"/>
        </w:rPr>
      </w:pPr>
    </w:p>
    <w:p>
      <w:pPr>
        <w:pStyle w:val="8"/>
        <w:jc w:val="center"/>
        <w:rPr>
          <w:rFonts w:ascii="宋体" w:hAnsi="宋体" w:eastAsia="宋体" w:cs="宋体"/>
          <w:szCs w:val="21"/>
          <w:highlight w:val="none"/>
        </w:rPr>
      </w:pPr>
      <w:bookmarkStart w:id="1391" w:name="_Toc174"/>
      <w:bookmarkStart w:id="1392" w:name="_Toc246997112"/>
      <w:bookmarkStart w:id="1393" w:name="_Toc247085887"/>
      <w:bookmarkStart w:id="1394" w:name="_Toc4154"/>
      <w:bookmarkStart w:id="1395" w:name="_Toc26292"/>
      <w:bookmarkStart w:id="1396" w:name="_Toc246996369"/>
      <w:bookmarkStart w:id="1397" w:name="_Toc28455"/>
      <w:bookmarkStart w:id="1398" w:name="_Toc21775"/>
      <w:bookmarkStart w:id="1399" w:name="_Toc23177"/>
      <w:bookmarkStart w:id="1400" w:name="_Toc18466"/>
      <w:r>
        <w:rPr>
          <w:rFonts w:hint="eastAsia" w:ascii="宋体" w:hAnsi="宋体" w:eastAsia="宋体" w:cs="宋体"/>
          <w:highlight w:val="none"/>
        </w:rPr>
        <w:t>七、项目管理机构</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pPr>
        <w:keepNext/>
        <w:keepLines/>
        <w:spacing w:line="416" w:lineRule="auto"/>
        <w:jc w:val="center"/>
        <w:rPr>
          <w:rFonts w:ascii="宋体" w:hAnsi="宋体" w:cs="宋体"/>
          <w:b/>
          <w:bCs/>
          <w:sz w:val="28"/>
          <w:szCs w:val="28"/>
          <w:highlight w:val="none"/>
        </w:rPr>
      </w:pPr>
      <w:bookmarkStart w:id="1401" w:name="_Toc246996370"/>
      <w:bookmarkStart w:id="1402" w:name="_Toc179632824"/>
      <w:bookmarkStart w:id="1403" w:name="_Toc152042593"/>
      <w:bookmarkStart w:id="1404" w:name="_Toc246997113"/>
      <w:bookmarkStart w:id="1405" w:name="_Toc144974872"/>
      <w:bookmarkStart w:id="1406" w:name="_Toc247085888"/>
      <w:bookmarkStart w:id="1407" w:name="_Toc152045804"/>
      <w:r>
        <w:rPr>
          <w:rFonts w:hint="eastAsia" w:ascii="宋体" w:hAnsi="宋体" w:cs="宋体"/>
          <w:b/>
          <w:bCs/>
          <w:sz w:val="28"/>
          <w:szCs w:val="28"/>
          <w:highlight w:val="none"/>
        </w:rPr>
        <w:t>（一）项目管理机构组成表</w:t>
      </w:r>
      <w:bookmarkEnd w:id="1401"/>
      <w:bookmarkEnd w:id="1402"/>
      <w:bookmarkEnd w:id="1403"/>
      <w:bookmarkEnd w:id="1404"/>
      <w:bookmarkEnd w:id="1405"/>
      <w:bookmarkEnd w:id="1406"/>
      <w:bookmarkEnd w:id="1407"/>
    </w:p>
    <w:p>
      <w:pPr>
        <w:spacing w:line="400" w:lineRule="exact"/>
        <w:ind w:firstLine="420" w:firstLineChars="200"/>
        <w:rPr>
          <w:rFonts w:ascii="宋体" w:hAnsi="宋体" w:cs="宋体"/>
          <w:b/>
          <w:bCs/>
          <w:sz w:val="28"/>
          <w:szCs w:val="28"/>
          <w:highlight w:val="none"/>
        </w:rPr>
      </w:pPr>
      <w:r>
        <w:rPr>
          <w:rFonts w:hint="eastAsia" w:ascii="宋体" w:hAnsi="宋体" w:cs="宋体"/>
          <w:szCs w:val="21"/>
          <w:highlight w:val="none"/>
        </w:rPr>
        <w:t>“主要人员简历表”中的技术负责人应附身份证、职称证复印件；其他主要人员应附身份证、职称证（执业证或上岗证书）复印件</w:t>
      </w:r>
      <w:r>
        <w:rPr>
          <w:rFonts w:hint="eastAsia" w:ascii="宋体" w:hAnsi="宋体" w:cs="宋体"/>
          <w:highlight w:val="none"/>
        </w:rPr>
        <w:t>。</w:t>
      </w:r>
    </w:p>
    <w:tbl>
      <w:tblPr>
        <w:tblStyle w:val="22"/>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721"/>
        <w:gridCol w:w="719"/>
        <w:gridCol w:w="1081"/>
        <w:gridCol w:w="719"/>
        <w:gridCol w:w="721"/>
        <w:gridCol w:w="719"/>
        <w:gridCol w:w="2523"/>
        <w:gridCol w:w="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647" w:type="dxa"/>
            <w:vMerge w:val="restart"/>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职务</w:t>
            </w:r>
          </w:p>
        </w:tc>
        <w:tc>
          <w:tcPr>
            <w:tcW w:w="721" w:type="dxa"/>
            <w:vMerge w:val="restart"/>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姓名</w:t>
            </w:r>
          </w:p>
        </w:tc>
        <w:tc>
          <w:tcPr>
            <w:tcW w:w="719" w:type="dxa"/>
            <w:vMerge w:val="restart"/>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职称</w:t>
            </w:r>
          </w:p>
        </w:tc>
        <w:tc>
          <w:tcPr>
            <w:tcW w:w="5763" w:type="dxa"/>
            <w:gridSpan w:val="5"/>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执业或职业资格证明</w:t>
            </w:r>
          </w:p>
        </w:tc>
        <w:tc>
          <w:tcPr>
            <w:tcW w:w="672"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647" w:type="dxa"/>
            <w:vMerge w:val="continue"/>
            <w:vAlign w:val="center"/>
          </w:tcPr>
          <w:p>
            <w:pPr>
              <w:spacing w:line="440" w:lineRule="exact"/>
              <w:jc w:val="center"/>
              <w:rPr>
                <w:rFonts w:ascii="宋体" w:hAnsi="宋体" w:cs="宋体"/>
                <w:szCs w:val="21"/>
                <w:highlight w:val="none"/>
              </w:rPr>
            </w:pPr>
          </w:p>
        </w:tc>
        <w:tc>
          <w:tcPr>
            <w:tcW w:w="721" w:type="dxa"/>
            <w:vMerge w:val="continue"/>
            <w:vAlign w:val="center"/>
          </w:tcPr>
          <w:p>
            <w:pPr>
              <w:spacing w:line="440" w:lineRule="exact"/>
              <w:jc w:val="center"/>
              <w:rPr>
                <w:rFonts w:ascii="宋体" w:hAnsi="宋体" w:cs="宋体"/>
                <w:szCs w:val="21"/>
                <w:highlight w:val="none"/>
              </w:rPr>
            </w:pPr>
          </w:p>
        </w:tc>
        <w:tc>
          <w:tcPr>
            <w:tcW w:w="719" w:type="dxa"/>
            <w:vMerge w:val="continue"/>
            <w:vAlign w:val="center"/>
          </w:tcPr>
          <w:p>
            <w:pPr>
              <w:spacing w:line="440" w:lineRule="exact"/>
              <w:jc w:val="center"/>
              <w:rPr>
                <w:rFonts w:ascii="宋体" w:hAnsi="宋体" w:cs="宋体"/>
                <w:szCs w:val="21"/>
                <w:highlight w:val="none"/>
              </w:rPr>
            </w:pPr>
          </w:p>
        </w:tc>
        <w:tc>
          <w:tcPr>
            <w:tcW w:w="1081"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证书名称</w:t>
            </w:r>
          </w:p>
        </w:tc>
        <w:tc>
          <w:tcPr>
            <w:tcW w:w="719"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级别</w:t>
            </w:r>
          </w:p>
        </w:tc>
        <w:tc>
          <w:tcPr>
            <w:tcW w:w="721"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证号</w:t>
            </w:r>
          </w:p>
        </w:tc>
        <w:tc>
          <w:tcPr>
            <w:tcW w:w="719"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专业</w:t>
            </w:r>
          </w:p>
        </w:tc>
        <w:tc>
          <w:tcPr>
            <w:tcW w:w="2523"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养老保险</w:t>
            </w:r>
          </w:p>
        </w:tc>
        <w:tc>
          <w:tcPr>
            <w:tcW w:w="672" w:type="dxa"/>
            <w:vAlign w:val="center"/>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vAlign w:val="center"/>
          </w:tcPr>
          <w:p>
            <w:pPr>
              <w:spacing w:line="440" w:lineRule="exact"/>
              <w:jc w:val="center"/>
              <w:rPr>
                <w:rFonts w:ascii="宋体" w:hAnsi="宋体" w:cs="宋体"/>
                <w:szCs w:val="21"/>
                <w:highlight w:val="none"/>
              </w:rPr>
            </w:pPr>
          </w:p>
        </w:tc>
        <w:tc>
          <w:tcPr>
            <w:tcW w:w="721" w:type="dxa"/>
            <w:vAlign w:val="center"/>
          </w:tcPr>
          <w:p>
            <w:pPr>
              <w:spacing w:line="440" w:lineRule="exact"/>
              <w:jc w:val="center"/>
              <w:rPr>
                <w:rFonts w:ascii="宋体" w:hAnsi="宋体" w:cs="宋体"/>
                <w:szCs w:val="21"/>
                <w:highlight w:val="none"/>
              </w:rPr>
            </w:pPr>
          </w:p>
        </w:tc>
        <w:tc>
          <w:tcPr>
            <w:tcW w:w="719" w:type="dxa"/>
            <w:vAlign w:val="center"/>
          </w:tcPr>
          <w:p>
            <w:pPr>
              <w:spacing w:line="440" w:lineRule="exact"/>
              <w:jc w:val="center"/>
              <w:rPr>
                <w:rFonts w:ascii="宋体" w:hAnsi="宋体" w:cs="宋体"/>
                <w:szCs w:val="21"/>
                <w:highlight w:val="none"/>
              </w:rPr>
            </w:pPr>
          </w:p>
        </w:tc>
        <w:tc>
          <w:tcPr>
            <w:tcW w:w="1081" w:type="dxa"/>
            <w:vAlign w:val="center"/>
          </w:tcPr>
          <w:p>
            <w:pPr>
              <w:spacing w:line="440" w:lineRule="exact"/>
              <w:jc w:val="center"/>
              <w:rPr>
                <w:rFonts w:ascii="宋体" w:hAnsi="宋体" w:cs="宋体"/>
                <w:szCs w:val="21"/>
                <w:highlight w:val="none"/>
              </w:rPr>
            </w:pPr>
          </w:p>
        </w:tc>
        <w:tc>
          <w:tcPr>
            <w:tcW w:w="719" w:type="dxa"/>
            <w:vAlign w:val="center"/>
          </w:tcPr>
          <w:p>
            <w:pPr>
              <w:spacing w:line="440" w:lineRule="exact"/>
              <w:jc w:val="center"/>
              <w:rPr>
                <w:rFonts w:ascii="宋体" w:hAnsi="宋体" w:cs="宋体"/>
                <w:szCs w:val="21"/>
                <w:highlight w:val="none"/>
              </w:rPr>
            </w:pPr>
          </w:p>
        </w:tc>
        <w:tc>
          <w:tcPr>
            <w:tcW w:w="721" w:type="dxa"/>
            <w:vAlign w:val="center"/>
          </w:tcPr>
          <w:p>
            <w:pPr>
              <w:spacing w:line="440" w:lineRule="exact"/>
              <w:jc w:val="center"/>
              <w:rPr>
                <w:rFonts w:ascii="宋体" w:hAnsi="宋体" w:cs="宋体"/>
                <w:szCs w:val="21"/>
                <w:highlight w:val="none"/>
              </w:rPr>
            </w:pPr>
          </w:p>
        </w:tc>
        <w:tc>
          <w:tcPr>
            <w:tcW w:w="719" w:type="dxa"/>
            <w:vAlign w:val="center"/>
          </w:tcPr>
          <w:p>
            <w:pPr>
              <w:spacing w:line="440" w:lineRule="exact"/>
              <w:jc w:val="center"/>
              <w:rPr>
                <w:rFonts w:ascii="宋体" w:hAnsi="宋体" w:cs="宋体"/>
                <w:szCs w:val="21"/>
                <w:highlight w:val="none"/>
              </w:rPr>
            </w:pPr>
          </w:p>
        </w:tc>
        <w:tc>
          <w:tcPr>
            <w:tcW w:w="2523" w:type="dxa"/>
            <w:vAlign w:val="center"/>
          </w:tcPr>
          <w:p>
            <w:pPr>
              <w:spacing w:line="440" w:lineRule="exact"/>
              <w:jc w:val="center"/>
              <w:rPr>
                <w:rFonts w:ascii="宋体" w:hAnsi="宋体" w:cs="宋体"/>
                <w:szCs w:val="21"/>
                <w:highlight w:val="none"/>
              </w:rPr>
            </w:pPr>
          </w:p>
        </w:tc>
        <w:tc>
          <w:tcPr>
            <w:tcW w:w="672" w:type="dxa"/>
            <w:vAlign w:val="center"/>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108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2523"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108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2523"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108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2523"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108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2523"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108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2523"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108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2523"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108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2523"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108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721" w:type="dxa"/>
            <w:vAlign w:val="top"/>
          </w:tcPr>
          <w:p>
            <w:pPr>
              <w:spacing w:line="440" w:lineRule="exact"/>
              <w:jc w:val="center"/>
              <w:rPr>
                <w:rFonts w:ascii="宋体" w:hAnsi="宋体" w:cs="宋体"/>
                <w:szCs w:val="21"/>
                <w:highlight w:val="none"/>
              </w:rPr>
            </w:pPr>
          </w:p>
        </w:tc>
        <w:tc>
          <w:tcPr>
            <w:tcW w:w="719" w:type="dxa"/>
            <w:vAlign w:val="top"/>
          </w:tcPr>
          <w:p>
            <w:pPr>
              <w:spacing w:line="440" w:lineRule="exact"/>
              <w:jc w:val="center"/>
              <w:rPr>
                <w:rFonts w:ascii="宋体" w:hAnsi="宋体" w:cs="宋体"/>
                <w:szCs w:val="21"/>
                <w:highlight w:val="none"/>
              </w:rPr>
            </w:pPr>
          </w:p>
        </w:tc>
        <w:tc>
          <w:tcPr>
            <w:tcW w:w="2523" w:type="dxa"/>
            <w:vAlign w:val="top"/>
          </w:tcPr>
          <w:p>
            <w:pPr>
              <w:spacing w:line="440" w:lineRule="exact"/>
              <w:jc w:val="center"/>
              <w:rPr>
                <w:rFonts w:ascii="宋体" w:hAnsi="宋体" w:cs="宋体"/>
                <w:szCs w:val="21"/>
                <w:highlight w:val="none"/>
              </w:rPr>
            </w:pPr>
          </w:p>
        </w:tc>
        <w:tc>
          <w:tcPr>
            <w:tcW w:w="672" w:type="dxa"/>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108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2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719"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2523"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c>
          <w:tcPr>
            <w:tcW w:w="672"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szCs w:val="21"/>
                <w:highlight w:val="none"/>
              </w:rPr>
            </w:pPr>
          </w:p>
        </w:tc>
      </w:tr>
    </w:tbl>
    <w:p>
      <w:pPr>
        <w:topLinePunct/>
        <w:spacing w:line="440" w:lineRule="exact"/>
        <w:jc w:val="center"/>
        <w:rPr>
          <w:rFonts w:ascii="宋体" w:hAnsi="宋体" w:cs="宋体"/>
          <w:highlight w:val="none"/>
        </w:rPr>
      </w:pPr>
    </w:p>
    <w:p>
      <w:pPr>
        <w:topLinePunct/>
        <w:spacing w:line="440" w:lineRule="exact"/>
        <w:rPr>
          <w:rFonts w:ascii="宋体" w:hAnsi="宋体" w:cs="宋体"/>
          <w:highlight w:val="none"/>
        </w:rPr>
      </w:pPr>
    </w:p>
    <w:p>
      <w:pPr>
        <w:topLinePunct/>
        <w:spacing w:line="440" w:lineRule="exact"/>
        <w:rPr>
          <w:rFonts w:ascii="宋体" w:hAnsi="宋体" w:cs="宋体"/>
          <w:highlight w:val="none"/>
        </w:rPr>
      </w:pPr>
    </w:p>
    <w:p>
      <w:pPr>
        <w:pStyle w:val="9"/>
        <w:jc w:val="both"/>
        <w:rPr>
          <w:rFonts w:hint="eastAsia" w:ascii="宋体" w:eastAsia="宋体" w:cs="宋体"/>
          <w:b/>
          <w:bCs w:val="0"/>
          <w:highlight w:val="none"/>
        </w:rPr>
      </w:pPr>
      <w:bookmarkStart w:id="1408" w:name="_Toc246997114"/>
      <w:bookmarkStart w:id="1409" w:name="_Toc247085889"/>
      <w:bookmarkStart w:id="1410" w:name="_Toc246996371"/>
      <w:bookmarkStart w:id="1411" w:name="_Toc144974873"/>
      <w:bookmarkStart w:id="1412" w:name="_Toc179632825"/>
      <w:bookmarkStart w:id="1413" w:name="_Toc152042594"/>
      <w:bookmarkStart w:id="1414" w:name="_Toc152045805"/>
    </w:p>
    <w:p>
      <w:pPr>
        <w:keepNext/>
        <w:keepLines/>
        <w:spacing w:line="416" w:lineRule="auto"/>
        <w:jc w:val="center"/>
        <w:rPr>
          <w:rFonts w:hint="eastAsia" w:ascii="宋体" w:hAnsi="宋体" w:cs="宋体"/>
          <w:b/>
          <w:bCs/>
          <w:sz w:val="28"/>
          <w:szCs w:val="28"/>
          <w:highlight w:val="none"/>
        </w:rPr>
      </w:pPr>
      <w:r>
        <w:rPr>
          <w:rFonts w:hint="eastAsia" w:ascii="宋体" w:hAnsi="宋体" w:cs="宋体"/>
          <w:b/>
          <w:bCs/>
          <w:sz w:val="28"/>
          <w:szCs w:val="28"/>
          <w:highlight w:val="none"/>
        </w:rPr>
        <w:t>（二）</w:t>
      </w:r>
      <w:bookmarkEnd w:id="1408"/>
      <w:bookmarkEnd w:id="1409"/>
      <w:bookmarkEnd w:id="1410"/>
      <w:bookmarkEnd w:id="1411"/>
      <w:bookmarkEnd w:id="1412"/>
      <w:bookmarkEnd w:id="1413"/>
      <w:bookmarkEnd w:id="1414"/>
      <w:r>
        <w:rPr>
          <w:rFonts w:hint="eastAsia" w:ascii="宋体" w:hAnsi="宋体" w:cs="宋体"/>
          <w:b/>
          <w:bCs/>
          <w:sz w:val="28"/>
          <w:szCs w:val="28"/>
          <w:highlight w:val="none"/>
        </w:rPr>
        <w:t>项目经理简历表</w:t>
      </w:r>
    </w:p>
    <w:p>
      <w:pPr>
        <w:topLinePunct/>
        <w:spacing w:line="440" w:lineRule="exact"/>
        <w:ind w:left="420" w:leftChars="200" w:firstLine="420" w:firstLineChars="200"/>
        <w:rPr>
          <w:rFonts w:ascii="宋体" w:hAnsi="宋体" w:cs="宋体"/>
          <w:sz w:val="23"/>
          <w:szCs w:val="23"/>
          <w:highlight w:val="none"/>
        </w:rPr>
      </w:pPr>
      <w:r>
        <w:rPr>
          <w:rFonts w:hint="eastAsia" w:ascii="宋体" w:cs="宋体"/>
          <w:szCs w:val="21"/>
          <w:highlight w:val="none"/>
        </w:rPr>
        <w:t>应附注册建造师执业资格证书、身份证、职称证、学历证复印件，管理过的项目业绩须附合同协议书复印件。</w:t>
      </w:r>
    </w:p>
    <w:tbl>
      <w:tblPr>
        <w:tblStyle w:val="22"/>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359"/>
        <w:gridCol w:w="720"/>
        <w:gridCol w:w="927"/>
        <w:gridCol w:w="1065"/>
        <w:gridCol w:w="708"/>
        <w:gridCol w:w="1261"/>
        <w:gridCol w:w="161"/>
        <w:gridCol w:w="2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6"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姓  名</w:t>
            </w:r>
          </w:p>
        </w:tc>
        <w:tc>
          <w:tcPr>
            <w:tcW w:w="1079" w:type="dxa"/>
            <w:gridSpan w:val="2"/>
            <w:vAlign w:val="center"/>
          </w:tcPr>
          <w:p>
            <w:pPr>
              <w:spacing w:line="440" w:lineRule="exact"/>
              <w:jc w:val="center"/>
              <w:rPr>
                <w:rFonts w:ascii="宋体" w:hAnsi="宋体" w:cs="宋体"/>
                <w:szCs w:val="21"/>
                <w:highlight w:val="none"/>
              </w:rPr>
            </w:pPr>
          </w:p>
        </w:tc>
        <w:tc>
          <w:tcPr>
            <w:tcW w:w="927"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年 龄</w:t>
            </w:r>
          </w:p>
        </w:tc>
        <w:tc>
          <w:tcPr>
            <w:tcW w:w="1065" w:type="dxa"/>
            <w:vAlign w:val="center"/>
          </w:tcPr>
          <w:p>
            <w:pPr>
              <w:spacing w:line="440" w:lineRule="exact"/>
              <w:jc w:val="center"/>
              <w:rPr>
                <w:rFonts w:ascii="宋体" w:hAnsi="宋体" w:cs="宋体"/>
                <w:szCs w:val="21"/>
                <w:highlight w:val="none"/>
              </w:rPr>
            </w:pPr>
          </w:p>
        </w:tc>
        <w:tc>
          <w:tcPr>
            <w:tcW w:w="2130" w:type="dxa"/>
            <w:gridSpan w:val="3"/>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学历</w:t>
            </w:r>
          </w:p>
        </w:tc>
        <w:tc>
          <w:tcPr>
            <w:tcW w:w="2135" w:type="dxa"/>
            <w:vAlign w:val="center"/>
          </w:tcPr>
          <w:p>
            <w:pPr>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6"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职  称</w:t>
            </w:r>
          </w:p>
        </w:tc>
        <w:tc>
          <w:tcPr>
            <w:tcW w:w="1079" w:type="dxa"/>
            <w:gridSpan w:val="2"/>
            <w:vAlign w:val="center"/>
          </w:tcPr>
          <w:p>
            <w:pPr>
              <w:spacing w:line="440" w:lineRule="exact"/>
              <w:jc w:val="center"/>
              <w:rPr>
                <w:rFonts w:ascii="宋体" w:hAnsi="宋体" w:cs="宋体"/>
                <w:szCs w:val="21"/>
                <w:highlight w:val="none"/>
              </w:rPr>
            </w:pPr>
          </w:p>
        </w:tc>
        <w:tc>
          <w:tcPr>
            <w:tcW w:w="927"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职 务</w:t>
            </w:r>
          </w:p>
        </w:tc>
        <w:tc>
          <w:tcPr>
            <w:tcW w:w="1065" w:type="dxa"/>
            <w:vAlign w:val="center"/>
          </w:tcPr>
          <w:p>
            <w:pPr>
              <w:spacing w:line="440" w:lineRule="exact"/>
              <w:jc w:val="center"/>
              <w:rPr>
                <w:rFonts w:ascii="宋体" w:hAnsi="宋体" w:cs="宋体"/>
                <w:szCs w:val="21"/>
                <w:highlight w:val="none"/>
              </w:rPr>
            </w:pPr>
          </w:p>
        </w:tc>
        <w:tc>
          <w:tcPr>
            <w:tcW w:w="2130" w:type="dxa"/>
            <w:gridSpan w:val="3"/>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拟在本合同任职</w:t>
            </w:r>
          </w:p>
        </w:tc>
        <w:tc>
          <w:tcPr>
            <w:tcW w:w="2135" w:type="dxa"/>
            <w:vAlign w:val="center"/>
          </w:tcPr>
          <w:p>
            <w:pPr>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6" w:type="dxa"/>
            <w:vAlign w:val="center"/>
          </w:tcPr>
          <w:p>
            <w:pPr>
              <w:spacing w:line="440" w:lineRule="exact"/>
              <w:rPr>
                <w:rFonts w:ascii="宋体" w:hAnsi="宋体" w:cs="宋体"/>
                <w:szCs w:val="21"/>
                <w:highlight w:val="none"/>
              </w:rPr>
            </w:pPr>
            <w:r>
              <w:rPr>
                <w:rFonts w:hint="eastAsia" w:ascii="宋体" w:hAnsi="宋体" w:cs="宋体"/>
                <w:szCs w:val="21"/>
                <w:highlight w:val="none"/>
              </w:rPr>
              <w:t>毕业学校</w:t>
            </w:r>
          </w:p>
        </w:tc>
        <w:tc>
          <w:tcPr>
            <w:tcW w:w="7336" w:type="dxa"/>
            <w:gridSpan w:val="8"/>
            <w:vAlign w:val="top"/>
          </w:tcPr>
          <w:p>
            <w:pPr>
              <w:spacing w:line="440" w:lineRule="exact"/>
              <w:rPr>
                <w:rFonts w:ascii="宋体" w:hAnsi="宋体" w:cs="宋体"/>
                <w:szCs w:val="21"/>
                <w:highlight w:val="none"/>
              </w:rPr>
            </w:pPr>
            <w:r>
              <w:rPr>
                <w:rFonts w:hint="eastAsia" w:ascii="宋体" w:hAnsi="宋体" w:cs="宋体"/>
                <w:szCs w:val="21"/>
                <w:highlight w:val="none"/>
              </w:rPr>
              <w:t xml:space="preserve">      年毕业于            学校        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2" w:type="dxa"/>
            <w:gridSpan w:val="9"/>
            <w:vAlign w:val="center"/>
          </w:tcPr>
          <w:p>
            <w:pPr>
              <w:spacing w:line="440" w:lineRule="exact"/>
              <w:rPr>
                <w:rFonts w:ascii="宋体" w:hAnsi="宋体" w:cs="宋体"/>
                <w:szCs w:val="21"/>
                <w:highlight w:val="none"/>
              </w:rPr>
            </w:pPr>
            <w:r>
              <w:rPr>
                <w:rFonts w:hint="eastAsia" w:ascii="宋体" w:hAnsi="宋体" w:cs="宋体"/>
                <w:szCs w:val="21"/>
                <w:highlight w:val="none"/>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545" w:type="dxa"/>
            <w:gridSpan w:val="2"/>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时  间</w:t>
            </w:r>
          </w:p>
        </w:tc>
        <w:tc>
          <w:tcPr>
            <w:tcW w:w="3420" w:type="dxa"/>
            <w:gridSpan w:val="4"/>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参加过的类似项目</w:t>
            </w:r>
          </w:p>
        </w:tc>
        <w:tc>
          <w:tcPr>
            <w:tcW w:w="1261" w:type="dxa"/>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担任职务</w:t>
            </w:r>
          </w:p>
        </w:tc>
        <w:tc>
          <w:tcPr>
            <w:tcW w:w="2296" w:type="dxa"/>
            <w:gridSpan w:val="2"/>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发包人及联系电话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545" w:type="dxa"/>
            <w:gridSpan w:val="2"/>
            <w:vAlign w:val="top"/>
          </w:tcPr>
          <w:p>
            <w:pPr>
              <w:spacing w:line="440" w:lineRule="exact"/>
              <w:jc w:val="center"/>
              <w:rPr>
                <w:rFonts w:ascii="宋体" w:hAnsi="宋体" w:cs="宋体"/>
                <w:szCs w:val="21"/>
                <w:highlight w:val="none"/>
              </w:rPr>
            </w:pPr>
          </w:p>
        </w:tc>
        <w:tc>
          <w:tcPr>
            <w:tcW w:w="3420" w:type="dxa"/>
            <w:gridSpan w:val="4"/>
            <w:vAlign w:val="top"/>
          </w:tcPr>
          <w:p>
            <w:pPr>
              <w:spacing w:line="440" w:lineRule="exact"/>
              <w:jc w:val="center"/>
              <w:rPr>
                <w:rFonts w:ascii="宋体" w:hAnsi="宋体" w:cs="宋体"/>
                <w:szCs w:val="21"/>
                <w:highlight w:val="none"/>
              </w:rPr>
            </w:pPr>
          </w:p>
        </w:tc>
        <w:tc>
          <w:tcPr>
            <w:tcW w:w="1261" w:type="dxa"/>
            <w:vAlign w:val="top"/>
          </w:tcPr>
          <w:p>
            <w:pPr>
              <w:spacing w:line="440" w:lineRule="exact"/>
              <w:jc w:val="center"/>
              <w:rPr>
                <w:rFonts w:ascii="宋体" w:hAnsi="宋体" w:cs="宋体"/>
                <w:szCs w:val="21"/>
                <w:highlight w:val="none"/>
              </w:rPr>
            </w:pPr>
          </w:p>
        </w:tc>
        <w:tc>
          <w:tcPr>
            <w:tcW w:w="2296" w:type="dxa"/>
            <w:gridSpan w:val="2"/>
            <w:vAlign w:val="top"/>
          </w:tcPr>
          <w:p>
            <w:pPr>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545" w:type="dxa"/>
            <w:gridSpan w:val="2"/>
            <w:vAlign w:val="top"/>
          </w:tcPr>
          <w:p>
            <w:pPr>
              <w:spacing w:line="440" w:lineRule="exact"/>
              <w:rPr>
                <w:rFonts w:ascii="宋体" w:hAnsi="宋体" w:cs="宋体"/>
                <w:szCs w:val="21"/>
                <w:highlight w:val="none"/>
              </w:rPr>
            </w:pPr>
          </w:p>
        </w:tc>
        <w:tc>
          <w:tcPr>
            <w:tcW w:w="3420" w:type="dxa"/>
            <w:gridSpan w:val="4"/>
            <w:vAlign w:val="top"/>
          </w:tcPr>
          <w:p>
            <w:pPr>
              <w:spacing w:line="440" w:lineRule="exact"/>
              <w:rPr>
                <w:rFonts w:ascii="宋体" w:hAnsi="宋体" w:cs="宋体"/>
                <w:szCs w:val="21"/>
                <w:highlight w:val="none"/>
              </w:rPr>
            </w:pPr>
          </w:p>
        </w:tc>
        <w:tc>
          <w:tcPr>
            <w:tcW w:w="1261" w:type="dxa"/>
            <w:vAlign w:val="top"/>
          </w:tcPr>
          <w:p>
            <w:pPr>
              <w:spacing w:line="440" w:lineRule="exact"/>
              <w:rPr>
                <w:rFonts w:ascii="宋体" w:hAnsi="宋体" w:cs="宋体"/>
                <w:szCs w:val="21"/>
                <w:highlight w:val="none"/>
              </w:rPr>
            </w:pPr>
          </w:p>
        </w:tc>
        <w:tc>
          <w:tcPr>
            <w:tcW w:w="2296" w:type="dxa"/>
            <w:gridSpan w:val="2"/>
            <w:vAlign w:val="top"/>
          </w:tcPr>
          <w:p>
            <w:pPr>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545" w:type="dxa"/>
            <w:gridSpan w:val="2"/>
            <w:vAlign w:val="top"/>
          </w:tcPr>
          <w:p>
            <w:pPr>
              <w:spacing w:line="440" w:lineRule="exact"/>
              <w:rPr>
                <w:rFonts w:ascii="宋体" w:hAnsi="宋体" w:cs="宋体"/>
                <w:szCs w:val="21"/>
                <w:highlight w:val="none"/>
              </w:rPr>
            </w:pPr>
          </w:p>
        </w:tc>
        <w:tc>
          <w:tcPr>
            <w:tcW w:w="3420" w:type="dxa"/>
            <w:gridSpan w:val="4"/>
            <w:vAlign w:val="top"/>
          </w:tcPr>
          <w:p>
            <w:pPr>
              <w:spacing w:line="440" w:lineRule="exact"/>
              <w:rPr>
                <w:rFonts w:ascii="宋体" w:hAnsi="宋体" w:cs="宋体"/>
                <w:szCs w:val="21"/>
                <w:highlight w:val="none"/>
              </w:rPr>
            </w:pPr>
          </w:p>
        </w:tc>
        <w:tc>
          <w:tcPr>
            <w:tcW w:w="1261" w:type="dxa"/>
            <w:vAlign w:val="top"/>
          </w:tcPr>
          <w:p>
            <w:pPr>
              <w:spacing w:line="440" w:lineRule="exact"/>
              <w:rPr>
                <w:rFonts w:ascii="宋体" w:hAnsi="宋体" w:cs="宋体"/>
                <w:szCs w:val="21"/>
                <w:highlight w:val="none"/>
              </w:rPr>
            </w:pPr>
          </w:p>
        </w:tc>
        <w:tc>
          <w:tcPr>
            <w:tcW w:w="2296" w:type="dxa"/>
            <w:gridSpan w:val="2"/>
            <w:vAlign w:val="top"/>
          </w:tcPr>
          <w:p>
            <w:pPr>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545" w:type="dxa"/>
            <w:gridSpan w:val="2"/>
            <w:vAlign w:val="top"/>
          </w:tcPr>
          <w:p>
            <w:pPr>
              <w:spacing w:line="440" w:lineRule="exact"/>
              <w:rPr>
                <w:rFonts w:ascii="宋体" w:hAnsi="宋体" w:cs="宋体"/>
                <w:szCs w:val="21"/>
                <w:highlight w:val="none"/>
              </w:rPr>
            </w:pPr>
          </w:p>
        </w:tc>
        <w:tc>
          <w:tcPr>
            <w:tcW w:w="3420" w:type="dxa"/>
            <w:gridSpan w:val="4"/>
            <w:vAlign w:val="top"/>
          </w:tcPr>
          <w:p>
            <w:pPr>
              <w:spacing w:line="440" w:lineRule="exact"/>
              <w:rPr>
                <w:rFonts w:ascii="宋体" w:hAnsi="宋体" w:cs="宋体"/>
                <w:szCs w:val="21"/>
                <w:highlight w:val="none"/>
              </w:rPr>
            </w:pPr>
          </w:p>
        </w:tc>
        <w:tc>
          <w:tcPr>
            <w:tcW w:w="1261" w:type="dxa"/>
            <w:vAlign w:val="top"/>
          </w:tcPr>
          <w:p>
            <w:pPr>
              <w:spacing w:line="440" w:lineRule="exact"/>
              <w:rPr>
                <w:rFonts w:ascii="宋体" w:hAnsi="宋体" w:cs="宋体"/>
                <w:szCs w:val="21"/>
                <w:highlight w:val="none"/>
              </w:rPr>
            </w:pPr>
          </w:p>
        </w:tc>
        <w:tc>
          <w:tcPr>
            <w:tcW w:w="2296" w:type="dxa"/>
            <w:gridSpan w:val="2"/>
            <w:vAlign w:val="top"/>
          </w:tcPr>
          <w:p>
            <w:pPr>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545" w:type="dxa"/>
            <w:gridSpan w:val="2"/>
            <w:vAlign w:val="top"/>
          </w:tcPr>
          <w:p>
            <w:pPr>
              <w:spacing w:line="440" w:lineRule="exact"/>
              <w:rPr>
                <w:rFonts w:ascii="宋体" w:hAnsi="宋体" w:cs="宋体"/>
                <w:szCs w:val="21"/>
                <w:highlight w:val="none"/>
              </w:rPr>
            </w:pPr>
          </w:p>
        </w:tc>
        <w:tc>
          <w:tcPr>
            <w:tcW w:w="3420" w:type="dxa"/>
            <w:gridSpan w:val="4"/>
            <w:vAlign w:val="top"/>
          </w:tcPr>
          <w:p>
            <w:pPr>
              <w:spacing w:line="440" w:lineRule="exact"/>
              <w:rPr>
                <w:rFonts w:ascii="宋体" w:hAnsi="宋体" w:cs="宋体"/>
                <w:szCs w:val="21"/>
                <w:highlight w:val="none"/>
              </w:rPr>
            </w:pPr>
          </w:p>
        </w:tc>
        <w:tc>
          <w:tcPr>
            <w:tcW w:w="1261" w:type="dxa"/>
            <w:vAlign w:val="top"/>
          </w:tcPr>
          <w:p>
            <w:pPr>
              <w:spacing w:line="440" w:lineRule="exact"/>
              <w:rPr>
                <w:rFonts w:ascii="宋体" w:hAnsi="宋体" w:cs="宋体"/>
                <w:szCs w:val="21"/>
                <w:highlight w:val="none"/>
              </w:rPr>
            </w:pPr>
          </w:p>
        </w:tc>
        <w:tc>
          <w:tcPr>
            <w:tcW w:w="2296" w:type="dxa"/>
            <w:gridSpan w:val="2"/>
            <w:vAlign w:val="top"/>
          </w:tcPr>
          <w:p>
            <w:pPr>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545" w:type="dxa"/>
            <w:gridSpan w:val="2"/>
            <w:vAlign w:val="top"/>
          </w:tcPr>
          <w:p>
            <w:pPr>
              <w:spacing w:line="440" w:lineRule="exact"/>
              <w:rPr>
                <w:rFonts w:ascii="宋体" w:hAnsi="宋体" w:cs="宋体"/>
                <w:szCs w:val="21"/>
                <w:highlight w:val="none"/>
              </w:rPr>
            </w:pPr>
          </w:p>
        </w:tc>
        <w:tc>
          <w:tcPr>
            <w:tcW w:w="3420" w:type="dxa"/>
            <w:gridSpan w:val="4"/>
            <w:vAlign w:val="top"/>
          </w:tcPr>
          <w:p>
            <w:pPr>
              <w:spacing w:line="440" w:lineRule="exact"/>
              <w:rPr>
                <w:rFonts w:ascii="宋体" w:hAnsi="宋体" w:cs="宋体"/>
                <w:szCs w:val="21"/>
                <w:highlight w:val="none"/>
              </w:rPr>
            </w:pPr>
          </w:p>
        </w:tc>
        <w:tc>
          <w:tcPr>
            <w:tcW w:w="1261" w:type="dxa"/>
            <w:vAlign w:val="top"/>
          </w:tcPr>
          <w:p>
            <w:pPr>
              <w:spacing w:line="440" w:lineRule="exact"/>
              <w:rPr>
                <w:rFonts w:ascii="宋体" w:hAnsi="宋体" w:cs="宋体"/>
                <w:szCs w:val="21"/>
                <w:highlight w:val="none"/>
              </w:rPr>
            </w:pPr>
          </w:p>
        </w:tc>
        <w:tc>
          <w:tcPr>
            <w:tcW w:w="2296" w:type="dxa"/>
            <w:gridSpan w:val="2"/>
            <w:vAlign w:val="top"/>
          </w:tcPr>
          <w:p>
            <w:pPr>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545" w:type="dxa"/>
            <w:gridSpan w:val="2"/>
            <w:vAlign w:val="top"/>
          </w:tcPr>
          <w:p>
            <w:pPr>
              <w:spacing w:line="440" w:lineRule="exact"/>
              <w:rPr>
                <w:rFonts w:ascii="宋体" w:hAnsi="宋体" w:cs="宋体"/>
                <w:szCs w:val="21"/>
                <w:highlight w:val="none"/>
              </w:rPr>
            </w:pPr>
          </w:p>
        </w:tc>
        <w:tc>
          <w:tcPr>
            <w:tcW w:w="3420" w:type="dxa"/>
            <w:gridSpan w:val="4"/>
            <w:vAlign w:val="top"/>
          </w:tcPr>
          <w:p>
            <w:pPr>
              <w:spacing w:line="440" w:lineRule="exact"/>
              <w:rPr>
                <w:rFonts w:ascii="宋体" w:hAnsi="宋体" w:cs="宋体"/>
                <w:szCs w:val="21"/>
                <w:highlight w:val="none"/>
              </w:rPr>
            </w:pPr>
          </w:p>
        </w:tc>
        <w:tc>
          <w:tcPr>
            <w:tcW w:w="1261" w:type="dxa"/>
            <w:vAlign w:val="top"/>
          </w:tcPr>
          <w:p>
            <w:pPr>
              <w:spacing w:line="440" w:lineRule="exact"/>
              <w:rPr>
                <w:rFonts w:ascii="宋体" w:hAnsi="宋体" w:cs="宋体"/>
                <w:szCs w:val="21"/>
                <w:highlight w:val="none"/>
              </w:rPr>
            </w:pPr>
          </w:p>
        </w:tc>
        <w:tc>
          <w:tcPr>
            <w:tcW w:w="2296" w:type="dxa"/>
            <w:gridSpan w:val="2"/>
            <w:vAlign w:val="top"/>
          </w:tcPr>
          <w:p>
            <w:pPr>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545" w:type="dxa"/>
            <w:gridSpan w:val="2"/>
            <w:vAlign w:val="top"/>
          </w:tcPr>
          <w:p>
            <w:pPr>
              <w:spacing w:line="440" w:lineRule="exact"/>
              <w:rPr>
                <w:rFonts w:ascii="宋体" w:hAnsi="宋体" w:cs="宋体"/>
                <w:szCs w:val="21"/>
                <w:highlight w:val="none"/>
              </w:rPr>
            </w:pPr>
          </w:p>
        </w:tc>
        <w:tc>
          <w:tcPr>
            <w:tcW w:w="3420" w:type="dxa"/>
            <w:gridSpan w:val="4"/>
            <w:vAlign w:val="top"/>
          </w:tcPr>
          <w:p>
            <w:pPr>
              <w:spacing w:line="440" w:lineRule="exact"/>
              <w:rPr>
                <w:rFonts w:ascii="宋体" w:hAnsi="宋体" w:cs="宋体"/>
                <w:szCs w:val="21"/>
                <w:highlight w:val="none"/>
              </w:rPr>
            </w:pPr>
          </w:p>
        </w:tc>
        <w:tc>
          <w:tcPr>
            <w:tcW w:w="1261" w:type="dxa"/>
            <w:vAlign w:val="top"/>
          </w:tcPr>
          <w:p>
            <w:pPr>
              <w:spacing w:line="440" w:lineRule="exact"/>
              <w:rPr>
                <w:rFonts w:ascii="宋体" w:hAnsi="宋体" w:cs="宋体"/>
                <w:szCs w:val="21"/>
                <w:highlight w:val="none"/>
              </w:rPr>
            </w:pPr>
          </w:p>
        </w:tc>
        <w:tc>
          <w:tcPr>
            <w:tcW w:w="2296" w:type="dxa"/>
            <w:gridSpan w:val="2"/>
            <w:vAlign w:val="top"/>
          </w:tcPr>
          <w:p>
            <w:pPr>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545" w:type="dxa"/>
            <w:gridSpan w:val="2"/>
            <w:vAlign w:val="top"/>
          </w:tcPr>
          <w:p>
            <w:pPr>
              <w:spacing w:line="440" w:lineRule="exact"/>
              <w:rPr>
                <w:rFonts w:ascii="宋体" w:hAnsi="宋体" w:cs="宋体"/>
                <w:szCs w:val="21"/>
                <w:highlight w:val="none"/>
              </w:rPr>
            </w:pPr>
          </w:p>
        </w:tc>
        <w:tc>
          <w:tcPr>
            <w:tcW w:w="3420" w:type="dxa"/>
            <w:gridSpan w:val="4"/>
            <w:vAlign w:val="top"/>
          </w:tcPr>
          <w:p>
            <w:pPr>
              <w:spacing w:line="440" w:lineRule="exact"/>
              <w:rPr>
                <w:rFonts w:ascii="宋体" w:hAnsi="宋体" w:cs="宋体"/>
                <w:szCs w:val="21"/>
                <w:highlight w:val="none"/>
              </w:rPr>
            </w:pPr>
          </w:p>
        </w:tc>
        <w:tc>
          <w:tcPr>
            <w:tcW w:w="1261" w:type="dxa"/>
            <w:vAlign w:val="top"/>
          </w:tcPr>
          <w:p>
            <w:pPr>
              <w:spacing w:line="440" w:lineRule="exact"/>
              <w:rPr>
                <w:rFonts w:ascii="宋体" w:hAnsi="宋体" w:cs="宋体"/>
                <w:szCs w:val="21"/>
                <w:highlight w:val="none"/>
              </w:rPr>
            </w:pPr>
          </w:p>
        </w:tc>
        <w:tc>
          <w:tcPr>
            <w:tcW w:w="2296" w:type="dxa"/>
            <w:gridSpan w:val="2"/>
            <w:vAlign w:val="top"/>
          </w:tcPr>
          <w:p>
            <w:pPr>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545" w:type="dxa"/>
            <w:gridSpan w:val="2"/>
            <w:vAlign w:val="top"/>
          </w:tcPr>
          <w:p>
            <w:pPr>
              <w:spacing w:line="440" w:lineRule="exact"/>
              <w:rPr>
                <w:rFonts w:ascii="宋体" w:hAnsi="宋体" w:cs="宋体"/>
                <w:szCs w:val="21"/>
                <w:highlight w:val="none"/>
              </w:rPr>
            </w:pPr>
          </w:p>
        </w:tc>
        <w:tc>
          <w:tcPr>
            <w:tcW w:w="3420" w:type="dxa"/>
            <w:gridSpan w:val="4"/>
            <w:vAlign w:val="top"/>
          </w:tcPr>
          <w:p>
            <w:pPr>
              <w:spacing w:line="440" w:lineRule="exact"/>
              <w:rPr>
                <w:rFonts w:ascii="宋体" w:hAnsi="宋体" w:cs="宋体"/>
                <w:szCs w:val="21"/>
                <w:highlight w:val="none"/>
              </w:rPr>
            </w:pPr>
          </w:p>
        </w:tc>
        <w:tc>
          <w:tcPr>
            <w:tcW w:w="1261" w:type="dxa"/>
            <w:vAlign w:val="top"/>
          </w:tcPr>
          <w:p>
            <w:pPr>
              <w:spacing w:line="440" w:lineRule="exact"/>
              <w:rPr>
                <w:rFonts w:ascii="宋体" w:hAnsi="宋体" w:cs="宋体"/>
                <w:szCs w:val="21"/>
                <w:highlight w:val="none"/>
              </w:rPr>
            </w:pPr>
          </w:p>
        </w:tc>
        <w:tc>
          <w:tcPr>
            <w:tcW w:w="2296" w:type="dxa"/>
            <w:gridSpan w:val="2"/>
            <w:vAlign w:val="top"/>
          </w:tcPr>
          <w:p>
            <w:pPr>
              <w:spacing w:line="440" w:lineRule="exact"/>
              <w:rPr>
                <w:rFonts w:ascii="宋体" w:hAnsi="宋体" w:cs="宋体"/>
                <w:szCs w:val="21"/>
                <w:highlight w:val="none"/>
              </w:rPr>
            </w:pPr>
          </w:p>
        </w:tc>
      </w:tr>
    </w:tbl>
    <w:p>
      <w:pPr>
        <w:topLinePunct/>
        <w:spacing w:line="440" w:lineRule="exact"/>
        <w:rPr>
          <w:rFonts w:hint="eastAsia" w:ascii="宋体" w:hAnsi="宋体" w:cs="宋体"/>
          <w:sz w:val="27"/>
          <w:szCs w:val="27"/>
          <w:highlight w:val="none"/>
        </w:rPr>
      </w:pPr>
    </w:p>
    <w:p>
      <w:pPr>
        <w:topLinePunct/>
        <w:spacing w:line="440" w:lineRule="exact"/>
        <w:rPr>
          <w:rFonts w:hint="eastAsia" w:ascii="宋体" w:hAnsi="宋体" w:cs="宋体"/>
          <w:sz w:val="27"/>
          <w:szCs w:val="27"/>
          <w:highlight w:val="none"/>
        </w:rPr>
      </w:pPr>
    </w:p>
    <w:p>
      <w:pPr>
        <w:topLinePunct/>
        <w:spacing w:line="440" w:lineRule="exact"/>
        <w:rPr>
          <w:rFonts w:ascii="宋体" w:hAnsi="宋体" w:cs="宋体"/>
          <w:sz w:val="27"/>
          <w:szCs w:val="27"/>
          <w:highlight w:val="none"/>
        </w:rPr>
      </w:pPr>
    </w:p>
    <w:p>
      <w:pPr>
        <w:pStyle w:val="8"/>
        <w:jc w:val="center"/>
        <w:rPr>
          <w:rFonts w:ascii="宋体" w:hAnsi="宋体" w:eastAsia="宋体" w:cs="宋体"/>
          <w:highlight w:val="none"/>
        </w:rPr>
      </w:pPr>
      <w:bookmarkStart w:id="1415" w:name="_Toc9807"/>
      <w:bookmarkStart w:id="1416" w:name="_Toc20769"/>
      <w:bookmarkStart w:id="1417" w:name="_Toc25631"/>
      <w:bookmarkStart w:id="1418" w:name="_Toc8296"/>
      <w:bookmarkStart w:id="1419" w:name="_Toc179632827"/>
      <w:bookmarkStart w:id="1420" w:name="_Toc814"/>
      <w:bookmarkStart w:id="1421" w:name="_Toc14931"/>
      <w:bookmarkStart w:id="1422" w:name="_Toc144974875"/>
      <w:bookmarkStart w:id="1423" w:name="_Toc246997115"/>
      <w:bookmarkStart w:id="1424" w:name="_Toc247085890"/>
      <w:bookmarkStart w:id="1425" w:name="_Toc25742"/>
      <w:bookmarkStart w:id="1426" w:name="_Toc152042596"/>
      <w:bookmarkStart w:id="1427" w:name="_Toc152045807"/>
      <w:bookmarkStart w:id="1428" w:name="_Toc246996372"/>
      <w:r>
        <w:rPr>
          <w:rFonts w:hint="eastAsia" w:ascii="宋体" w:hAnsi="宋体" w:eastAsia="宋体" w:cs="宋体"/>
          <w:highlight w:val="none"/>
        </w:rPr>
        <w:t>八、资格审查资料</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pPr>
        <w:keepNext/>
        <w:keepLines/>
        <w:spacing w:line="416" w:lineRule="auto"/>
        <w:jc w:val="center"/>
        <w:rPr>
          <w:rFonts w:ascii="宋体" w:hAnsi="宋体" w:cs="宋体"/>
          <w:b/>
          <w:bCs/>
          <w:sz w:val="28"/>
          <w:szCs w:val="28"/>
          <w:highlight w:val="none"/>
        </w:rPr>
      </w:pPr>
      <w:bookmarkStart w:id="1429" w:name="_Toc152042597"/>
      <w:bookmarkStart w:id="1430" w:name="_Toc246997116"/>
      <w:bookmarkStart w:id="1431" w:name="_Toc179632828"/>
      <w:bookmarkStart w:id="1432" w:name="_Toc246996373"/>
      <w:bookmarkStart w:id="1433" w:name="_Toc144974876"/>
      <w:bookmarkStart w:id="1434" w:name="_Toc247085891"/>
      <w:bookmarkStart w:id="1435" w:name="_Toc152045808"/>
      <w:r>
        <w:rPr>
          <w:rFonts w:hint="eastAsia" w:ascii="宋体" w:hAnsi="宋体" w:cs="宋体"/>
          <w:b/>
          <w:bCs/>
          <w:sz w:val="28"/>
          <w:szCs w:val="28"/>
          <w:highlight w:val="none"/>
        </w:rPr>
        <w:t>（一）投标人基本情况表</w:t>
      </w:r>
      <w:bookmarkEnd w:id="1429"/>
      <w:bookmarkEnd w:id="1430"/>
      <w:bookmarkEnd w:id="1431"/>
      <w:bookmarkEnd w:id="1432"/>
      <w:bookmarkEnd w:id="1433"/>
      <w:bookmarkEnd w:id="1434"/>
      <w:bookmarkEnd w:id="1435"/>
    </w:p>
    <w:tbl>
      <w:tblPr>
        <w:tblStyle w:val="22"/>
        <w:tblW w:w="8830"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898"/>
        <w:gridCol w:w="951"/>
        <w:gridCol w:w="840"/>
        <w:gridCol w:w="420"/>
        <w:gridCol w:w="311"/>
        <w:gridCol w:w="1078"/>
        <w:gridCol w:w="490"/>
        <w:gridCol w:w="860"/>
        <w:gridCol w:w="125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投标人名称</w:t>
            </w:r>
          </w:p>
        </w:tc>
        <w:tc>
          <w:tcPr>
            <w:tcW w:w="7102" w:type="dxa"/>
            <w:gridSpan w:val="9"/>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注册地址</w:t>
            </w:r>
          </w:p>
        </w:tc>
        <w:tc>
          <w:tcPr>
            <w:tcW w:w="3420"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107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邮政编码</w:t>
            </w:r>
          </w:p>
        </w:tc>
        <w:tc>
          <w:tcPr>
            <w:tcW w:w="2604"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05" w:hRule="atLeast"/>
          <w:jc w:val="center"/>
        </w:trPr>
        <w:tc>
          <w:tcPr>
            <w:tcW w:w="1728"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联系方式</w:t>
            </w:r>
          </w:p>
        </w:tc>
        <w:tc>
          <w:tcPr>
            <w:tcW w:w="89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107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电 话</w:t>
            </w:r>
          </w:p>
        </w:tc>
        <w:tc>
          <w:tcPr>
            <w:tcW w:w="2604"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13" w:hRule="atLeast"/>
          <w:jc w:val="center"/>
        </w:trPr>
        <w:tc>
          <w:tcPr>
            <w:tcW w:w="1728" w:type="dxa"/>
            <w:vMerge w:val="continue"/>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89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传  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107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网 址</w:t>
            </w:r>
          </w:p>
        </w:tc>
        <w:tc>
          <w:tcPr>
            <w:tcW w:w="2604"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组织结构</w:t>
            </w:r>
          </w:p>
        </w:tc>
        <w:tc>
          <w:tcPr>
            <w:tcW w:w="7102" w:type="dxa"/>
            <w:gridSpan w:val="9"/>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法定代表人</w:t>
            </w:r>
          </w:p>
        </w:tc>
        <w:tc>
          <w:tcPr>
            <w:tcW w:w="89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姓名</w:t>
            </w:r>
          </w:p>
        </w:tc>
        <w:tc>
          <w:tcPr>
            <w:tcW w:w="95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技术职称</w:t>
            </w:r>
          </w:p>
        </w:tc>
        <w:tc>
          <w:tcPr>
            <w:tcW w:w="1879"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860"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电话</w:t>
            </w:r>
          </w:p>
        </w:tc>
        <w:tc>
          <w:tcPr>
            <w:tcW w:w="1254"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2"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技术负责人</w:t>
            </w:r>
          </w:p>
        </w:tc>
        <w:tc>
          <w:tcPr>
            <w:tcW w:w="89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姓名</w:t>
            </w:r>
          </w:p>
        </w:tc>
        <w:tc>
          <w:tcPr>
            <w:tcW w:w="95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技术职称</w:t>
            </w:r>
          </w:p>
        </w:tc>
        <w:tc>
          <w:tcPr>
            <w:tcW w:w="1879"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860"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电话</w:t>
            </w:r>
          </w:p>
        </w:tc>
        <w:tc>
          <w:tcPr>
            <w:tcW w:w="1254"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成立时间</w:t>
            </w:r>
          </w:p>
        </w:tc>
        <w:tc>
          <w:tcPr>
            <w:tcW w:w="1849"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5253" w:type="dxa"/>
            <w:gridSpan w:val="7"/>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rFonts w:ascii="宋体" w:hAnsi="宋体" w:cs="宋体"/>
                <w:szCs w:val="21"/>
                <w:highlight w:val="none"/>
              </w:rPr>
            </w:pPr>
            <w:r>
              <w:rPr>
                <w:rFonts w:hint="eastAsia" w:ascii="宋体" w:hAnsi="宋体" w:cs="宋体"/>
                <w:szCs w:val="21"/>
                <w:highlight w:val="none"/>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5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企业资质等级</w:t>
            </w:r>
          </w:p>
        </w:tc>
        <w:tc>
          <w:tcPr>
            <w:tcW w:w="1849"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其中</w:t>
            </w: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项目经理</w:t>
            </w:r>
          </w:p>
        </w:tc>
        <w:tc>
          <w:tcPr>
            <w:tcW w:w="2114"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10"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营业执照号</w:t>
            </w:r>
          </w:p>
        </w:tc>
        <w:tc>
          <w:tcPr>
            <w:tcW w:w="1849"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高级职称人员</w:t>
            </w:r>
          </w:p>
        </w:tc>
        <w:tc>
          <w:tcPr>
            <w:tcW w:w="2114"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0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注册资金</w:t>
            </w:r>
          </w:p>
        </w:tc>
        <w:tc>
          <w:tcPr>
            <w:tcW w:w="1849"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中级职称人员</w:t>
            </w:r>
          </w:p>
        </w:tc>
        <w:tc>
          <w:tcPr>
            <w:tcW w:w="2114"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2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开户银行</w:t>
            </w:r>
          </w:p>
        </w:tc>
        <w:tc>
          <w:tcPr>
            <w:tcW w:w="1849"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初级职称人员</w:t>
            </w:r>
          </w:p>
        </w:tc>
        <w:tc>
          <w:tcPr>
            <w:tcW w:w="2114"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0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账号</w:t>
            </w:r>
          </w:p>
        </w:tc>
        <w:tc>
          <w:tcPr>
            <w:tcW w:w="1849"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highlight w:val="none"/>
              </w:rPr>
            </w:pPr>
            <w:r>
              <w:rPr>
                <w:rFonts w:hint="eastAsia" w:ascii="宋体" w:hAnsi="宋体" w:cs="宋体"/>
                <w:szCs w:val="21"/>
                <w:highlight w:val="none"/>
              </w:rPr>
              <w:t>技  工</w:t>
            </w:r>
          </w:p>
        </w:tc>
        <w:tc>
          <w:tcPr>
            <w:tcW w:w="2114"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880" w:hRule="atLeast"/>
          <w:jc w:val="center"/>
        </w:trPr>
        <w:tc>
          <w:tcPr>
            <w:tcW w:w="1728" w:type="dxa"/>
            <w:tcBorders>
              <w:top w:val="single" w:color="auto" w:sz="4" w:space="0"/>
              <w:left w:val="single" w:color="auto" w:sz="4" w:space="0"/>
              <w:right w:val="single" w:color="auto" w:sz="4" w:space="0"/>
            </w:tcBorders>
            <w:vAlign w:val="center"/>
          </w:tcPr>
          <w:p>
            <w:pPr>
              <w:topLinePunct/>
              <w:spacing w:line="440" w:lineRule="exact"/>
              <w:ind w:firstLine="210" w:firstLineChars="100"/>
              <w:jc w:val="center"/>
              <w:rPr>
                <w:rFonts w:ascii="宋体" w:hAnsi="宋体" w:cs="宋体"/>
                <w:szCs w:val="21"/>
                <w:highlight w:val="none"/>
              </w:rPr>
            </w:pPr>
            <w:r>
              <w:rPr>
                <w:rFonts w:hint="eastAsia" w:ascii="宋体" w:hAnsi="宋体" w:cs="宋体"/>
                <w:szCs w:val="21"/>
                <w:highlight w:val="none"/>
              </w:rPr>
              <w:t>经营范围</w:t>
            </w:r>
          </w:p>
        </w:tc>
        <w:tc>
          <w:tcPr>
            <w:tcW w:w="7102" w:type="dxa"/>
            <w:gridSpan w:val="9"/>
            <w:tcBorders>
              <w:top w:val="single" w:color="auto" w:sz="4" w:space="0"/>
              <w:left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p>
            <w:pPr>
              <w:topLinePunct/>
              <w:spacing w:line="440" w:lineRule="exact"/>
              <w:jc w:val="center"/>
              <w:rPr>
                <w:rFonts w:ascii="宋体" w:hAnsi="宋体" w:cs="宋体"/>
                <w:szCs w:val="21"/>
                <w:highlight w:val="none"/>
              </w:rPr>
            </w:pPr>
          </w:p>
          <w:p>
            <w:pPr>
              <w:topLinePunct/>
              <w:spacing w:line="440" w:lineRule="exact"/>
              <w:jc w:val="center"/>
              <w:rPr>
                <w:rFonts w:ascii="宋体" w:hAnsi="宋体" w:cs="宋体"/>
                <w:szCs w:val="21"/>
                <w:highlight w:val="none"/>
              </w:rPr>
            </w:pPr>
          </w:p>
          <w:p>
            <w:pPr>
              <w:topLinePunct/>
              <w:spacing w:line="440" w:lineRule="exact"/>
              <w:jc w:val="center"/>
              <w:rPr>
                <w:rFonts w:ascii="宋体" w:hAnsi="宋体" w:cs="宋体"/>
                <w:szCs w:val="21"/>
                <w:highlight w:val="none"/>
              </w:rPr>
            </w:pPr>
          </w:p>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5"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备注</w:t>
            </w:r>
          </w:p>
        </w:tc>
        <w:tc>
          <w:tcPr>
            <w:tcW w:w="7102" w:type="dxa"/>
            <w:gridSpan w:val="9"/>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highlight w:val="none"/>
              </w:rPr>
            </w:pPr>
          </w:p>
        </w:tc>
      </w:tr>
    </w:tbl>
    <w:p>
      <w:pPr>
        <w:topLinePunct/>
        <w:spacing w:line="440" w:lineRule="exact"/>
        <w:rPr>
          <w:rFonts w:ascii="宋体" w:hAnsi="宋体" w:cs="宋体"/>
          <w:highlight w:val="none"/>
        </w:rPr>
      </w:pPr>
    </w:p>
    <w:p>
      <w:pPr>
        <w:spacing w:line="440" w:lineRule="exact"/>
        <w:jc w:val="center"/>
        <w:rPr>
          <w:rFonts w:ascii="宋体" w:hAnsi="宋体" w:cs="宋体"/>
          <w:b/>
          <w:bCs/>
          <w:sz w:val="28"/>
          <w:szCs w:val="28"/>
          <w:highlight w:val="none"/>
        </w:rPr>
      </w:pPr>
      <w:bookmarkStart w:id="1436" w:name="_Toc152045809"/>
      <w:bookmarkStart w:id="1437" w:name="_Toc144974877"/>
      <w:bookmarkStart w:id="1438" w:name="_Toc247527849"/>
      <w:bookmarkStart w:id="1439" w:name="_Toc265953295"/>
      <w:bookmarkStart w:id="1440" w:name="_Toc152042598"/>
      <w:bookmarkStart w:id="1441" w:name="_Toc247514301"/>
      <w:bookmarkStart w:id="1442" w:name="_Toc152042602"/>
      <w:bookmarkStart w:id="1443" w:name="_Toc179632833"/>
      <w:bookmarkStart w:id="1444" w:name="_Toc152045813"/>
      <w:bookmarkStart w:id="1445" w:name="_Toc144974881"/>
    </w:p>
    <w:p>
      <w:pPr>
        <w:spacing w:line="440" w:lineRule="exact"/>
        <w:jc w:val="center"/>
        <w:rPr>
          <w:rFonts w:ascii="宋体" w:hAnsi="宋体" w:cs="宋体"/>
          <w:b/>
          <w:bCs/>
          <w:sz w:val="28"/>
          <w:szCs w:val="28"/>
          <w:highlight w:val="none"/>
        </w:rPr>
      </w:pPr>
    </w:p>
    <w:p>
      <w:pPr>
        <w:spacing w:line="440" w:lineRule="exact"/>
        <w:jc w:val="center"/>
        <w:rPr>
          <w:rFonts w:hint="eastAsia" w:ascii="宋体" w:hAnsi="宋体" w:cs="宋体"/>
          <w:b/>
          <w:bCs/>
          <w:sz w:val="28"/>
          <w:szCs w:val="28"/>
          <w:highlight w:val="none"/>
        </w:rPr>
      </w:pPr>
    </w:p>
    <w:p>
      <w:pPr>
        <w:spacing w:line="440" w:lineRule="exact"/>
        <w:jc w:val="center"/>
        <w:rPr>
          <w:rFonts w:ascii="宋体" w:hAnsi="宋体" w:cs="宋体"/>
          <w:b/>
          <w:bCs/>
          <w:sz w:val="28"/>
          <w:szCs w:val="28"/>
          <w:highlight w:val="none"/>
        </w:rPr>
      </w:pPr>
      <w:r>
        <w:rPr>
          <w:rFonts w:hint="eastAsia" w:ascii="宋体" w:hAnsi="宋体" w:cs="宋体"/>
          <w:b/>
          <w:bCs/>
          <w:sz w:val="28"/>
          <w:szCs w:val="28"/>
          <w:highlight w:val="none"/>
        </w:rPr>
        <w:t>（二）近年财务状况表</w:t>
      </w:r>
      <w:bookmarkEnd w:id="1436"/>
      <w:bookmarkEnd w:id="1437"/>
      <w:bookmarkEnd w:id="1438"/>
      <w:bookmarkEnd w:id="1439"/>
      <w:bookmarkEnd w:id="1440"/>
      <w:bookmarkEnd w:id="1441"/>
    </w:p>
    <w:p>
      <w:pPr>
        <w:topLinePunct/>
        <w:spacing w:line="440" w:lineRule="exact"/>
        <w:jc w:val="center"/>
        <w:rPr>
          <w:rFonts w:ascii="宋体" w:hAnsi="宋体" w:cs="宋体"/>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hint="eastAsia" w:ascii="宋体" w:hAnsi="宋体" w:cs="宋体"/>
          <w:sz w:val="23"/>
          <w:szCs w:val="23"/>
          <w:highlight w:val="none"/>
        </w:rPr>
      </w:pPr>
    </w:p>
    <w:p>
      <w:pPr>
        <w:spacing w:line="220" w:lineRule="exact"/>
        <w:rPr>
          <w:rFonts w:hint="eastAsia" w:ascii="宋体" w:hAnsi="宋体" w:cs="宋体"/>
          <w:sz w:val="23"/>
          <w:szCs w:val="23"/>
          <w:highlight w:val="none"/>
        </w:rPr>
      </w:pPr>
    </w:p>
    <w:p>
      <w:pPr>
        <w:spacing w:line="220" w:lineRule="exact"/>
        <w:rPr>
          <w:rFonts w:hint="eastAsia" w:ascii="宋体" w:hAnsi="宋体" w:cs="宋体"/>
          <w:sz w:val="23"/>
          <w:szCs w:val="23"/>
          <w:highlight w:val="none"/>
        </w:rPr>
      </w:pPr>
    </w:p>
    <w:p>
      <w:pPr>
        <w:spacing w:line="220" w:lineRule="exact"/>
        <w:rPr>
          <w:rFonts w:hint="eastAsia" w:ascii="宋体" w:hAnsi="宋体" w:cs="宋体"/>
          <w:sz w:val="23"/>
          <w:szCs w:val="23"/>
          <w:highlight w:val="none"/>
        </w:rPr>
      </w:pPr>
    </w:p>
    <w:p>
      <w:pPr>
        <w:spacing w:line="220" w:lineRule="exact"/>
        <w:rPr>
          <w:rFonts w:hint="eastAsia" w:ascii="宋体" w:hAnsi="宋体" w:cs="宋体"/>
          <w:sz w:val="23"/>
          <w:szCs w:val="23"/>
          <w:highlight w:val="none"/>
        </w:rPr>
      </w:pPr>
    </w:p>
    <w:p>
      <w:pPr>
        <w:spacing w:line="220" w:lineRule="exact"/>
        <w:rPr>
          <w:rFonts w:hint="eastAsia"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keepNext/>
        <w:keepLines/>
        <w:spacing w:line="416" w:lineRule="auto"/>
        <w:jc w:val="center"/>
        <w:rPr>
          <w:rFonts w:ascii="宋体" w:hAnsi="宋体" w:cs="宋体"/>
          <w:b/>
          <w:bCs/>
          <w:sz w:val="28"/>
          <w:szCs w:val="28"/>
          <w:highlight w:val="none"/>
        </w:rPr>
      </w:pPr>
      <w:bookmarkStart w:id="1446" w:name="_Toc152042599"/>
      <w:bookmarkStart w:id="1447" w:name="_Toc152045810"/>
      <w:bookmarkStart w:id="1448" w:name="_Toc247514302"/>
      <w:bookmarkStart w:id="1449" w:name="_Toc247527850"/>
      <w:bookmarkStart w:id="1450" w:name="_Toc265953296"/>
      <w:bookmarkStart w:id="1451" w:name="_Toc144974878"/>
      <w:r>
        <w:rPr>
          <w:rFonts w:hint="eastAsia" w:ascii="宋体" w:hAnsi="宋体" w:cs="宋体"/>
          <w:b/>
          <w:bCs/>
          <w:sz w:val="28"/>
          <w:szCs w:val="28"/>
          <w:highlight w:val="none"/>
        </w:rPr>
        <w:t>（三）近年完成的类似项目情况表</w:t>
      </w:r>
      <w:bookmarkEnd w:id="1446"/>
      <w:bookmarkEnd w:id="1447"/>
      <w:bookmarkEnd w:id="1448"/>
      <w:bookmarkEnd w:id="1449"/>
      <w:bookmarkEnd w:id="1450"/>
      <w:bookmarkEnd w:id="1451"/>
    </w:p>
    <w:p>
      <w:pPr>
        <w:spacing w:line="440" w:lineRule="exact"/>
        <w:jc w:val="center"/>
        <w:rPr>
          <w:rFonts w:ascii="宋体" w:hAnsi="宋体" w:cs="宋体"/>
          <w:sz w:val="23"/>
          <w:szCs w:val="23"/>
          <w:highlight w:val="none"/>
        </w:rPr>
      </w:pPr>
    </w:p>
    <w:tbl>
      <w:tblPr>
        <w:tblStyle w:val="22"/>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6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项目名称</w:t>
            </w:r>
          </w:p>
        </w:tc>
        <w:tc>
          <w:tcPr>
            <w:tcW w:w="625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项目所在地</w:t>
            </w:r>
          </w:p>
        </w:tc>
        <w:tc>
          <w:tcPr>
            <w:tcW w:w="625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发包人名称</w:t>
            </w:r>
          </w:p>
        </w:tc>
        <w:tc>
          <w:tcPr>
            <w:tcW w:w="625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发包人地址</w:t>
            </w:r>
          </w:p>
        </w:tc>
        <w:tc>
          <w:tcPr>
            <w:tcW w:w="625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发包人电话</w:t>
            </w:r>
          </w:p>
        </w:tc>
        <w:tc>
          <w:tcPr>
            <w:tcW w:w="625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合同价格</w:t>
            </w:r>
          </w:p>
        </w:tc>
        <w:tc>
          <w:tcPr>
            <w:tcW w:w="625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开工日期</w:t>
            </w:r>
          </w:p>
        </w:tc>
        <w:tc>
          <w:tcPr>
            <w:tcW w:w="625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7"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highlight w:val="none"/>
              </w:rPr>
              <w:t>竣工</w:t>
            </w:r>
            <w:r>
              <w:rPr>
                <w:rFonts w:hint="eastAsia" w:ascii="宋体" w:hAnsi="宋体" w:cs="宋体"/>
                <w:szCs w:val="21"/>
                <w:highlight w:val="none"/>
              </w:rPr>
              <w:t>日期</w:t>
            </w:r>
          </w:p>
        </w:tc>
        <w:tc>
          <w:tcPr>
            <w:tcW w:w="625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承担的工作</w:t>
            </w:r>
          </w:p>
        </w:tc>
        <w:tc>
          <w:tcPr>
            <w:tcW w:w="625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工程质量</w:t>
            </w:r>
          </w:p>
        </w:tc>
        <w:tc>
          <w:tcPr>
            <w:tcW w:w="625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项目经理</w:t>
            </w:r>
          </w:p>
        </w:tc>
        <w:tc>
          <w:tcPr>
            <w:tcW w:w="625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技术负责人</w:t>
            </w:r>
          </w:p>
        </w:tc>
        <w:tc>
          <w:tcPr>
            <w:tcW w:w="625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项目描述</w:t>
            </w:r>
          </w:p>
        </w:tc>
        <w:tc>
          <w:tcPr>
            <w:tcW w:w="6253" w:type="dxa"/>
            <w:vAlign w:val="top"/>
          </w:tcPr>
          <w:p>
            <w:pPr>
              <w:topLinePunct/>
              <w:spacing w:line="440" w:lineRule="exact"/>
              <w:rPr>
                <w:rFonts w:ascii="宋体" w:hAnsi="宋体" w:cs="宋体"/>
                <w:szCs w:val="21"/>
                <w:highlight w:val="none"/>
              </w:rPr>
            </w:pPr>
          </w:p>
          <w:p>
            <w:pPr>
              <w:topLinePunct/>
              <w:spacing w:line="440" w:lineRule="exact"/>
              <w:rPr>
                <w:rFonts w:ascii="宋体" w:hAnsi="宋体" w:cs="宋体"/>
                <w:szCs w:val="21"/>
                <w:highlight w:val="none"/>
              </w:rPr>
            </w:pPr>
          </w:p>
          <w:p>
            <w:pPr>
              <w:topLinePunct/>
              <w:spacing w:line="440" w:lineRule="exact"/>
              <w:rPr>
                <w:rFonts w:ascii="宋体" w:hAnsi="宋体" w:cs="宋体"/>
                <w:szCs w:val="21"/>
                <w:highlight w:val="none"/>
              </w:rPr>
            </w:pPr>
          </w:p>
          <w:p>
            <w:pPr>
              <w:topLinePunct/>
              <w:spacing w:line="440" w:lineRule="exact"/>
              <w:rPr>
                <w:rFonts w:ascii="宋体" w:hAnsi="宋体" w:cs="宋体"/>
                <w:szCs w:val="21"/>
                <w:highlight w:val="none"/>
              </w:rPr>
            </w:pPr>
          </w:p>
          <w:p>
            <w:pPr>
              <w:topLinePunct/>
              <w:spacing w:line="440" w:lineRule="exact"/>
              <w:rPr>
                <w:rFonts w:ascii="宋体" w:hAnsi="宋体" w:cs="宋体"/>
                <w:szCs w:val="21"/>
                <w:highlight w:val="none"/>
              </w:rPr>
            </w:pPr>
          </w:p>
          <w:p>
            <w:pPr>
              <w:topLinePunct/>
              <w:spacing w:line="440" w:lineRule="exact"/>
              <w:rPr>
                <w:rFonts w:ascii="宋体" w:hAnsi="宋体" w:cs="宋体"/>
                <w:szCs w:val="21"/>
                <w:highlight w:val="none"/>
              </w:rPr>
            </w:pPr>
          </w:p>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jc w:val="center"/>
        </w:trPr>
        <w:tc>
          <w:tcPr>
            <w:tcW w:w="226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备注</w:t>
            </w:r>
          </w:p>
        </w:tc>
        <w:tc>
          <w:tcPr>
            <w:tcW w:w="6253" w:type="dxa"/>
            <w:vAlign w:val="top"/>
          </w:tcPr>
          <w:p>
            <w:pPr>
              <w:topLinePunct/>
              <w:spacing w:line="440" w:lineRule="exact"/>
              <w:rPr>
                <w:rFonts w:ascii="宋体" w:hAnsi="宋体" w:cs="宋体"/>
                <w:szCs w:val="21"/>
                <w:highlight w:val="none"/>
              </w:rPr>
            </w:pPr>
          </w:p>
        </w:tc>
      </w:tr>
    </w:tbl>
    <w:p>
      <w:pPr>
        <w:spacing w:line="44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spacing w:line="220" w:lineRule="exact"/>
        <w:rPr>
          <w:rFonts w:ascii="宋体" w:hAnsi="宋体" w:cs="宋体"/>
          <w:sz w:val="23"/>
          <w:szCs w:val="23"/>
          <w:highlight w:val="none"/>
        </w:rPr>
      </w:pPr>
    </w:p>
    <w:p>
      <w:pPr>
        <w:keepNext/>
        <w:keepLines/>
        <w:spacing w:line="416" w:lineRule="auto"/>
        <w:jc w:val="center"/>
        <w:rPr>
          <w:rFonts w:ascii="宋体" w:hAnsi="宋体" w:cs="宋体"/>
          <w:b/>
          <w:bCs/>
          <w:sz w:val="28"/>
          <w:szCs w:val="28"/>
          <w:highlight w:val="none"/>
        </w:rPr>
      </w:pPr>
      <w:bookmarkStart w:id="1452" w:name="_Toc152042600"/>
      <w:bookmarkStart w:id="1453" w:name="_Toc144974879"/>
      <w:bookmarkStart w:id="1454" w:name="_Toc152045811"/>
      <w:bookmarkStart w:id="1455" w:name="_Toc247514303"/>
      <w:bookmarkStart w:id="1456" w:name="_Toc265953297"/>
      <w:bookmarkStart w:id="1457" w:name="_Toc247527851"/>
      <w:r>
        <w:rPr>
          <w:rFonts w:hint="eastAsia" w:ascii="宋体" w:hAnsi="宋体" w:cs="宋体"/>
          <w:b/>
          <w:bCs/>
          <w:sz w:val="28"/>
          <w:szCs w:val="28"/>
          <w:highlight w:val="none"/>
        </w:rPr>
        <w:t>（四）正在实施的和新承接的项目情况表</w:t>
      </w:r>
      <w:bookmarkEnd w:id="1452"/>
      <w:bookmarkEnd w:id="1453"/>
      <w:bookmarkEnd w:id="1454"/>
      <w:bookmarkEnd w:id="1455"/>
      <w:bookmarkEnd w:id="1456"/>
      <w:bookmarkEnd w:id="1457"/>
    </w:p>
    <w:p>
      <w:pPr>
        <w:spacing w:line="440" w:lineRule="exact"/>
        <w:rPr>
          <w:rFonts w:ascii="宋体" w:hAnsi="宋体" w:cs="宋体"/>
          <w:highlight w:val="none"/>
        </w:rPr>
      </w:pPr>
    </w:p>
    <w:tbl>
      <w:tblPr>
        <w:tblStyle w:val="22"/>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9"/>
        <w:gridCol w:w="6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项目名称</w:t>
            </w:r>
          </w:p>
        </w:tc>
        <w:tc>
          <w:tcPr>
            <w:tcW w:w="640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项目所在地</w:t>
            </w:r>
          </w:p>
        </w:tc>
        <w:tc>
          <w:tcPr>
            <w:tcW w:w="640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发包人名称</w:t>
            </w:r>
          </w:p>
        </w:tc>
        <w:tc>
          <w:tcPr>
            <w:tcW w:w="640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发包人地址</w:t>
            </w:r>
          </w:p>
        </w:tc>
        <w:tc>
          <w:tcPr>
            <w:tcW w:w="640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发包人电话</w:t>
            </w:r>
          </w:p>
        </w:tc>
        <w:tc>
          <w:tcPr>
            <w:tcW w:w="640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签约合同价</w:t>
            </w:r>
          </w:p>
        </w:tc>
        <w:tc>
          <w:tcPr>
            <w:tcW w:w="640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开工日期</w:t>
            </w:r>
          </w:p>
        </w:tc>
        <w:tc>
          <w:tcPr>
            <w:tcW w:w="640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7"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计划</w:t>
            </w:r>
            <w:r>
              <w:rPr>
                <w:rFonts w:hint="eastAsia" w:ascii="宋体" w:hAnsi="宋体" w:cs="宋体"/>
                <w:highlight w:val="none"/>
              </w:rPr>
              <w:t>竣工</w:t>
            </w:r>
            <w:r>
              <w:rPr>
                <w:rFonts w:hint="eastAsia" w:ascii="宋体" w:hAnsi="宋体" w:cs="宋体"/>
                <w:szCs w:val="21"/>
                <w:highlight w:val="none"/>
              </w:rPr>
              <w:t>日期</w:t>
            </w:r>
          </w:p>
        </w:tc>
        <w:tc>
          <w:tcPr>
            <w:tcW w:w="640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承担的工作</w:t>
            </w:r>
          </w:p>
        </w:tc>
        <w:tc>
          <w:tcPr>
            <w:tcW w:w="640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工程质量</w:t>
            </w:r>
          </w:p>
        </w:tc>
        <w:tc>
          <w:tcPr>
            <w:tcW w:w="640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项目经理</w:t>
            </w:r>
          </w:p>
        </w:tc>
        <w:tc>
          <w:tcPr>
            <w:tcW w:w="640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技术负责人</w:t>
            </w:r>
          </w:p>
        </w:tc>
        <w:tc>
          <w:tcPr>
            <w:tcW w:w="6403" w:type="dxa"/>
            <w:vAlign w:val="top"/>
          </w:tcPr>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项目描述</w:t>
            </w:r>
          </w:p>
        </w:tc>
        <w:tc>
          <w:tcPr>
            <w:tcW w:w="6403" w:type="dxa"/>
            <w:vAlign w:val="top"/>
          </w:tcPr>
          <w:p>
            <w:pPr>
              <w:topLinePunct/>
              <w:spacing w:line="440" w:lineRule="exact"/>
              <w:rPr>
                <w:rFonts w:ascii="宋体" w:hAnsi="宋体" w:cs="宋体"/>
                <w:szCs w:val="21"/>
                <w:highlight w:val="none"/>
              </w:rPr>
            </w:pPr>
          </w:p>
          <w:p>
            <w:pPr>
              <w:topLinePunct/>
              <w:spacing w:line="440" w:lineRule="exact"/>
              <w:rPr>
                <w:rFonts w:ascii="宋体" w:hAnsi="宋体" w:cs="宋体"/>
                <w:szCs w:val="21"/>
                <w:highlight w:val="none"/>
              </w:rPr>
            </w:pPr>
          </w:p>
          <w:p>
            <w:pPr>
              <w:topLinePunct/>
              <w:spacing w:line="440" w:lineRule="exact"/>
              <w:rPr>
                <w:rFonts w:ascii="宋体" w:hAnsi="宋体" w:cs="宋体"/>
                <w:szCs w:val="21"/>
                <w:highlight w:val="none"/>
              </w:rPr>
            </w:pPr>
          </w:p>
          <w:p>
            <w:pPr>
              <w:topLinePunct/>
              <w:spacing w:line="440" w:lineRule="exact"/>
              <w:rPr>
                <w:rFonts w:ascii="宋体" w:hAnsi="宋体" w:cs="宋体"/>
                <w:szCs w:val="21"/>
                <w:highlight w:val="none"/>
              </w:rPr>
            </w:pPr>
          </w:p>
          <w:p>
            <w:pPr>
              <w:topLinePunct/>
              <w:spacing w:line="440" w:lineRule="exact"/>
              <w:rPr>
                <w:rFonts w:ascii="宋体" w:hAnsi="宋体" w:cs="宋体"/>
                <w:szCs w:val="21"/>
                <w:highlight w:val="none"/>
              </w:rPr>
            </w:pPr>
          </w:p>
          <w:p>
            <w:pPr>
              <w:topLinePunct/>
              <w:spacing w:line="440" w:lineRule="exact"/>
              <w:rPr>
                <w:rFonts w:ascii="宋体" w:hAnsi="宋体" w:cs="宋体"/>
                <w:szCs w:val="21"/>
                <w:highlight w:val="none"/>
              </w:rPr>
            </w:pPr>
          </w:p>
          <w:p>
            <w:pPr>
              <w:topLinePunct/>
              <w:spacing w:line="440" w:lineRule="exact"/>
              <w:rPr>
                <w:rFonts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jc w:val="center"/>
        </w:trPr>
        <w:tc>
          <w:tcPr>
            <w:tcW w:w="2119" w:type="dxa"/>
            <w:vAlign w:val="center"/>
          </w:tcPr>
          <w:p>
            <w:pPr>
              <w:topLinePunct/>
              <w:spacing w:line="440" w:lineRule="exact"/>
              <w:jc w:val="center"/>
              <w:rPr>
                <w:rFonts w:ascii="宋体" w:hAnsi="宋体" w:cs="宋体"/>
                <w:szCs w:val="21"/>
                <w:highlight w:val="none"/>
              </w:rPr>
            </w:pPr>
            <w:r>
              <w:rPr>
                <w:rFonts w:hint="eastAsia" w:ascii="宋体" w:hAnsi="宋体" w:cs="宋体"/>
                <w:szCs w:val="21"/>
                <w:highlight w:val="none"/>
              </w:rPr>
              <w:t>备注</w:t>
            </w:r>
          </w:p>
        </w:tc>
        <w:tc>
          <w:tcPr>
            <w:tcW w:w="6403" w:type="dxa"/>
            <w:vAlign w:val="top"/>
          </w:tcPr>
          <w:p>
            <w:pPr>
              <w:topLinePunct/>
              <w:spacing w:line="440" w:lineRule="exact"/>
              <w:rPr>
                <w:rFonts w:ascii="宋体" w:hAnsi="宋体" w:cs="宋体"/>
                <w:szCs w:val="21"/>
                <w:highlight w:val="none"/>
              </w:rPr>
            </w:pPr>
          </w:p>
        </w:tc>
      </w:tr>
    </w:tbl>
    <w:p>
      <w:pPr>
        <w:spacing w:line="440" w:lineRule="exact"/>
        <w:rPr>
          <w:rFonts w:ascii="宋体" w:hAnsi="宋体" w:cs="宋体"/>
          <w:highlight w:val="none"/>
        </w:rPr>
      </w:pPr>
    </w:p>
    <w:bookmarkEnd w:id="1442"/>
    <w:bookmarkEnd w:id="1443"/>
    <w:bookmarkEnd w:id="1444"/>
    <w:bookmarkEnd w:id="1445"/>
    <w:p>
      <w:pPr>
        <w:keepNext/>
        <w:keepLines/>
        <w:spacing w:line="416" w:lineRule="auto"/>
        <w:jc w:val="both"/>
        <w:rPr>
          <w:rFonts w:ascii="宋体" w:hAnsi="宋体" w:cs="宋体"/>
          <w:b/>
          <w:bCs/>
          <w:sz w:val="28"/>
          <w:szCs w:val="28"/>
          <w:highlight w:val="none"/>
        </w:rPr>
      </w:pPr>
    </w:p>
    <w:p>
      <w:pPr>
        <w:keepNext/>
        <w:keepLines/>
        <w:spacing w:line="416" w:lineRule="auto"/>
        <w:jc w:val="center"/>
        <w:rPr>
          <w:rFonts w:ascii="宋体" w:hAnsi="宋体" w:cs="宋体"/>
          <w:b/>
          <w:bCs/>
          <w:sz w:val="28"/>
          <w:szCs w:val="28"/>
          <w:highlight w:val="none"/>
        </w:rPr>
      </w:pPr>
      <w:r>
        <w:rPr>
          <w:rFonts w:hint="eastAsia" w:ascii="宋体" w:hAnsi="宋体" w:cs="宋体"/>
          <w:b/>
          <w:bCs/>
          <w:sz w:val="28"/>
          <w:szCs w:val="28"/>
          <w:highlight w:val="none"/>
        </w:rPr>
        <w:t>（五）其他资格审查资料</w:t>
      </w:r>
    </w:p>
    <w:p>
      <w:pPr>
        <w:widowControl w:val="0"/>
        <w:wordWrap/>
        <w:autoSpaceDE w:val="0"/>
        <w:autoSpaceDN w:val="0"/>
        <w:snapToGrid/>
        <w:spacing w:line="480" w:lineRule="exact"/>
        <w:jc w:val="center"/>
        <w:textAlignment w:val="auto"/>
        <w:outlineLvl w:val="9"/>
        <w:rPr>
          <w:rFonts w:hint="eastAsia" w:ascii="宋体" w:hAnsi="宋体" w:cs="宋体"/>
          <w:b/>
          <w:highlight w:val="none"/>
        </w:rPr>
      </w:pPr>
    </w:p>
    <w:p>
      <w:pPr>
        <w:keepNext w:val="0"/>
        <w:keepLines w:val="0"/>
        <w:pageBreakBefore w:val="0"/>
        <w:widowControl w:val="0"/>
        <w:kinsoku/>
        <w:wordWrap/>
        <w:overflowPunct/>
        <w:topLinePunct w:val="0"/>
        <w:autoSpaceDE w:val="0"/>
        <w:autoSpaceDN w:val="0"/>
        <w:bidi w:val="0"/>
        <w:snapToGrid/>
        <w:spacing w:line="480" w:lineRule="exact"/>
        <w:jc w:val="center"/>
        <w:textAlignment w:val="auto"/>
        <w:outlineLvl w:val="9"/>
        <w:rPr>
          <w:rFonts w:ascii="宋体" w:hAnsi="宋体" w:cs="宋体"/>
          <w:b/>
          <w:highlight w:val="none"/>
        </w:rPr>
      </w:pPr>
      <w:r>
        <w:rPr>
          <w:rFonts w:hint="eastAsia" w:ascii="宋体" w:hAnsi="宋体" w:cs="宋体"/>
          <w:b/>
          <w:highlight w:val="none"/>
        </w:rPr>
        <w:t>投标人须知前附表3.1.1“构成投标文件的其他材料”</w:t>
      </w:r>
    </w:p>
    <w:p>
      <w:pPr>
        <w:keepNext w:val="0"/>
        <w:keepLines w:val="0"/>
        <w:pageBreakBefore w:val="0"/>
        <w:widowControl w:val="0"/>
        <w:kinsoku/>
        <w:wordWrap/>
        <w:overflowPunct/>
        <w:topLinePunct w:val="0"/>
        <w:autoSpaceDE w:val="0"/>
        <w:autoSpaceDN w:val="0"/>
        <w:bidi w:val="0"/>
        <w:snapToGrid/>
        <w:spacing w:line="480" w:lineRule="exact"/>
        <w:jc w:val="left"/>
        <w:textAlignment w:val="auto"/>
        <w:outlineLvl w:val="9"/>
        <w:rPr>
          <w:rFonts w:ascii="宋体" w:hAnsi="宋体" w:cs="宋体"/>
          <w:b/>
          <w:highlight w:val="none"/>
        </w:rPr>
      </w:pPr>
      <w:r>
        <w:rPr>
          <w:rFonts w:hint="eastAsia" w:ascii="宋体" w:hAnsi="宋体" w:cs="宋体"/>
          <w:b/>
          <w:highlight w:val="none"/>
        </w:rPr>
        <w:t>1.出具的项目经理、五大员的劳动关系证明。</w:t>
      </w:r>
    </w:p>
    <w:p>
      <w:pPr>
        <w:keepNext w:val="0"/>
        <w:keepLines w:val="0"/>
        <w:pageBreakBefore w:val="0"/>
        <w:widowControl w:val="0"/>
        <w:kinsoku/>
        <w:wordWrap/>
        <w:overflowPunct/>
        <w:topLinePunct w:val="0"/>
        <w:autoSpaceDE w:val="0"/>
        <w:autoSpaceDN w:val="0"/>
        <w:bidi w:val="0"/>
        <w:snapToGrid/>
        <w:spacing w:line="480" w:lineRule="exact"/>
        <w:jc w:val="left"/>
        <w:textAlignment w:val="auto"/>
        <w:outlineLvl w:val="9"/>
        <w:rPr>
          <w:rFonts w:ascii="宋体" w:hAnsi="宋体" w:cs="宋体"/>
          <w:b/>
          <w:highlight w:val="none"/>
        </w:rPr>
      </w:pPr>
      <w:r>
        <w:rPr>
          <w:rFonts w:hint="eastAsia" w:ascii="宋体" w:hAnsi="宋体" w:cs="宋体"/>
          <w:b/>
          <w:highlight w:val="none"/>
          <w:lang w:val="en-US" w:eastAsia="zh-CN"/>
        </w:rPr>
        <w:t>2</w:t>
      </w:r>
      <w:r>
        <w:rPr>
          <w:rFonts w:hint="eastAsia" w:ascii="宋体" w:hAnsi="宋体" w:cs="宋体"/>
          <w:b/>
          <w:highlight w:val="none"/>
        </w:rPr>
        <w:t>.不拖欠农民工工资的承诺（格式自拟，内容符合招标文件第二章前附表9.1</w:t>
      </w:r>
      <w:r>
        <w:rPr>
          <w:rFonts w:hint="eastAsia" w:ascii="宋体" w:hAnsi="宋体" w:cs="宋体"/>
          <w:b/>
          <w:highlight w:val="none"/>
          <w:lang w:val="en-US" w:eastAsia="zh-CN"/>
        </w:rPr>
        <w:t>2</w:t>
      </w:r>
      <w:r>
        <w:rPr>
          <w:rFonts w:hint="eastAsia" w:ascii="宋体" w:hAnsi="宋体" w:cs="宋体"/>
          <w:b/>
          <w:highlight w:val="none"/>
        </w:rPr>
        <w:t>的要求）</w:t>
      </w:r>
      <w:r>
        <w:rPr>
          <w:rFonts w:hint="eastAsia" w:ascii="宋体" w:hAnsi="宋体" w:cs="宋体"/>
          <w:b/>
          <w:highlight w:val="none"/>
          <w:lang w:eastAsia="zh-CN"/>
        </w:rPr>
        <w:t>。</w:t>
      </w:r>
    </w:p>
    <w:p>
      <w:pPr>
        <w:keepNext w:val="0"/>
        <w:keepLines w:val="0"/>
        <w:pageBreakBefore w:val="0"/>
        <w:widowControl w:val="0"/>
        <w:kinsoku/>
        <w:wordWrap/>
        <w:overflowPunct/>
        <w:topLinePunct w:val="0"/>
        <w:autoSpaceDE w:val="0"/>
        <w:autoSpaceDN w:val="0"/>
        <w:bidi w:val="0"/>
        <w:snapToGrid/>
        <w:spacing w:line="480" w:lineRule="exact"/>
        <w:jc w:val="left"/>
        <w:textAlignment w:val="auto"/>
        <w:outlineLvl w:val="9"/>
        <w:rPr>
          <w:rFonts w:ascii="宋体" w:hAnsi="宋体" w:cs="宋体"/>
          <w:b/>
          <w:highlight w:val="none"/>
        </w:rPr>
      </w:pPr>
      <w:r>
        <w:rPr>
          <w:rFonts w:hint="eastAsia" w:ascii="宋体" w:hAnsi="宋体" w:cs="宋体"/>
          <w:b/>
          <w:highlight w:val="none"/>
          <w:lang w:val="en-US" w:eastAsia="zh-CN"/>
        </w:rPr>
        <w:t>3</w:t>
      </w:r>
      <w:r>
        <w:rPr>
          <w:rFonts w:hint="eastAsia" w:ascii="宋体" w:hAnsi="宋体" w:cs="宋体"/>
          <w:b/>
          <w:highlight w:val="none"/>
        </w:rPr>
        <w:t>.对项目经理无在建承诺（格式自拟，内容符合招标文件第二章前附表1.4.1的要求）</w:t>
      </w:r>
      <w:r>
        <w:rPr>
          <w:rFonts w:hint="eastAsia" w:ascii="宋体" w:hAnsi="宋体" w:cs="宋体"/>
          <w:b/>
          <w:highlight w:val="none"/>
          <w:lang w:eastAsia="zh-CN"/>
        </w:rPr>
        <w:t>。</w:t>
      </w:r>
    </w:p>
    <w:p>
      <w:pPr>
        <w:keepNext w:val="0"/>
        <w:keepLines w:val="0"/>
        <w:pageBreakBefore w:val="0"/>
        <w:widowControl w:val="0"/>
        <w:kinsoku/>
        <w:wordWrap/>
        <w:overflowPunct/>
        <w:topLinePunct w:val="0"/>
        <w:autoSpaceDE w:val="0"/>
        <w:autoSpaceDN w:val="0"/>
        <w:bidi w:val="0"/>
        <w:snapToGrid/>
        <w:spacing w:line="480" w:lineRule="exact"/>
        <w:jc w:val="left"/>
        <w:textAlignment w:val="auto"/>
        <w:outlineLvl w:val="9"/>
        <w:rPr>
          <w:rFonts w:ascii="宋体" w:hAnsi="宋体" w:cs="宋体"/>
          <w:b/>
          <w:highlight w:val="none"/>
        </w:rPr>
      </w:pPr>
      <w:r>
        <w:rPr>
          <w:rFonts w:hint="eastAsia" w:ascii="宋体" w:hAnsi="宋体" w:cs="宋体"/>
          <w:b/>
          <w:highlight w:val="none"/>
          <w:lang w:val="en-US" w:eastAsia="zh-CN"/>
        </w:rPr>
        <w:t>4</w:t>
      </w:r>
      <w:r>
        <w:rPr>
          <w:rFonts w:hint="eastAsia" w:ascii="宋体" w:hAnsi="宋体" w:cs="宋体"/>
          <w:b/>
          <w:highlight w:val="none"/>
        </w:rPr>
        <w:t>.信誉要求（自201</w:t>
      </w:r>
      <w:r>
        <w:rPr>
          <w:rFonts w:hint="eastAsia" w:ascii="宋体" w:hAnsi="宋体" w:cs="宋体"/>
          <w:b/>
          <w:highlight w:val="none"/>
          <w:lang w:val="en-US" w:eastAsia="zh-CN"/>
        </w:rPr>
        <w:t>6</w:t>
      </w:r>
      <w:r>
        <w:rPr>
          <w:rFonts w:hint="eastAsia" w:ascii="宋体" w:hAnsi="宋体" w:cs="宋体"/>
          <w:b/>
          <w:highlight w:val="none"/>
        </w:rPr>
        <w:t>年以来主要针对企业以往履约情况不少于一个（业主证明），格式自拟，内容符合招标文件第二章前附表1.4.1的要求）</w:t>
      </w:r>
      <w:r>
        <w:rPr>
          <w:rFonts w:hint="eastAsia" w:ascii="宋体" w:hAnsi="宋体" w:cs="宋体"/>
          <w:b/>
          <w:highlight w:val="none"/>
          <w:lang w:eastAsia="zh-CN"/>
        </w:rPr>
        <w:t>。</w:t>
      </w:r>
    </w:p>
    <w:p>
      <w:pPr>
        <w:keepNext w:val="0"/>
        <w:keepLines w:val="0"/>
        <w:pageBreakBefore w:val="0"/>
        <w:widowControl w:val="0"/>
        <w:kinsoku/>
        <w:wordWrap/>
        <w:overflowPunct/>
        <w:topLinePunct w:val="0"/>
        <w:autoSpaceDE w:val="0"/>
        <w:autoSpaceDN w:val="0"/>
        <w:bidi w:val="0"/>
        <w:snapToGrid/>
        <w:spacing w:line="480" w:lineRule="exact"/>
        <w:jc w:val="left"/>
        <w:textAlignment w:val="auto"/>
        <w:outlineLvl w:val="9"/>
        <w:rPr>
          <w:rFonts w:hint="eastAsia" w:ascii="宋体" w:hAnsi="宋体" w:cs="宋体"/>
          <w:b/>
          <w:highlight w:val="none"/>
          <w:lang w:eastAsia="zh-CN"/>
        </w:rPr>
      </w:pPr>
      <w:r>
        <w:rPr>
          <w:rFonts w:hint="eastAsia" w:ascii="宋体" w:hAnsi="宋体" w:cs="宋体"/>
          <w:b/>
          <w:highlight w:val="none"/>
          <w:lang w:val="en-US" w:eastAsia="zh-CN"/>
        </w:rPr>
        <w:t>5</w:t>
      </w:r>
      <w:r>
        <w:rPr>
          <w:rFonts w:hint="eastAsia" w:ascii="宋体" w:hAnsi="宋体" w:cs="宋体"/>
          <w:b/>
          <w:highlight w:val="none"/>
        </w:rPr>
        <w:t>.对诚信要求作出承诺（符合第二章“投标人须知前附表”第1.4.1项规定，格式自拟）</w:t>
      </w:r>
      <w:r>
        <w:rPr>
          <w:rFonts w:hint="eastAsia" w:ascii="宋体" w:hAnsi="宋体" w:cs="宋体"/>
          <w:b/>
          <w:highlight w:val="none"/>
          <w:lang w:eastAsia="zh-CN"/>
        </w:rPr>
        <w:t>。</w:t>
      </w:r>
    </w:p>
    <w:p>
      <w:pPr>
        <w:pStyle w:val="26"/>
        <w:keepNext w:val="0"/>
        <w:keepLines w:val="0"/>
        <w:pageBreakBefore w:val="0"/>
        <w:widowControl w:val="0"/>
        <w:kinsoku/>
        <w:wordWrap/>
        <w:overflowPunct/>
        <w:topLinePunct w:val="0"/>
        <w:autoSpaceDE w:val="0"/>
        <w:autoSpaceDN w:val="0"/>
        <w:bidi w:val="0"/>
        <w:snapToGrid/>
        <w:spacing w:line="480" w:lineRule="exact"/>
        <w:textAlignment w:val="auto"/>
        <w:outlineLvl w:val="9"/>
        <w:rPr>
          <w:rFonts w:hint="eastAsia" w:ascii="宋体" w:hAnsi="宋体" w:eastAsia="宋体" w:cs="宋体"/>
          <w:b/>
          <w:kern w:val="0"/>
          <w:sz w:val="21"/>
          <w:szCs w:val="22"/>
          <w:highlight w:val="none"/>
          <w:lang w:val="en-US" w:eastAsia="zh-CN" w:bidi="ar-SA"/>
        </w:rPr>
      </w:pPr>
      <w:r>
        <w:rPr>
          <w:rFonts w:hint="eastAsia" w:ascii="宋体" w:hAnsi="宋体" w:eastAsia="宋体" w:cs="宋体"/>
          <w:b/>
          <w:kern w:val="0"/>
          <w:sz w:val="21"/>
          <w:szCs w:val="22"/>
          <w:highlight w:val="none"/>
          <w:lang w:val="en-US" w:eastAsia="zh-CN" w:bidi="ar-SA"/>
        </w:rPr>
        <w:t>6.</w:t>
      </w:r>
      <w:r>
        <w:rPr>
          <w:rFonts w:hint="eastAsia" w:hAnsi="宋体" w:cs="宋体"/>
          <w:b/>
          <w:kern w:val="0"/>
          <w:sz w:val="21"/>
          <w:szCs w:val="22"/>
          <w:highlight w:val="none"/>
          <w:lang w:val="en-US" w:eastAsia="zh-CN" w:bidi="ar-SA"/>
        </w:rPr>
        <w:t>对</w:t>
      </w:r>
      <w:r>
        <w:rPr>
          <w:rFonts w:hint="eastAsia" w:ascii="宋体" w:hAnsi="宋体" w:eastAsia="宋体" w:cs="宋体"/>
          <w:b/>
          <w:kern w:val="0"/>
          <w:sz w:val="21"/>
          <w:szCs w:val="22"/>
          <w:highlight w:val="none"/>
          <w:lang w:val="en-US" w:eastAsia="zh-CN" w:bidi="ar-SA"/>
        </w:rPr>
        <w:t>建设工地扬尘污染防治要求的承诺（格式自拟，内容符合招标文件第二章前附表9.15的要求）</w:t>
      </w:r>
    </w:p>
    <w:p>
      <w:pPr>
        <w:pStyle w:val="26"/>
        <w:keepNext w:val="0"/>
        <w:keepLines w:val="0"/>
        <w:pageBreakBefore w:val="0"/>
        <w:widowControl w:val="0"/>
        <w:kinsoku/>
        <w:wordWrap/>
        <w:overflowPunct/>
        <w:topLinePunct w:val="0"/>
        <w:autoSpaceDE w:val="0"/>
        <w:autoSpaceDN w:val="0"/>
        <w:bidi w:val="0"/>
        <w:snapToGrid/>
        <w:spacing w:line="480" w:lineRule="exact"/>
        <w:textAlignment w:val="auto"/>
        <w:outlineLvl w:val="9"/>
        <w:rPr>
          <w:rFonts w:hint="eastAsia" w:ascii="宋体" w:hAnsi="宋体" w:eastAsia="宋体" w:cs="宋体"/>
          <w:b/>
          <w:kern w:val="0"/>
          <w:sz w:val="21"/>
          <w:szCs w:val="22"/>
          <w:highlight w:val="none"/>
          <w:lang w:val="en-US" w:eastAsia="zh-CN" w:bidi="ar-SA"/>
        </w:rPr>
      </w:pPr>
      <w:r>
        <w:rPr>
          <w:rFonts w:hint="eastAsia" w:hAnsi="宋体" w:cs="宋体"/>
          <w:b/>
          <w:kern w:val="0"/>
          <w:sz w:val="21"/>
          <w:szCs w:val="22"/>
          <w:highlight w:val="none"/>
          <w:lang w:val="en-US" w:eastAsia="zh-CN" w:bidi="ar-SA"/>
        </w:rPr>
        <w:t>7.</w:t>
      </w:r>
      <w:r>
        <w:rPr>
          <w:rFonts w:hint="eastAsia" w:ascii="宋体" w:hAnsi="宋体" w:eastAsia="宋体" w:cs="宋体"/>
          <w:b/>
          <w:kern w:val="0"/>
          <w:sz w:val="21"/>
          <w:szCs w:val="22"/>
          <w:highlight w:val="none"/>
          <w:lang w:val="en-US" w:eastAsia="zh-CN" w:bidi="ar-SA"/>
        </w:rPr>
        <w:t>投</w:t>
      </w:r>
      <w:r>
        <w:rPr>
          <w:rFonts w:hint="eastAsia" w:hAnsi="宋体" w:cs="宋体"/>
          <w:b/>
          <w:kern w:val="0"/>
          <w:sz w:val="21"/>
          <w:szCs w:val="22"/>
          <w:highlight w:val="none"/>
          <w:lang w:val="en-US" w:eastAsia="zh-CN" w:bidi="ar-SA"/>
        </w:rPr>
        <w:t>标人</w:t>
      </w:r>
      <w:r>
        <w:rPr>
          <w:rFonts w:hint="eastAsia" w:ascii="宋体" w:hAnsi="宋体" w:eastAsia="宋体" w:cs="宋体"/>
          <w:b/>
          <w:kern w:val="0"/>
          <w:sz w:val="21"/>
          <w:szCs w:val="22"/>
          <w:highlight w:val="none"/>
          <w:lang w:val="en-US" w:eastAsia="zh-CN" w:bidi="ar-SA"/>
        </w:rPr>
        <w:t>需提供无行贿犯罪记录承诺书。（出具由“中国裁判文书网”网站查询近三年来法人、法定代表人、法定代表人委托人、项目经理无行贿犯罪记录网页截图加盖企业公章证明），若有行贿犯罪记录则取消其投标资格；</w:t>
      </w:r>
    </w:p>
    <w:p>
      <w:pPr>
        <w:keepNext w:val="0"/>
        <w:keepLines w:val="0"/>
        <w:pageBreakBefore w:val="0"/>
        <w:widowControl w:val="0"/>
        <w:kinsoku/>
        <w:wordWrap/>
        <w:overflowPunct/>
        <w:topLinePunct w:val="0"/>
        <w:autoSpaceDE w:val="0"/>
        <w:autoSpaceDN w:val="0"/>
        <w:bidi w:val="0"/>
        <w:snapToGrid/>
        <w:spacing w:line="480" w:lineRule="exact"/>
        <w:jc w:val="left"/>
        <w:textAlignment w:val="auto"/>
        <w:outlineLvl w:val="9"/>
        <w:rPr>
          <w:rFonts w:ascii="宋体" w:hAnsi="宋体" w:cs="宋体"/>
          <w:b/>
          <w:highlight w:val="none"/>
        </w:rPr>
      </w:pPr>
      <w:r>
        <w:rPr>
          <w:rFonts w:hint="eastAsia" w:ascii="宋体" w:hAnsi="宋体" w:cs="宋体"/>
          <w:b/>
          <w:highlight w:val="none"/>
          <w:lang w:val="en-US" w:eastAsia="zh-CN"/>
        </w:rPr>
        <w:t>8</w:t>
      </w:r>
      <w:r>
        <w:rPr>
          <w:rFonts w:hint="eastAsia" w:ascii="宋体" w:hAnsi="宋体" w:cs="宋体"/>
          <w:b/>
          <w:highlight w:val="none"/>
        </w:rPr>
        <w:t>.投标人认为应该具备的其他材料</w:t>
      </w:r>
      <w:r>
        <w:rPr>
          <w:rFonts w:hint="eastAsia" w:ascii="宋体" w:hAnsi="宋体" w:cs="宋体"/>
          <w:b/>
          <w:highlight w:val="none"/>
          <w:lang w:eastAsia="zh-CN"/>
        </w:rPr>
        <w:t>。</w:t>
      </w:r>
    </w:p>
    <w:p>
      <w:pPr>
        <w:rPr>
          <w:rFonts w:ascii="宋体" w:hAnsi="宋体" w:cs="宋体"/>
          <w:highlight w:val="none"/>
        </w:rPr>
      </w:pPr>
    </w:p>
    <w:p>
      <w:pPr>
        <w:pStyle w:val="9"/>
        <w:rPr>
          <w:rFonts w:ascii="宋体" w:eastAsia="宋体" w:cs="宋体"/>
          <w:highlight w:val="none"/>
        </w:rPr>
      </w:pPr>
    </w:p>
    <w:p>
      <w:pPr>
        <w:pStyle w:val="9"/>
        <w:rPr>
          <w:rFonts w:ascii="宋体" w:eastAsia="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ascii="宋体" w:hAnsi="宋体" w:cs="宋体"/>
          <w:highlight w:val="none"/>
        </w:rPr>
      </w:pPr>
    </w:p>
    <w:p>
      <w:pPr>
        <w:rPr>
          <w:rFonts w:hint="eastAsia" w:ascii="宋体" w:hAnsi="宋体" w:cs="宋体"/>
          <w:highlight w:val="none"/>
        </w:rPr>
      </w:pPr>
    </w:p>
    <w:p>
      <w:pPr>
        <w:rPr>
          <w:rFonts w:hint="eastAsia" w:ascii="宋体" w:hAnsi="宋体" w:cs="宋体"/>
          <w:highlight w:val="none"/>
        </w:rPr>
      </w:pPr>
    </w:p>
    <w:p>
      <w:pPr>
        <w:rPr>
          <w:rFonts w:ascii="宋体" w:hAnsi="宋体" w:cs="宋体"/>
          <w:highlight w:val="none"/>
        </w:rPr>
      </w:pPr>
    </w:p>
    <w:p>
      <w:pPr>
        <w:keepNext/>
        <w:keepLines/>
        <w:spacing w:line="416" w:lineRule="auto"/>
        <w:jc w:val="center"/>
        <w:outlineLvl w:val="1"/>
        <w:rPr>
          <w:rFonts w:ascii="宋体" w:hAnsi="宋体" w:cs="宋体"/>
          <w:b/>
          <w:bCs/>
          <w:sz w:val="32"/>
          <w:szCs w:val="32"/>
          <w:highlight w:val="none"/>
        </w:rPr>
      </w:pPr>
      <w:bookmarkStart w:id="1458" w:name="_Toc30677"/>
      <w:bookmarkStart w:id="1459" w:name="_Toc13763"/>
      <w:r>
        <w:rPr>
          <w:rFonts w:hint="eastAsia" w:ascii="宋体" w:hAnsi="宋体" w:cs="宋体"/>
          <w:b/>
          <w:bCs/>
          <w:sz w:val="32"/>
          <w:szCs w:val="32"/>
          <w:highlight w:val="none"/>
        </w:rPr>
        <w:t>九、投标承诺</w:t>
      </w:r>
      <w:bookmarkEnd w:id="1458"/>
      <w:bookmarkEnd w:id="1459"/>
    </w:p>
    <w:p>
      <w:pPr>
        <w:autoSpaceDE w:val="0"/>
        <w:autoSpaceDN w:val="0"/>
        <w:spacing w:line="360" w:lineRule="auto"/>
        <w:jc w:val="center"/>
        <w:rPr>
          <w:rFonts w:ascii="宋体" w:hAnsi="宋体" w:cs="宋体"/>
          <w:color w:val="000000"/>
          <w:sz w:val="32"/>
          <w:szCs w:val="32"/>
          <w:highlight w:val="none"/>
        </w:rPr>
      </w:pPr>
      <w:r>
        <w:rPr>
          <w:rFonts w:hint="eastAsia" w:ascii="宋体" w:hAnsi="宋体" w:cs="宋体"/>
          <w:color w:val="000000"/>
          <w:sz w:val="32"/>
          <w:szCs w:val="32"/>
          <w:highlight w:val="none"/>
        </w:rPr>
        <w:t>承诺书</w:t>
      </w:r>
    </w:p>
    <w:p>
      <w:pPr>
        <w:autoSpaceDE w:val="0"/>
        <w:autoSpaceDN w:val="0"/>
        <w:spacing w:line="360" w:lineRule="auto"/>
        <w:jc w:val="center"/>
        <w:rPr>
          <w:rFonts w:ascii="宋体" w:hAnsi="宋体" w:cs="宋体"/>
          <w:color w:val="000000"/>
          <w:sz w:val="24"/>
          <w:szCs w:val="24"/>
          <w:highlight w:val="none"/>
        </w:rPr>
      </w:pPr>
    </w:p>
    <w:p>
      <w:pPr>
        <w:autoSpaceDE w:val="0"/>
        <w:autoSpaceDN w:val="0"/>
        <w:spacing w:line="360" w:lineRule="auto"/>
        <w:jc w:val="left"/>
        <w:rPr>
          <w:rFonts w:ascii="宋体" w:hAnsi="宋体" w:cs="宋体"/>
          <w:color w:val="000000"/>
          <w:sz w:val="28"/>
          <w:szCs w:val="28"/>
          <w:highlight w:val="none"/>
        </w:rPr>
      </w:pPr>
      <w:r>
        <w:rPr>
          <w:rFonts w:hint="eastAsia" w:ascii="宋体" w:hAnsi="宋体" w:cs="宋体"/>
          <w:color w:val="000000"/>
          <w:sz w:val="28"/>
          <w:szCs w:val="28"/>
          <w:highlight w:val="none"/>
        </w:rPr>
        <w:t xml:space="preserve">    我单位承诺，对本项目所提供的所有资料、文件，均真实有效；如有弄虚作假情况，愿承担相应法律责任。</w:t>
      </w:r>
    </w:p>
    <w:p>
      <w:pPr>
        <w:autoSpaceDE w:val="0"/>
        <w:autoSpaceDN w:val="0"/>
        <w:spacing w:line="360" w:lineRule="auto"/>
        <w:jc w:val="center"/>
        <w:rPr>
          <w:rFonts w:ascii="宋体" w:hAnsi="宋体" w:cs="宋体"/>
          <w:color w:val="000000"/>
          <w:sz w:val="28"/>
          <w:szCs w:val="28"/>
          <w:highlight w:val="none"/>
        </w:rPr>
      </w:pPr>
    </w:p>
    <w:p>
      <w:pPr>
        <w:autoSpaceDE w:val="0"/>
        <w:autoSpaceDN w:val="0"/>
        <w:spacing w:line="360" w:lineRule="auto"/>
        <w:jc w:val="center"/>
        <w:rPr>
          <w:rFonts w:ascii="宋体" w:hAnsi="宋体" w:cs="宋体"/>
          <w:color w:val="000000"/>
          <w:sz w:val="28"/>
          <w:szCs w:val="28"/>
          <w:highlight w:val="none"/>
        </w:rPr>
      </w:pPr>
    </w:p>
    <w:p>
      <w:pPr>
        <w:autoSpaceDE w:val="0"/>
        <w:autoSpaceDN w:val="0"/>
        <w:spacing w:line="360" w:lineRule="auto"/>
        <w:jc w:val="center"/>
        <w:rPr>
          <w:rFonts w:ascii="宋体" w:hAnsi="宋体" w:cs="宋体"/>
          <w:color w:val="000000"/>
          <w:sz w:val="28"/>
          <w:szCs w:val="28"/>
          <w:highlight w:val="none"/>
        </w:rPr>
      </w:pPr>
    </w:p>
    <w:p>
      <w:pPr>
        <w:autoSpaceDE w:val="0"/>
        <w:autoSpaceDN w:val="0"/>
        <w:spacing w:line="360" w:lineRule="auto"/>
        <w:jc w:val="center"/>
        <w:rPr>
          <w:rFonts w:ascii="宋体" w:hAnsi="宋体" w:cs="宋体"/>
          <w:color w:val="000000"/>
          <w:sz w:val="28"/>
          <w:szCs w:val="28"/>
          <w:highlight w:val="none"/>
        </w:rPr>
      </w:pPr>
      <w:r>
        <w:rPr>
          <w:rFonts w:hint="eastAsia" w:ascii="宋体" w:hAnsi="宋体" w:cs="宋体"/>
          <w:color w:val="000000"/>
          <w:sz w:val="28"/>
          <w:szCs w:val="28"/>
          <w:highlight w:val="none"/>
        </w:rPr>
        <w:t xml:space="preserve">                             投标单位名称：（盖单位公章）</w:t>
      </w:r>
    </w:p>
    <w:p>
      <w:pPr>
        <w:autoSpaceDE w:val="0"/>
        <w:autoSpaceDN w:val="0"/>
        <w:spacing w:line="360" w:lineRule="auto"/>
        <w:rPr>
          <w:rFonts w:ascii="宋体" w:hAnsi="宋体" w:cs="宋体"/>
          <w:color w:val="000000"/>
          <w:sz w:val="28"/>
          <w:szCs w:val="28"/>
          <w:highlight w:val="none"/>
        </w:rPr>
      </w:pPr>
      <w:r>
        <w:rPr>
          <w:rFonts w:hint="eastAsia" w:ascii="宋体" w:hAnsi="宋体" w:cs="宋体"/>
          <w:color w:val="000000"/>
          <w:sz w:val="28"/>
          <w:szCs w:val="28"/>
          <w:highlight w:val="none"/>
        </w:rPr>
        <w:t xml:space="preserve">                              </w:t>
      </w:r>
      <w:r>
        <w:rPr>
          <w:rFonts w:hint="eastAsia" w:ascii="宋体" w:hAnsi="宋体" w:cs="宋体"/>
          <w:color w:val="000000"/>
          <w:sz w:val="28"/>
          <w:szCs w:val="28"/>
          <w:highlight w:val="none"/>
          <w:lang w:val="en-US" w:eastAsia="zh-CN"/>
        </w:rPr>
        <w:t xml:space="preserve">  </w:t>
      </w:r>
      <w:r>
        <w:rPr>
          <w:rFonts w:hint="eastAsia" w:ascii="宋体" w:hAnsi="宋体" w:cs="宋体"/>
          <w:color w:val="000000"/>
          <w:sz w:val="28"/>
          <w:szCs w:val="28"/>
          <w:highlight w:val="none"/>
        </w:rPr>
        <w:t xml:space="preserve"> 法定代表人签字：</w:t>
      </w:r>
    </w:p>
    <w:p>
      <w:pPr>
        <w:jc w:val="right"/>
        <w:rPr>
          <w:rFonts w:ascii="宋体" w:hAnsi="宋体" w:cs="宋体"/>
          <w:highlight w:val="none"/>
        </w:rPr>
      </w:pPr>
    </w:p>
    <w:p>
      <w:pPr>
        <w:jc w:val="center"/>
        <w:rPr>
          <w:rFonts w:ascii="宋体" w:hAnsi="宋体" w:cs="宋体"/>
          <w:highlight w:val="none"/>
        </w:rPr>
      </w:pPr>
      <w:r>
        <w:rPr>
          <w:rFonts w:hint="eastAsia" w:ascii="宋体" w:hAnsi="宋体" w:eastAsia="宋体" w:cs="宋体"/>
          <w:sz w:val="28"/>
          <w:szCs w:val="28"/>
          <w:highlight w:val="none"/>
        </w:rPr>
        <w:t xml:space="preserve">                     </w:t>
      </w:r>
      <w:r>
        <w:rPr>
          <w:rFonts w:hint="eastAsia" w:ascii="宋体" w:hAnsi="宋体" w:cs="宋体"/>
          <w:sz w:val="28"/>
          <w:szCs w:val="28"/>
          <w:highlight w:val="none"/>
          <w:lang w:val="en-US" w:eastAsia="zh-CN"/>
        </w:rPr>
        <w:t xml:space="preserve">       </w:t>
      </w:r>
      <w:r>
        <w:rPr>
          <w:rFonts w:hint="eastAsia" w:ascii="宋体" w:hAnsi="宋体" w:eastAsia="宋体" w:cs="宋体"/>
          <w:sz w:val="28"/>
          <w:szCs w:val="28"/>
          <w:highlight w:val="none"/>
        </w:rPr>
        <w:t xml:space="preserve"> 年  月  日</w:t>
      </w: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hint="eastAsia" w:ascii="宋体" w:hAnsi="宋体" w:cs="宋体"/>
          <w:highlight w:val="none"/>
        </w:rPr>
      </w:pPr>
    </w:p>
    <w:p>
      <w:pPr>
        <w:jc w:val="right"/>
        <w:rPr>
          <w:rFonts w:hint="eastAsia"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jc w:val="right"/>
        <w:rPr>
          <w:rFonts w:ascii="宋体" w:hAnsi="宋体" w:cs="宋体"/>
          <w:highlight w:val="none"/>
        </w:rPr>
      </w:pPr>
    </w:p>
    <w:p>
      <w:pPr>
        <w:rPr>
          <w:rFonts w:ascii="宋体" w:hAnsi="宋体" w:cs="宋体"/>
          <w:highlight w:val="none"/>
        </w:rPr>
      </w:pPr>
    </w:p>
    <w:p>
      <w:pPr>
        <w:keepNext/>
        <w:keepLines/>
        <w:spacing w:line="416" w:lineRule="auto"/>
        <w:jc w:val="center"/>
        <w:outlineLvl w:val="1"/>
        <w:rPr>
          <w:rFonts w:ascii="宋体" w:hAnsi="宋体" w:cs="宋体"/>
          <w:b/>
          <w:bCs/>
          <w:sz w:val="32"/>
          <w:szCs w:val="32"/>
          <w:highlight w:val="none"/>
        </w:rPr>
      </w:pPr>
      <w:bookmarkStart w:id="1460" w:name="_Toc19542"/>
      <w:bookmarkStart w:id="1461" w:name="_Toc2399"/>
      <w:r>
        <w:rPr>
          <w:rFonts w:hint="eastAsia" w:ascii="宋体" w:hAnsi="宋体" w:cs="宋体"/>
          <w:b/>
          <w:bCs/>
          <w:sz w:val="32"/>
          <w:szCs w:val="32"/>
          <w:highlight w:val="none"/>
        </w:rPr>
        <w:t>十、廉政建设承诺书</w:t>
      </w:r>
      <w:bookmarkEnd w:id="1460"/>
      <w:bookmarkEnd w:id="1461"/>
    </w:p>
    <w:p>
      <w:pPr>
        <w:rPr>
          <w:rFonts w:ascii="宋体" w:hAnsi="宋体" w:cs="宋体"/>
          <w:sz w:val="28"/>
          <w:szCs w:val="28"/>
          <w:highlight w:val="none"/>
        </w:rPr>
      </w:pPr>
      <w:r>
        <w:rPr>
          <w:rFonts w:hint="eastAsia" w:ascii="宋体" w:hAnsi="宋体" w:cs="宋体"/>
          <w:sz w:val="28"/>
          <w:szCs w:val="28"/>
          <w:highlight w:val="none"/>
        </w:rPr>
        <w:t>致</w:t>
      </w:r>
      <w:r>
        <w:rPr>
          <w:rFonts w:hint="eastAsia" w:ascii="宋体" w:hAnsi="宋体" w:cs="宋体"/>
          <w:sz w:val="28"/>
          <w:szCs w:val="28"/>
          <w:highlight w:val="none"/>
          <w:u w:val="single"/>
        </w:rPr>
        <w:t>招标人名称</w:t>
      </w:r>
      <w:r>
        <w:rPr>
          <w:rFonts w:hint="eastAsia" w:ascii="宋体" w:hAnsi="宋体" w:cs="宋体"/>
          <w:sz w:val="28"/>
          <w:szCs w:val="28"/>
          <w:highlight w:val="none"/>
        </w:rPr>
        <w:t>：</w:t>
      </w:r>
    </w:p>
    <w:p>
      <w:pPr>
        <w:ind w:firstLine="560" w:firstLineChars="200"/>
        <w:rPr>
          <w:rFonts w:ascii="宋体" w:hAnsi="宋体" w:cs="宋体"/>
          <w:sz w:val="28"/>
          <w:szCs w:val="28"/>
          <w:highlight w:val="none"/>
        </w:rPr>
      </w:pPr>
      <w:r>
        <w:rPr>
          <w:rFonts w:hint="eastAsia" w:ascii="宋体" w:hAnsi="宋体" w:cs="宋体"/>
          <w:sz w:val="28"/>
          <w:szCs w:val="28"/>
          <w:highlight w:val="none"/>
        </w:rPr>
        <w:t>根据收到贵方</w:t>
      </w:r>
      <w:r>
        <w:rPr>
          <w:rFonts w:hint="eastAsia" w:ascii="宋体" w:hAnsi="宋体" w:cs="宋体"/>
          <w:sz w:val="28"/>
          <w:szCs w:val="28"/>
          <w:highlight w:val="none"/>
          <w:u w:val="single"/>
        </w:rPr>
        <w:t xml:space="preserve">           </w:t>
      </w:r>
      <w:r>
        <w:rPr>
          <w:rFonts w:hint="eastAsia" w:ascii="宋体" w:hAnsi="宋体" w:cs="宋体"/>
          <w:sz w:val="28"/>
          <w:szCs w:val="28"/>
          <w:highlight w:val="none"/>
          <w:u w:val="single"/>
          <w:lang w:eastAsia="zh-CN"/>
        </w:rPr>
        <w:t>（</w:t>
      </w:r>
      <w:r>
        <w:rPr>
          <w:rFonts w:hint="eastAsia" w:ascii="宋体" w:hAnsi="宋体" w:cs="宋体"/>
          <w:sz w:val="28"/>
          <w:szCs w:val="28"/>
          <w:highlight w:val="none"/>
        </w:rPr>
        <w:t>项目名称</w:t>
      </w:r>
      <w:r>
        <w:rPr>
          <w:rFonts w:hint="eastAsia" w:ascii="宋体" w:hAnsi="宋体" w:cs="宋体"/>
          <w:sz w:val="28"/>
          <w:szCs w:val="28"/>
          <w:highlight w:val="none"/>
          <w:lang w:eastAsia="zh-CN"/>
        </w:rPr>
        <w:t>）</w:t>
      </w:r>
      <w:r>
        <w:rPr>
          <w:rFonts w:hint="eastAsia" w:ascii="宋体" w:hAnsi="宋体" w:cs="宋体"/>
          <w:sz w:val="28"/>
          <w:szCs w:val="28"/>
          <w:highlight w:val="none"/>
        </w:rPr>
        <w:t>的招标文件，我方已仔细阅读了招标文件等资料，并且研究上述招标文件投标须知等其他有关文件，我方决定参加本工程的竞标，并且完全接受贵方招标文件的所有内容，同时在廉政责任方面作出如下承诺：</w:t>
      </w:r>
    </w:p>
    <w:p>
      <w:pPr>
        <w:ind w:firstLine="560" w:firstLineChars="200"/>
        <w:rPr>
          <w:rFonts w:ascii="宋体" w:hAnsi="宋体" w:cs="宋体"/>
          <w:sz w:val="28"/>
          <w:szCs w:val="28"/>
          <w:highlight w:val="none"/>
        </w:rPr>
      </w:pPr>
      <w:r>
        <w:rPr>
          <w:rFonts w:hint="eastAsia" w:ascii="宋体" w:hAnsi="宋体" w:cs="宋体"/>
          <w:sz w:val="28"/>
          <w:szCs w:val="28"/>
          <w:highlight w:val="none"/>
        </w:rPr>
        <w:t>我方保证遵守廉政建设各项规定，规范自身廉政行为，在竞标及工程建设过程中不发生不廉洁行为。</w:t>
      </w:r>
    </w:p>
    <w:p>
      <w:pPr>
        <w:ind w:firstLine="560" w:firstLineChars="200"/>
        <w:rPr>
          <w:rFonts w:ascii="宋体" w:hAnsi="宋体" w:cs="宋体"/>
          <w:sz w:val="28"/>
          <w:szCs w:val="28"/>
          <w:highlight w:val="none"/>
        </w:rPr>
      </w:pPr>
      <w:r>
        <w:rPr>
          <w:rFonts w:hint="eastAsia" w:ascii="宋体" w:hAnsi="宋体" w:cs="宋体"/>
          <w:sz w:val="28"/>
          <w:szCs w:val="28"/>
          <w:highlight w:val="none"/>
        </w:rPr>
        <w:t>我方若违反上述承诺，愿承担一切责任并接受处罚。</w:t>
      </w:r>
    </w:p>
    <w:p>
      <w:pPr>
        <w:rPr>
          <w:rFonts w:ascii="宋体" w:hAnsi="宋体" w:cs="宋体"/>
          <w:sz w:val="28"/>
          <w:szCs w:val="28"/>
          <w:highlight w:val="none"/>
        </w:rPr>
      </w:pPr>
    </w:p>
    <w:p>
      <w:pPr>
        <w:rPr>
          <w:rFonts w:ascii="宋体" w:hAnsi="宋体" w:cs="宋体"/>
          <w:sz w:val="28"/>
          <w:szCs w:val="28"/>
          <w:highlight w:val="none"/>
        </w:rPr>
      </w:pPr>
    </w:p>
    <w:p>
      <w:pPr>
        <w:rPr>
          <w:rFonts w:ascii="宋体" w:hAnsi="宋体" w:cs="宋体"/>
          <w:sz w:val="28"/>
          <w:szCs w:val="28"/>
          <w:highlight w:val="none"/>
        </w:rPr>
      </w:pPr>
    </w:p>
    <w:p>
      <w:pPr>
        <w:rPr>
          <w:rFonts w:ascii="宋体" w:hAnsi="宋体" w:cs="宋体"/>
          <w:sz w:val="28"/>
          <w:szCs w:val="28"/>
          <w:highlight w:val="none"/>
        </w:rPr>
      </w:pPr>
      <w:r>
        <w:rPr>
          <w:rFonts w:hint="eastAsia" w:ascii="宋体" w:hAnsi="宋体" w:cs="宋体"/>
          <w:sz w:val="28"/>
          <w:szCs w:val="28"/>
          <w:highlight w:val="none"/>
        </w:rPr>
        <w:t>法定代表人或授权人（签字）：          投标人（盖单位章）：</w:t>
      </w:r>
    </w:p>
    <w:p>
      <w:pPr>
        <w:rPr>
          <w:rFonts w:ascii="宋体" w:hAnsi="宋体" w:cs="宋体"/>
          <w:sz w:val="28"/>
          <w:szCs w:val="28"/>
          <w:highlight w:val="none"/>
        </w:rPr>
      </w:pPr>
    </w:p>
    <w:p>
      <w:pPr>
        <w:rPr>
          <w:rFonts w:ascii="宋体" w:hAnsi="宋体" w:cs="宋体"/>
          <w:highlight w:val="none"/>
        </w:rPr>
      </w:pPr>
      <w:r>
        <w:rPr>
          <w:rFonts w:hint="eastAsia" w:ascii="宋体" w:hAnsi="宋体" w:cs="宋体"/>
          <w:sz w:val="28"/>
          <w:szCs w:val="28"/>
          <w:highlight w:val="none"/>
        </w:rPr>
        <w:t xml:space="preserve">                                          年    月    日  </w:t>
      </w:r>
    </w:p>
    <w:bookmarkEnd w:id="2"/>
    <w:p>
      <w:pPr>
        <w:tabs>
          <w:tab w:val="left" w:pos="1470"/>
        </w:tabs>
        <w:rPr>
          <w:rFonts w:ascii="宋体" w:hAnsi="宋体" w:cs="宋体"/>
          <w:highlight w:val="none"/>
        </w:rPr>
      </w:pPr>
    </w:p>
    <w:p>
      <w:pPr>
        <w:rPr>
          <w:highlight w:val="none"/>
        </w:rPr>
      </w:pPr>
    </w:p>
    <w:p>
      <w:pPr>
        <w:rPr>
          <w:highlight w:val="none"/>
        </w:rPr>
      </w:pPr>
    </w:p>
    <w:p/>
    <w:p/>
    <w:p>
      <w:pPr>
        <w:pStyle w:val="26"/>
      </w:pPr>
    </w:p>
    <w:p>
      <w:pPr>
        <w:pStyle w:val="26"/>
      </w:pPr>
    </w:p>
    <w:p>
      <w:pPr>
        <w:pStyle w:val="26"/>
      </w:pPr>
    </w:p>
    <w:p>
      <w:pPr>
        <w:pStyle w:val="26"/>
      </w:pPr>
    </w:p>
    <w:p>
      <w:pPr>
        <w:pStyle w:val="26"/>
      </w:pPr>
    </w:p>
    <w:p>
      <w:pPr>
        <w:pStyle w:val="26"/>
      </w:pPr>
    </w:p>
    <w:p>
      <w:pPr>
        <w:pStyle w:val="26"/>
      </w:pPr>
    </w:p>
    <w:p>
      <w:pPr>
        <w:pStyle w:val="26"/>
      </w:pPr>
    </w:p>
    <w:p>
      <w:pPr>
        <w:pStyle w:val="26"/>
      </w:pPr>
    </w:p>
    <w:p>
      <w:pPr>
        <w:keepNext/>
        <w:keepLines/>
        <w:spacing w:line="416" w:lineRule="auto"/>
        <w:jc w:val="center"/>
        <w:outlineLvl w:val="1"/>
        <w:rPr>
          <w:rFonts w:ascii="宋体" w:hAnsi="宋体" w:cs="宋体"/>
          <w:b/>
          <w:bCs/>
          <w:sz w:val="32"/>
          <w:szCs w:val="32"/>
          <w:highlight w:val="none"/>
        </w:rPr>
      </w:pPr>
      <w:bookmarkStart w:id="1462" w:name="_Toc31045"/>
      <w:bookmarkStart w:id="1463" w:name="_Toc26859"/>
      <w:r>
        <w:rPr>
          <w:rFonts w:hint="eastAsia" w:ascii="宋体" w:hAnsi="宋体" w:cs="宋体"/>
          <w:b/>
          <w:bCs/>
          <w:sz w:val="32"/>
          <w:szCs w:val="32"/>
          <w:highlight w:val="none"/>
        </w:rPr>
        <w:t>十</w:t>
      </w:r>
      <w:r>
        <w:rPr>
          <w:rFonts w:hint="eastAsia" w:ascii="宋体" w:hAnsi="宋体" w:cs="宋体"/>
          <w:b/>
          <w:bCs/>
          <w:sz w:val="32"/>
          <w:szCs w:val="32"/>
          <w:highlight w:val="none"/>
          <w:lang w:eastAsia="zh-CN"/>
        </w:rPr>
        <w:t>一</w:t>
      </w:r>
      <w:r>
        <w:rPr>
          <w:rFonts w:hint="eastAsia" w:ascii="宋体" w:hAnsi="宋体" w:cs="宋体"/>
          <w:b/>
          <w:bCs/>
          <w:sz w:val="32"/>
          <w:szCs w:val="32"/>
          <w:highlight w:val="none"/>
        </w:rPr>
        <w:t>、无行贿犯罪记录承诺书</w:t>
      </w:r>
      <w:bookmarkEnd w:id="1462"/>
      <w:bookmarkEnd w:id="1463"/>
    </w:p>
    <w:p>
      <w:pPr>
        <w:pStyle w:val="26"/>
      </w:pPr>
    </w:p>
    <w:p>
      <w:pPr>
        <w:pStyle w:val="26"/>
      </w:pPr>
    </w:p>
    <w:p>
      <w:pPr>
        <w:spacing w:beforeLines="100" w:afterLines="100"/>
        <w:jc w:val="center"/>
        <w:rPr>
          <w:rFonts w:ascii="宋体" w:hAnsi="宋体"/>
          <w:b/>
          <w:bCs/>
          <w:color w:val="000000"/>
          <w:sz w:val="28"/>
          <w:szCs w:val="28"/>
        </w:rPr>
      </w:pPr>
      <w:r>
        <w:rPr>
          <w:rFonts w:hint="eastAsia" w:ascii="宋体" w:hAnsi="宋体"/>
          <w:b/>
          <w:bCs/>
          <w:color w:val="000000"/>
          <w:sz w:val="28"/>
          <w:szCs w:val="28"/>
        </w:rPr>
        <w:t>承诺书</w:t>
      </w:r>
    </w:p>
    <w:p>
      <w:pPr>
        <w:spacing w:afterLines="100" w:line="480" w:lineRule="auto"/>
        <w:rPr>
          <w:rFonts w:ascii="宋体" w:hAnsi="宋体"/>
          <w:color w:val="000000"/>
          <w:szCs w:val="21"/>
        </w:rPr>
      </w:pPr>
      <w:r>
        <w:rPr>
          <w:rFonts w:hint="eastAsia" w:ascii="宋体" w:hAnsi="宋体"/>
          <w:color w:val="000000"/>
          <w:szCs w:val="21"/>
          <w:u w:val="single"/>
          <w:lang w:val="en-US" w:eastAsia="zh-CN"/>
        </w:rPr>
        <w:t xml:space="preserve">                    </w:t>
      </w:r>
      <w:r>
        <w:rPr>
          <w:rFonts w:hint="eastAsia" w:ascii="宋体" w:hAnsi="宋体"/>
          <w:color w:val="000000"/>
          <w:szCs w:val="21"/>
        </w:rPr>
        <w:t>（招标人名称）：</w:t>
      </w:r>
    </w:p>
    <w:p>
      <w:pPr>
        <w:spacing w:line="480" w:lineRule="auto"/>
        <w:ind w:firstLine="420" w:firstLineChars="200"/>
        <w:rPr>
          <w:rFonts w:ascii="宋体" w:hAnsi="宋体" w:cs="宋体"/>
          <w:color w:val="000000"/>
          <w:szCs w:val="21"/>
          <w:shd w:val="clear" w:color="auto" w:fill="FFFFFF"/>
        </w:rPr>
      </w:pPr>
      <w:r>
        <w:rPr>
          <w:rFonts w:hint="eastAsia" w:ascii="宋体" w:hAnsi="宋体"/>
          <w:color w:val="000000"/>
          <w:szCs w:val="21"/>
        </w:rPr>
        <w:t>我方在此声明，我方在</w:t>
      </w:r>
      <w:r>
        <w:rPr>
          <w:rFonts w:hint="eastAsia"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hint="eastAsia" w:ascii="宋体" w:hAnsi="宋体"/>
          <w:color w:val="000000"/>
          <w:szCs w:val="21"/>
          <w:u w:val="single"/>
        </w:rPr>
        <w:t xml:space="preserve">    </w:t>
      </w:r>
      <w:r>
        <w:rPr>
          <w:rFonts w:hint="eastAsia" w:ascii="宋体" w:hAnsi="宋体"/>
          <w:color w:val="000000"/>
          <w:szCs w:val="21"/>
        </w:rPr>
        <w:t>（项目名称）招投标过程中所涉及的</w:t>
      </w:r>
      <w:r>
        <w:rPr>
          <w:rFonts w:hint="eastAsia" w:ascii="宋体" w:hAnsi="宋体" w:cs="宋体"/>
          <w:color w:val="000000"/>
          <w:szCs w:val="21"/>
          <w:shd w:val="clear" w:color="auto" w:fill="FFFFFF"/>
        </w:rPr>
        <w:t>包括法人、法定代表人、法定代表人委托代理人、项目经理近三年来均无行贿犯罪记录。</w:t>
      </w:r>
    </w:p>
    <w:p>
      <w:pPr>
        <w:spacing w:line="480" w:lineRule="auto"/>
        <w:ind w:firstLine="420" w:firstLineChars="200"/>
        <w:rPr>
          <w:rFonts w:ascii="宋体" w:hAnsi="宋体"/>
          <w:color w:val="000000"/>
          <w:szCs w:val="21"/>
        </w:rPr>
      </w:pPr>
      <w:r>
        <w:rPr>
          <w:rFonts w:hint="eastAsia" w:ascii="宋体" w:hAnsi="宋体"/>
          <w:color w:val="000000"/>
          <w:szCs w:val="21"/>
        </w:rPr>
        <w:t>我方保证上述信息的真实和准确，并愿意承担因我方就此弄虚作假所引起的一切法律后果。</w:t>
      </w:r>
    </w:p>
    <w:p>
      <w:pPr>
        <w:spacing w:line="480" w:lineRule="auto"/>
        <w:ind w:firstLine="420" w:firstLineChars="200"/>
        <w:rPr>
          <w:rFonts w:ascii="宋体" w:hAnsi="宋体"/>
          <w:color w:val="000000"/>
          <w:szCs w:val="21"/>
        </w:rPr>
      </w:pPr>
    </w:p>
    <w:p>
      <w:pPr>
        <w:spacing w:line="480" w:lineRule="auto"/>
        <w:ind w:firstLine="420" w:firstLineChars="200"/>
        <w:rPr>
          <w:rFonts w:ascii="宋体" w:hAnsi="宋体"/>
          <w:color w:val="000000"/>
          <w:szCs w:val="21"/>
        </w:rPr>
      </w:pPr>
    </w:p>
    <w:p>
      <w:pPr>
        <w:spacing w:line="480" w:lineRule="auto"/>
        <w:ind w:firstLine="420" w:firstLineChars="200"/>
        <w:rPr>
          <w:rFonts w:ascii="宋体" w:hAnsi="宋体"/>
          <w:color w:val="000000"/>
          <w:szCs w:val="21"/>
        </w:rPr>
      </w:pPr>
      <w:r>
        <w:rPr>
          <w:rFonts w:hint="eastAsia" w:ascii="宋体" w:hAnsi="宋体"/>
          <w:color w:val="000000"/>
          <w:szCs w:val="21"/>
        </w:rPr>
        <w:t>特此承诺</w:t>
      </w:r>
    </w:p>
    <w:p>
      <w:pPr>
        <w:spacing w:line="480" w:lineRule="auto"/>
        <w:ind w:firstLine="420" w:firstLineChars="200"/>
        <w:rPr>
          <w:rFonts w:ascii="宋体" w:hAnsi="宋体"/>
          <w:color w:val="000000"/>
          <w:szCs w:val="21"/>
        </w:rPr>
      </w:pPr>
    </w:p>
    <w:p>
      <w:pPr>
        <w:spacing w:line="480" w:lineRule="auto"/>
        <w:jc w:val="left"/>
        <w:rPr>
          <w:rFonts w:ascii="宋体" w:hAnsi="宋体" w:cs="宋体"/>
          <w:color w:val="000000"/>
          <w:szCs w:val="21"/>
        </w:rPr>
      </w:pPr>
    </w:p>
    <w:p>
      <w:pPr>
        <w:spacing w:line="480" w:lineRule="auto"/>
        <w:jc w:val="left"/>
        <w:rPr>
          <w:rFonts w:ascii="宋体" w:hAnsi="宋体" w:cs="宋体"/>
          <w:color w:val="000000"/>
          <w:szCs w:val="21"/>
        </w:rPr>
      </w:pPr>
    </w:p>
    <w:p>
      <w:pPr>
        <w:spacing w:line="480" w:lineRule="auto"/>
        <w:ind w:firstLine="3360" w:firstLineChars="1600"/>
        <w:jc w:val="both"/>
        <w:rPr>
          <w:rFonts w:ascii="宋体" w:hAnsi="宋体"/>
          <w:color w:val="000000"/>
          <w:szCs w:val="21"/>
        </w:rPr>
      </w:pPr>
      <w:r>
        <w:rPr>
          <w:rFonts w:hint="eastAsia" w:ascii="宋体" w:hAnsi="宋体"/>
          <w:color w:val="000000"/>
          <w:szCs w:val="21"/>
          <w:lang w:val="en-US" w:eastAsia="zh-CN"/>
        </w:rPr>
        <w:t xml:space="preserve"> </w:t>
      </w:r>
      <w:r>
        <w:rPr>
          <w:rFonts w:hint="eastAsia" w:ascii="宋体" w:hAnsi="宋体"/>
          <w:color w:val="000000"/>
          <w:szCs w:val="21"/>
        </w:rPr>
        <w:t>投标人：（盖单位章）</w:t>
      </w:r>
    </w:p>
    <w:p>
      <w:pPr>
        <w:spacing w:line="480" w:lineRule="auto"/>
        <w:ind w:firstLine="3360" w:firstLineChars="1600"/>
        <w:jc w:val="both"/>
        <w:rPr>
          <w:rFonts w:ascii="宋体" w:hAnsi="宋体"/>
          <w:color w:val="000000"/>
          <w:szCs w:val="21"/>
        </w:rPr>
      </w:pPr>
      <w:r>
        <w:rPr>
          <w:rFonts w:hint="eastAsia" w:ascii="宋体" w:hAnsi="宋体"/>
          <w:color w:val="000000"/>
          <w:szCs w:val="21"/>
        </w:rPr>
        <w:t>法定代表人或其委托代理人：（签字）</w:t>
      </w:r>
    </w:p>
    <w:p>
      <w:pPr>
        <w:spacing w:line="480" w:lineRule="auto"/>
        <w:jc w:val="right"/>
        <w:rPr>
          <w:rFonts w:ascii="宋体" w:hAnsi="宋体"/>
          <w:color w:val="000000"/>
          <w:szCs w:val="21"/>
        </w:rPr>
      </w:pPr>
    </w:p>
    <w:p>
      <w:pPr>
        <w:pStyle w:val="26"/>
        <w:jc w:val="right"/>
      </w:pPr>
      <w:r>
        <w:rPr>
          <w:rFonts w:hint="eastAsia" w:ascii="宋体" w:hAnsi="宋体"/>
          <w:color w:val="000000"/>
          <w:szCs w:val="21"/>
          <w:lang w:val="en-US" w:eastAsia="zh-CN"/>
        </w:rPr>
        <w:t xml:space="preserve">                                           </w:t>
      </w:r>
      <w:r>
        <w:rPr>
          <w:rFonts w:hint="eastAsia" w:ascii="宋体" w:hAnsi="宋体" w:eastAsia="宋体" w:cs="黑体"/>
          <w:color w:val="000000"/>
          <w:kern w:val="0"/>
          <w:sz w:val="21"/>
          <w:szCs w:val="21"/>
          <w:lang w:val="en-US" w:eastAsia="zh-CN" w:bidi="ar-SA"/>
        </w:rPr>
        <w:t xml:space="preserve">年   月 </w:t>
      </w:r>
      <w:r>
        <w:rPr>
          <w:rFonts w:hint="eastAsia" w:hAnsi="宋体" w:cs="黑体"/>
          <w:color w:val="000000"/>
          <w:kern w:val="0"/>
          <w:sz w:val="21"/>
          <w:szCs w:val="21"/>
          <w:lang w:val="en-US" w:eastAsia="zh-CN" w:bidi="ar-SA"/>
        </w:rPr>
        <w:t xml:space="preserve"> </w:t>
      </w:r>
      <w:r>
        <w:rPr>
          <w:rFonts w:hint="eastAsia" w:ascii="宋体" w:hAnsi="宋体" w:eastAsia="宋体" w:cs="黑体"/>
          <w:color w:val="000000"/>
          <w:kern w:val="0"/>
          <w:sz w:val="21"/>
          <w:szCs w:val="21"/>
          <w:lang w:val="en-US" w:eastAsia="zh-CN" w:bidi="ar-SA"/>
        </w:rPr>
        <w:t xml:space="preserve"> 日</w:t>
      </w:r>
    </w:p>
    <w:sectPr>
      <w:headerReference r:id="rId3" w:type="default"/>
      <w:footerReference r:id="rId4" w:type="default"/>
      <w:pgSz w:w="11907" w:h="16840"/>
      <w:pgMar w:top="1418" w:right="1418" w:bottom="1418" w:left="1418" w:header="851" w:footer="992" w:gutter="0"/>
      <w:pgNumType w:fmt="numberInDash"/>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微软雅黑"/>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thinThickMediumGap" w:color="auto" w:sz="18" w:space="1"/>
      </w:pBdr>
    </w:pPr>
    <w:r>
      <w:rPr>
        <w:rFonts w:ascii="Calibri" w:hAnsi="Calibri" w:eastAsia="宋体" w:cs="黑体"/>
        <w:sz w:val="18"/>
        <w:szCs w:val="18"/>
        <w:lang w:val="en-US" w:eastAsia="zh-CN" w:bidi="ar-SA"/>
      </w:rPr>
      <w:pict>
        <v:rect id="文本框 1" o:spid="_x0000_s4097" o:spt="1" style="position:absolute;left:0pt;margin-top:15.6pt;height:13.6pt;width:29.6pt;mso-position-horizontal:center;mso-position-horizontal-relative:margin;mso-wrap-style:none;z-index:251658240;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snapToGrid w:val="0"/>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 PAGE  \* MERGEFORMAT </w:instrText>
                </w:r>
                <w:r>
                  <w:rPr>
                    <w:rFonts w:hint="eastAsia" w:ascii="宋体" w:hAnsi="宋体" w:cs="宋体"/>
                    <w:szCs w:val="21"/>
                  </w:rPr>
                  <w:fldChar w:fldCharType="separate"/>
                </w:r>
                <w:r>
                  <w:t>-</w:t>
                </w:r>
                <w:r>
                  <w:rPr>
                    <w:rFonts w:ascii="宋体" w:hAnsi="宋体" w:cs="宋体"/>
                    <w:szCs w:val="21"/>
                  </w:rPr>
                  <w:t xml:space="preserve"> 57 -</w:t>
                </w:r>
                <w:r>
                  <w:rPr>
                    <w:rFonts w:hint="eastAsia" w:ascii="宋体" w:hAnsi="宋体" w:cs="宋体"/>
                    <w:szCs w:val="21"/>
                  </w:rPr>
                  <w:fldChar w:fldCharType="end"/>
                </w:r>
              </w:p>
            </w:txbxContent>
          </v:textbox>
        </v:rect>
      </w:pict>
    </w:r>
  </w:p>
  <w:p>
    <w:pPr>
      <w:pStyle w:val="14"/>
    </w:pPr>
    <w:r>
      <w:rPr>
        <w:rFonts w:hint="eastAsia" w:ascii="宋体" w:hAnsi="宋体"/>
        <w:sz w:val="21"/>
        <w:szCs w:val="21"/>
        <w:lang w:val="en-US" w:eastAsia="zh-CN"/>
      </w:rPr>
      <w:t>北京恒乐工程管理有限公司</w:t>
    </w:r>
    <w:r>
      <w:rPr>
        <w:rFonts w:hint="eastAsia" w:ascii="宋体" w:hAnsi="宋体"/>
        <w:sz w:val="21"/>
        <w:szCs w:val="21"/>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thickThinSmallGap" w:color="auto" w:sz="12" w:space="0"/>
      </w:pBdr>
      <w:jc w:val="left"/>
      <w:rPr>
        <w:sz w:val="18"/>
        <w:szCs w:val="18"/>
      </w:rPr>
    </w:pPr>
    <w:r>
      <w:rPr>
        <w:rFonts w:hint="eastAsia" w:ascii="宋体" w:hAnsi="宋体"/>
        <w:sz w:val="18"/>
        <w:szCs w:val="18"/>
        <w:lang w:val="en-US" w:eastAsia="zh-CN"/>
      </w:rPr>
      <w:t xml:space="preserve">温县赵堡镇赵堡村美丽乡村示范县试点项目（五标段）                                </w:t>
    </w:r>
    <w:r>
      <w:rPr>
        <w:rFonts w:hint="eastAsia" w:ascii="宋体" w:hAnsi="宋体"/>
        <w:sz w:val="18"/>
        <w:szCs w:val="18"/>
      </w:rPr>
      <w:t>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060390"/>
    <w:multiLevelType w:val="singleLevel"/>
    <w:tmpl w:val="DF060390"/>
    <w:lvl w:ilvl="0" w:tentative="0">
      <w:start w:val="5"/>
      <w:numFmt w:val="chineseCounting"/>
      <w:suff w:val="space"/>
      <w:lvlText w:val="第%1章"/>
      <w:lvlJc w:val="left"/>
      <w:rPr>
        <w:rFonts w:hint="eastAsia"/>
      </w:rPr>
    </w:lvl>
  </w:abstractNum>
  <w:abstractNum w:abstractNumId="1">
    <w:nsid w:val="00000003"/>
    <w:multiLevelType w:val="multilevel"/>
    <w:tmpl w:val="00000003"/>
    <w:lvl w:ilvl="0" w:tentative="0">
      <w:start w:val="1"/>
      <w:numFmt w:val="decimal"/>
      <w:lvlText w:val="%1、"/>
      <w:lvlJc w:val="left"/>
      <w:pPr>
        <w:tabs>
          <w:tab w:val="left" w:pos="720"/>
        </w:tabs>
        <w:ind w:left="72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B005B51"/>
    <w:multiLevelType w:val="singleLevel"/>
    <w:tmpl w:val="4B005B51"/>
    <w:lvl w:ilvl="0" w:tentative="0">
      <w:start w:val="2"/>
      <w:numFmt w:val="decimal"/>
      <w:suff w:val="space"/>
      <w:lvlText w:val="%1."/>
      <w:lvlJc w:val="left"/>
    </w:lvl>
  </w:abstractNum>
  <w:abstractNum w:abstractNumId="3">
    <w:nsid w:val="5800B1EE"/>
    <w:multiLevelType w:val="singleLevel"/>
    <w:tmpl w:val="5800B1EE"/>
    <w:lvl w:ilvl="0" w:tentative="0">
      <w:start w:val="3"/>
      <w:numFmt w:val="decimal"/>
      <w:suff w:val="space"/>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0031380"/>
    <w:rsid w:val="006E65B2"/>
    <w:rsid w:val="02295CC8"/>
    <w:rsid w:val="034A204F"/>
    <w:rsid w:val="041016D9"/>
    <w:rsid w:val="047A37AC"/>
    <w:rsid w:val="04AC3635"/>
    <w:rsid w:val="05671F58"/>
    <w:rsid w:val="06806501"/>
    <w:rsid w:val="0A4A2F67"/>
    <w:rsid w:val="0A5074E8"/>
    <w:rsid w:val="0A766305"/>
    <w:rsid w:val="0A7A5413"/>
    <w:rsid w:val="0BAB2C17"/>
    <w:rsid w:val="0C420339"/>
    <w:rsid w:val="0D0C56CB"/>
    <w:rsid w:val="0D9E76C0"/>
    <w:rsid w:val="0F6E3011"/>
    <w:rsid w:val="0F806D5D"/>
    <w:rsid w:val="0FA91B09"/>
    <w:rsid w:val="10C75FB2"/>
    <w:rsid w:val="115F0AA9"/>
    <w:rsid w:val="12C406CE"/>
    <w:rsid w:val="13247E88"/>
    <w:rsid w:val="134601DA"/>
    <w:rsid w:val="13E907E8"/>
    <w:rsid w:val="143F0B71"/>
    <w:rsid w:val="14827D20"/>
    <w:rsid w:val="14DA4CF7"/>
    <w:rsid w:val="168065A7"/>
    <w:rsid w:val="168C71E2"/>
    <w:rsid w:val="17945737"/>
    <w:rsid w:val="17D24D98"/>
    <w:rsid w:val="1855700F"/>
    <w:rsid w:val="18D87E3D"/>
    <w:rsid w:val="18FA31D5"/>
    <w:rsid w:val="1977209E"/>
    <w:rsid w:val="19D267EE"/>
    <w:rsid w:val="1A0C4612"/>
    <w:rsid w:val="1A297B77"/>
    <w:rsid w:val="1AC9104B"/>
    <w:rsid w:val="1B493CAC"/>
    <w:rsid w:val="1DA550CA"/>
    <w:rsid w:val="1DF90C70"/>
    <w:rsid w:val="1F8A4731"/>
    <w:rsid w:val="1F8D24A3"/>
    <w:rsid w:val="1FA341FD"/>
    <w:rsid w:val="2082080A"/>
    <w:rsid w:val="20DE34A6"/>
    <w:rsid w:val="20E169A7"/>
    <w:rsid w:val="22E92429"/>
    <w:rsid w:val="24347C4A"/>
    <w:rsid w:val="24864FAE"/>
    <w:rsid w:val="24BE58CB"/>
    <w:rsid w:val="253A3BEC"/>
    <w:rsid w:val="25843A5A"/>
    <w:rsid w:val="26CA3068"/>
    <w:rsid w:val="273848C8"/>
    <w:rsid w:val="28174AA6"/>
    <w:rsid w:val="285975A2"/>
    <w:rsid w:val="28C40739"/>
    <w:rsid w:val="2AE91EA2"/>
    <w:rsid w:val="2B0C298F"/>
    <w:rsid w:val="2B310C6F"/>
    <w:rsid w:val="2B40182C"/>
    <w:rsid w:val="2C61473E"/>
    <w:rsid w:val="2E2F0DC0"/>
    <w:rsid w:val="2EF5400F"/>
    <w:rsid w:val="2F7315F9"/>
    <w:rsid w:val="2F9D372C"/>
    <w:rsid w:val="2FDA5E6F"/>
    <w:rsid w:val="302419AD"/>
    <w:rsid w:val="314C639D"/>
    <w:rsid w:val="32077C97"/>
    <w:rsid w:val="327621C3"/>
    <w:rsid w:val="32D73E9F"/>
    <w:rsid w:val="339A706C"/>
    <w:rsid w:val="35B35818"/>
    <w:rsid w:val="371B0E4F"/>
    <w:rsid w:val="39B2635A"/>
    <w:rsid w:val="39EB745C"/>
    <w:rsid w:val="3A1A3B9A"/>
    <w:rsid w:val="3A336A53"/>
    <w:rsid w:val="3B552EAD"/>
    <w:rsid w:val="3B616DEF"/>
    <w:rsid w:val="3E010811"/>
    <w:rsid w:val="3E0E7DF5"/>
    <w:rsid w:val="3E854CB7"/>
    <w:rsid w:val="3EB50730"/>
    <w:rsid w:val="3F4F51D0"/>
    <w:rsid w:val="3F655D40"/>
    <w:rsid w:val="3FFB49B1"/>
    <w:rsid w:val="412D298B"/>
    <w:rsid w:val="413D7EB3"/>
    <w:rsid w:val="41C16EC1"/>
    <w:rsid w:val="41C448F8"/>
    <w:rsid w:val="43152CED"/>
    <w:rsid w:val="435273FD"/>
    <w:rsid w:val="43AC70ED"/>
    <w:rsid w:val="44300060"/>
    <w:rsid w:val="44EC0552"/>
    <w:rsid w:val="451421BA"/>
    <w:rsid w:val="47EF2999"/>
    <w:rsid w:val="48156AD9"/>
    <w:rsid w:val="48A16F76"/>
    <w:rsid w:val="48FB1F05"/>
    <w:rsid w:val="49076ED0"/>
    <w:rsid w:val="4AA94176"/>
    <w:rsid w:val="4AC85215"/>
    <w:rsid w:val="4C4C5180"/>
    <w:rsid w:val="4C7F0CF5"/>
    <w:rsid w:val="4C91754E"/>
    <w:rsid w:val="4DEA7655"/>
    <w:rsid w:val="4E3C6605"/>
    <w:rsid w:val="4E473DD9"/>
    <w:rsid w:val="4E977159"/>
    <w:rsid w:val="4EBC565C"/>
    <w:rsid w:val="4ECA60F3"/>
    <w:rsid w:val="4F3D1CFD"/>
    <w:rsid w:val="4FDC26FF"/>
    <w:rsid w:val="50A63344"/>
    <w:rsid w:val="50CD6205"/>
    <w:rsid w:val="50F7205E"/>
    <w:rsid w:val="51472C08"/>
    <w:rsid w:val="51A96230"/>
    <w:rsid w:val="51CA2B09"/>
    <w:rsid w:val="51DE5753"/>
    <w:rsid w:val="51F9703C"/>
    <w:rsid w:val="53B17C7E"/>
    <w:rsid w:val="547154F6"/>
    <w:rsid w:val="547A4482"/>
    <w:rsid w:val="54B01BC5"/>
    <w:rsid w:val="54D55D61"/>
    <w:rsid w:val="55671431"/>
    <w:rsid w:val="565E72C4"/>
    <w:rsid w:val="56CF6769"/>
    <w:rsid w:val="57220BC7"/>
    <w:rsid w:val="57B41988"/>
    <w:rsid w:val="59626142"/>
    <w:rsid w:val="5984113B"/>
    <w:rsid w:val="599D5988"/>
    <w:rsid w:val="59FE3D69"/>
    <w:rsid w:val="5A520569"/>
    <w:rsid w:val="5C1E69E3"/>
    <w:rsid w:val="5DA01E7E"/>
    <w:rsid w:val="5F566DE7"/>
    <w:rsid w:val="6047140E"/>
    <w:rsid w:val="61133449"/>
    <w:rsid w:val="6130045C"/>
    <w:rsid w:val="619619EE"/>
    <w:rsid w:val="61B728D0"/>
    <w:rsid w:val="61FF7D2A"/>
    <w:rsid w:val="62266A02"/>
    <w:rsid w:val="624F3D92"/>
    <w:rsid w:val="636B3E86"/>
    <w:rsid w:val="661137B9"/>
    <w:rsid w:val="66D44BEC"/>
    <w:rsid w:val="67665653"/>
    <w:rsid w:val="683D1608"/>
    <w:rsid w:val="68545F45"/>
    <w:rsid w:val="68C66724"/>
    <w:rsid w:val="692C3433"/>
    <w:rsid w:val="6936762E"/>
    <w:rsid w:val="6A8076A6"/>
    <w:rsid w:val="6B0F0D89"/>
    <w:rsid w:val="6C1A4899"/>
    <w:rsid w:val="6C882466"/>
    <w:rsid w:val="6CA359E9"/>
    <w:rsid w:val="6CD851D9"/>
    <w:rsid w:val="6D4A1E5E"/>
    <w:rsid w:val="6DED694E"/>
    <w:rsid w:val="6EEC7771"/>
    <w:rsid w:val="70474828"/>
    <w:rsid w:val="70B71D03"/>
    <w:rsid w:val="71EE52A8"/>
    <w:rsid w:val="7266097A"/>
    <w:rsid w:val="727F705A"/>
    <w:rsid w:val="75025134"/>
    <w:rsid w:val="7603314C"/>
    <w:rsid w:val="76C45DDE"/>
    <w:rsid w:val="771F4D6C"/>
    <w:rsid w:val="77BA467E"/>
    <w:rsid w:val="784660A8"/>
    <w:rsid w:val="7873304A"/>
    <w:rsid w:val="78C03A24"/>
    <w:rsid w:val="78E47B81"/>
    <w:rsid w:val="79257AE2"/>
    <w:rsid w:val="7A0C7F82"/>
    <w:rsid w:val="7AA307DA"/>
    <w:rsid w:val="7B9F250F"/>
    <w:rsid w:val="7C365861"/>
    <w:rsid w:val="7D3B6FDA"/>
    <w:rsid w:val="7D5C3E68"/>
    <w:rsid w:val="7D8505DC"/>
    <w:rsid w:val="7D9F3E1D"/>
    <w:rsid w:val="7DB603AA"/>
    <w:rsid w:val="7FAD5FF5"/>
    <w:rsid w:val="7FCB3E7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sz w:val="21"/>
      <w:szCs w:val="22"/>
      <w:lang w:val="en-US" w:eastAsia="zh-CN" w:bidi="ar-SA"/>
    </w:rPr>
  </w:style>
  <w:style w:type="paragraph" w:styleId="7">
    <w:name w:val="heading 1"/>
    <w:basedOn w:val="1"/>
    <w:next w:val="1"/>
    <w:qFormat/>
    <w:uiPriority w:val="0"/>
    <w:pPr>
      <w:keepNext/>
      <w:keepLines/>
      <w:spacing w:before="340" w:after="330" w:line="576" w:lineRule="auto"/>
      <w:outlineLvl w:val="0"/>
    </w:pPr>
    <w:rPr>
      <w:b/>
      <w:bCs/>
      <w:kern w:val="44"/>
      <w:sz w:val="44"/>
      <w:szCs w:val="44"/>
    </w:rPr>
  </w:style>
  <w:style w:type="paragraph" w:styleId="8">
    <w:name w:val="heading 2"/>
    <w:basedOn w:val="1"/>
    <w:next w:val="1"/>
    <w:unhideWhenUsed/>
    <w:qFormat/>
    <w:uiPriority w:val="0"/>
    <w:pPr>
      <w:keepNext/>
      <w:keepLines/>
      <w:spacing w:line="415" w:lineRule="auto"/>
      <w:outlineLvl w:val="1"/>
    </w:pPr>
    <w:rPr>
      <w:rFonts w:ascii="Arial" w:hAnsi="Arial" w:eastAsia="黑体"/>
      <w:b/>
      <w:bCs/>
      <w:kern w:val="2"/>
      <w:sz w:val="32"/>
      <w:szCs w:val="32"/>
    </w:rPr>
  </w:style>
  <w:style w:type="paragraph" w:styleId="9">
    <w:name w:val="heading 3"/>
    <w:basedOn w:val="1"/>
    <w:next w:val="1"/>
    <w:unhideWhenUsed/>
    <w:qFormat/>
    <w:uiPriority w:val="0"/>
    <w:pPr>
      <w:keepNext/>
      <w:keepLines/>
      <w:spacing w:line="415" w:lineRule="auto"/>
      <w:ind w:firstLine="137" w:firstLineChars="49"/>
      <w:outlineLvl w:val="2"/>
    </w:pPr>
    <w:rPr>
      <w:rFonts w:ascii="黑体" w:hAnsi="宋体" w:eastAsia="黑体"/>
      <w:bCs/>
      <w:kern w:val="2"/>
      <w:sz w:val="28"/>
      <w:szCs w:val="28"/>
    </w:rPr>
  </w:style>
  <w:style w:type="character" w:default="1" w:styleId="23">
    <w:name w:val="Default Paragraph Font"/>
    <w:semiHidden/>
    <w:qFormat/>
    <w:uiPriority w:val="0"/>
  </w:style>
  <w:style w:type="table" w:default="1" w:styleId="22">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正文首行缩进1"/>
    <w:basedOn w:val="3"/>
    <w:next w:val="5"/>
    <w:qFormat/>
    <w:uiPriority w:val="0"/>
    <w:pPr>
      <w:ind w:firstLine="420" w:firstLineChars="100"/>
    </w:pPr>
  </w:style>
  <w:style w:type="paragraph" w:styleId="3">
    <w:name w:val="Body Text"/>
    <w:basedOn w:val="1"/>
    <w:next w:val="4"/>
    <w:qFormat/>
    <w:uiPriority w:val="0"/>
    <w:pPr>
      <w:spacing w:line="360" w:lineRule="auto"/>
    </w:pPr>
    <w:rPr>
      <w:rFonts w:ascii="楷体_GB2312" w:hAnsi="宋体" w:eastAsia="楷体_GB2312"/>
      <w:sz w:val="28"/>
      <w:szCs w:val="28"/>
    </w:rPr>
  </w:style>
  <w:style w:type="paragraph" w:customStyle="1" w:styleId="4">
    <w:name w:val="正文文本 21"/>
    <w:basedOn w:val="1"/>
    <w:qFormat/>
    <w:uiPriority w:val="0"/>
    <w:rPr>
      <w:sz w:val="28"/>
    </w:rPr>
  </w:style>
  <w:style w:type="paragraph" w:customStyle="1" w:styleId="5">
    <w:name w:val="正文首行缩进 21"/>
    <w:basedOn w:val="6"/>
    <w:qFormat/>
    <w:uiPriority w:val="0"/>
    <w:pPr>
      <w:ind w:firstLine="420" w:firstLineChars="200"/>
    </w:pPr>
  </w:style>
  <w:style w:type="paragraph" w:customStyle="1" w:styleId="6">
    <w:name w:val="Body Text Indent1"/>
    <w:basedOn w:val="1"/>
    <w:qFormat/>
    <w:uiPriority w:val="0"/>
    <w:pPr>
      <w:spacing w:after="120"/>
      <w:ind w:left="420" w:leftChars="200"/>
    </w:pPr>
  </w:style>
  <w:style w:type="paragraph" w:styleId="10">
    <w:name w:val="Body Text 3"/>
    <w:basedOn w:val="1"/>
    <w:qFormat/>
    <w:uiPriority w:val="0"/>
    <w:rPr>
      <w:rFonts w:ascii="宋体"/>
      <w:sz w:val="24"/>
      <w:szCs w:val="20"/>
    </w:rPr>
  </w:style>
  <w:style w:type="paragraph" w:styleId="11">
    <w:name w:val="Body Text Indent"/>
    <w:basedOn w:val="1"/>
    <w:qFormat/>
    <w:uiPriority w:val="0"/>
    <w:pPr>
      <w:ind w:left="420" w:leftChars="200"/>
    </w:pPr>
  </w:style>
  <w:style w:type="paragraph" w:styleId="12">
    <w:name w:val="toc 3"/>
    <w:basedOn w:val="1"/>
    <w:next w:val="1"/>
    <w:qFormat/>
    <w:uiPriority w:val="0"/>
    <w:pPr>
      <w:ind w:left="840" w:leftChars="400"/>
    </w:pPr>
  </w:style>
  <w:style w:type="paragraph" w:styleId="13">
    <w:name w:val="Plain Text"/>
    <w:basedOn w:val="1"/>
    <w:qFormat/>
    <w:uiPriority w:val="0"/>
    <w:rPr>
      <w:rFonts w:ascii="Courier New" w:hAnsi="Courier New"/>
      <w:szCs w:val="20"/>
    </w:rPr>
  </w:style>
  <w:style w:type="paragraph" w:styleId="14">
    <w:name w:val="footer"/>
    <w:basedOn w:val="1"/>
    <w:qFormat/>
    <w:uiPriority w:val="0"/>
    <w:pPr>
      <w:tabs>
        <w:tab w:val="center" w:pos="4153"/>
        <w:tab w:val="right" w:pos="8306"/>
      </w:tabs>
      <w:snapToGrid w:val="0"/>
      <w:jc w:val="left"/>
    </w:pPr>
    <w:rPr>
      <w:sz w:val="18"/>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0"/>
  </w:style>
  <w:style w:type="paragraph" w:styleId="17">
    <w:name w:val="toc 2"/>
    <w:basedOn w:val="1"/>
    <w:next w:val="1"/>
    <w:qFormat/>
    <w:uiPriority w:val="0"/>
    <w:pPr>
      <w:ind w:left="420" w:leftChars="200"/>
    </w:pPr>
  </w:style>
  <w:style w:type="paragraph" w:styleId="18">
    <w:name w:val="Body Text 2"/>
    <w:basedOn w:val="1"/>
    <w:qFormat/>
    <w:uiPriority w:val="0"/>
    <w:pPr>
      <w:spacing w:line="480" w:lineRule="auto"/>
    </w:pPr>
  </w:style>
  <w:style w:type="paragraph" w:styleId="19">
    <w:name w:val="Normal (Web)"/>
    <w:basedOn w:val="1"/>
    <w:qFormat/>
    <w:uiPriority w:val="0"/>
    <w:pPr>
      <w:widowControl/>
      <w:spacing w:beforeAutospacing="1" w:afterAutospacing="1"/>
      <w:jc w:val="left"/>
    </w:pPr>
    <w:rPr>
      <w:rFonts w:ascii="宋体" w:hAnsi="宋体" w:cs="宋体"/>
      <w:sz w:val="24"/>
      <w:szCs w:val="24"/>
    </w:rPr>
  </w:style>
  <w:style w:type="paragraph" w:styleId="20">
    <w:name w:val="Body Text First Indent"/>
    <w:basedOn w:val="3"/>
    <w:next w:val="21"/>
    <w:qFormat/>
    <w:uiPriority w:val="0"/>
    <w:pPr>
      <w:spacing w:line="240" w:lineRule="auto"/>
      <w:ind w:firstLine="420" w:firstLineChars="100"/>
    </w:pPr>
    <w:rPr>
      <w:rFonts w:ascii="Times New Roman" w:hAnsi="Times New Roman" w:eastAsia="宋体"/>
      <w:sz w:val="21"/>
      <w:szCs w:val="20"/>
    </w:rPr>
  </w:style>
  <w:style w:type="paragraph" w:styleId="21">
    <w:name w:val="Body Text First Indent 2"/>
    <w:basedOn w:val="11"/>
    <w:qFormat/>
    <w:uiPriority w:val="0"/>
    <w:pPr>
      <w:ind w:firstLine="420" w:firstLineChars="200"/>
    </w:pPr>
  </w:style>
  <w:style w:type="character" w:styleId="24">
    <w:name w:val="FollowedHyperlink"/>
    <w:basedOn w:val="23"/>
    <w:qFormat/>
    <w:uiPriority w:val="0"/>
    <w:rPr>
      <w:color w:val="333333"/>
      <w:sz w:val="18"/>
      <w:szCs w:val="18"/>
      <w:u w:val="none"/>
    </w:rPr>
  </w:style>
  <w:style w:type="character" w:styleId="25">
    <w:name w:val="Hyperlink"/>
    <w:basedOn w:val="23"/>
    <w:qFormat/>
    <w:uiPriority w:val="0"/>
    <w:rPr>
      <w:color w:val="333333"/>
      <w:sz w:val="18"/>
      <w:szCs w:val="18"/>
      <w:u w:val="none"/>
    </w:rPr>
  </w:style>
  <w:style w:type="paragraph" w:customStyle="1" w:styleId="26">
    <w:name w:val="Default"/>
    <w:basedOn w:val="1"/>
    <w:qFormat/>
    <w:uiPriority w:val="0"/>
    <w:pPr>
      <w:autoSpaceDE w:val="0"/>
      <w:autoSpaceDN w:val="0"/>
      <w:adjustRightInd w:val="0"/>
      <w:jc w:val="left"/>
    </w:pPr>
    <w:rPr>
      <w:rFonts w:ascii="宋体" w:hAnsi="Times New Roman" w:cs="宋体"/>
      <w:color w:val="000000"/>
      <w:kern w:val="0"/>
      <w:sz w:val="24"/>
      <w:szCs w:val="24"/>
    </w:rPr>
  </w:style>
  <w:style w:type="paragraph" w:customStyle="1" w:styleId="27">
    <w:name w:val="Normal (Web)"/>
    <w:basedOn w:val="1"/>
    <w:qFormat/>
    <w:uiPriority w:val="0"/>
    <w:pPr>
      <w:spacing w:before="100" w:beforeLines="0" w:beforeAutospacing="1" w:after="100" w:afterLines="0" w:afterAutospacing="1"/>
    </w:pPr>
    <w:rPr>
      <w:rFonts w:ascii="宋体" w:hAnsi="宋体" w:cs="宋体"/>
      <w:sz w:val="24"/>
      <w:lang w:val="en-US" w:eastAsia="zh-CN" w:bidi="ar-SA"/>
    </w:rPr>
  </w:style>
  <w:style w:type="character" w:customStyle="1" w:styleId="28">
    <w:name w:val="apple-converted-space"/>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2018-08-22T02:04:00Z</dcterms:created>
  <dc:creator>Administrator</dc:creator>
  <cp:lastModifiedBy>Administrator</cp:lastModifiedBy>
  <cp:lastPrinted>2019-04-22T01:03:00Z</cp:lastPrinted>
  <dcterms:modified xsi:type="dcterms:W3CDTF">2019-04-24T07:36:51Z</dcterms:modified>
  <dc:title>温县上作新村配套设施（二期）工程</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