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eastAsia="zh-CN"/>
        </w:rPr>
        <w:t>第一标段</w:t>
      </w:r>
      <w:bookmarkStart w:id="0" w:name="_GoBack"/>
      <w:bookmarkEnd w:id="0"/>
      <w:r>
        <w:rPr>
          <w:rFonts w:hint="eastAsia" w:ascii="宋体" w:hAnsi="宋体" w:cs="宋体"/>
          <w:color w:val="auto"/>
        </w:rPr>
        <w:t>招标项目技术参数及服务要求</w:t>
      </w:r>
    </w:p>
    <w:p>
      <w:pPr>
        <w:spacing w:line="480" w:lineRule="exact"/>
        <w:ind w:firstLine="637" w:firstLineChars="302"/>
        <w:rPr>
          <w:rFonts w:hint="eastAsia" w:ascii="宋体" w:hAnsi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  <w:lang w:eastAsia="zh-CN"/>
        </w:rPr>
        <w:t>计算机教室</w:t>
      </w:r>
      <w:r>
        <w:rPr>
          <w:rFonts w:hint="eastAsia" w:ascii="宋体" w:hAnsi="宋体" w:cs="宋体"/>
          <w:b/>
          <w:bCs/>
          <w:color w:val="auto"/>
          <w:szCs w:val="21"/>
        </w:rPr>
        <w:t>技术参数指标</w:t>
      </w:r>
    </w:p>
    <w:tbl>
      <w:tblPr>
        <w:tblStyle w:val="5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476"/>
        <w:gridCol w:w="6884"/>
        <w:gridCol w:w="601"/>
        <w:gridCol w:w="672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88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参数指标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单价</w:t>
            </w: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教师计算机</w:t>
            </w:r>
          </w:p>
        </w:tc>
        <w:tc>
          <w:tcPr>
            <w:tcW w:w="6884" w:type="dxa"/>
            <w:shd w:val="clear" w:color="000000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CPU：Intel 酷睿四核I5处理器，主频≥3.2GHz，缓存≥6MB。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主板：Intel 200系列芯片组及以上。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内存：≥2个DIMM插槽，≥4G DDR4-2400内存。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主板扩展PCIe x16插槽≥1个，PCIe x1插槽≥1 个，M.2 for PCIe NVMe SSD接口 ≥1 个。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硬盘：SATA HDD 7200rpm≥ 1TB。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声卡：集成或独立5.1声道声卡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显卡：独立显卡，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≥1GB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VGA+HDMI接口。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网卡：10/100/1000M以太网卡。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机箱：≤21L立式机箱。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显示器：≥19.5寸宽屏液晶，具有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低蓝光护眼功能，并提供国际权威机构的产品检测证书。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标配接口：VGA接口≥1个，HDMI或DP高清接口≥1个，串口≥1个，USB接口≥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个，至少4个USB接口前置。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键盘及鼠标：PS2防水键盘和光电鼠标。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电源：≤240W节能电源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正版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windows系统。</w:t>
            </w:r>
          </w:p>
          <w:p>
            <w:pPr>
              <w:pStyle w:val="2"/>
              <w:spacing w:before="0" w:beforeAutospacing="0" w:after="0" w:afterAutospacing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随机软件：包含同一品牌或第三方教学管理软件，功能要求：屏幕广播和白屏肃静、学生屏幕缩略图监控、视频及流媒体播放、在线考试及客观题自动评分、语音教学、一键协同浏览网页、一键选取学生答题、“敏感词”监控记录、文档收发、限制功能（网站访问、应用程序、USB/光驱、打印，支持黑白名单）、一键远程控制(一或多终端远程控制、统一程序启动、统一开机/关机/重启/登陆/注销)、一键清屏、支持动态班级列表，多机房设备统一管理。IT运维管理（包含软件统一推送安装/学生机设备资产管理统计/安全策略统一设定/Report Server功能支持学生电脑使用行为记录汇总分析，支持跨网段服务器端部署)。可多个教师切换管理班级。支持桌面和移动端Windows/Mac/iOS/Android操作系统，手机或平板可作为教师端的遥控器。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以上功能需要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提供功能截图证明并盖具原厂公章，提供软件著作权证明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第三方检测报告。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国内知名品牌，2014-2016年IDC商用台式机国内销售排名前三名；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认证：MTBF≥100万小时并获得3C认证，节能产品认证，并入围国家最新一期的节能产品政府采购清单。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售后服务：三年有限保修免费上门，24小时电话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响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应，第二自然日上门，365天全年无休，售后服务体系通过ISO20000认证和CCCS五星级认证, 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投品牌在焦作地区设有售后服务网点（非接修站），需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提供有效证明材料，官方网站可查询。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原厂400/800售后电话。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2台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学生计算机</w:t>
            </w:r>
          </w:p>
        </w:tc>
        <w:tc>
          <w:tcPr>
            <w:tcW w:w="6884" w:type="dxa"/>
            <w:shd w:val="clear" w:color="000000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CPU：Intel 酷睿双核I3处理器，主频≥3.7GHz，缓存≥3MB。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主板：Intel 200系列芯片组及以上。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内存：≥2个DIMM插槽，≥4G DDR4-2400内存。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主板扩展1:PCIe x16插槽≥1个，PCIe x1插槽≥1 个，M.2 for PCIe NVMe SSD接口 ≥1 个。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硬盘：SATA HDD 7200rpm≥ 1TB。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声卡：集成或独立5.1声道声卡。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显卡：集成显卡。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网卡：10/100/1000M以太网卡。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机箱：≤21L立式机箱。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显示器：≥19.5寸宽屏液晶，具有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低蓝光护眼功能，并提供国际权威机构的产品检测证书。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标配接口：VGA接口≥1个，HDMI或DP高清接口≥1个，串口≥1个，USB接口≥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个，至少4个USB接口前置。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键盘及鼠标：PS2防水键盘和光电鼠标。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电源：≤240W节能电源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正版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windows系统。</w:t>
            </w:r>
          </w:p>
          <w:p>
            <w:pPr>
              <w:pStyle w:val="2"/>
              <w:spacing w:before="0" w:beforeAutospacing="0" w:after="0" w:afterAutospacing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随机软件：包含同一品牌或第三方教学管理软件，功能要求：屏幕广播和白屏肃静、学生屏幕缩略图监控、视频及流媒体播放、在线考试及客观题自动评分、语音教学、一键协同浏览网页、一键选取学生答题、“敏感词”监控记录、文档收发、限制功能（网站访问、应用程序、USB/光驱、打印，支持黑白名单）、一键远程控制(一或多终端远程控制、统一程序启动、统一开机/关机/重启/登陆/注销)、一键清屏、支持动态班级列表，多机房设备统一管理。IT运维管理（包含软件统一推送安装/学生机设备资产管理统计/安全策略统一设定/Report Server功能支持学生电脑使用行为记录汇总分析，支持跨网段服务器端部署)。可多个教师切换管理班级。支持桌面和移动端Windows/Mac/iOS/Android操作系统，手机或平板可作为教师端的遥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</w:rPr>
              <w:t>控器。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以上功能需要提供功能截图证明并盖具原厂公章，提供软件著作权证明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第三方检测报告。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国内知名品牌，2014-2016年IDC商用台式机国内销售排名前三名；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认证：MTBF≥100万小时并获得3C认证，节能产品认证，并入围国家最新一期的节能产品政府采购清单。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售后服务：三年有限保修免费上门，24小时电话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响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应，第二自然日上门，365天全年无休，售后服务体系通过ISO20000认证和CCCS五星级认证, 所投品牌在焦作地区设有售后服务网点（非接修站），需提供有效证明材料，官方网站可查询。原厂400/800售后电话。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稳压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电源</w:t>
            </w:r>
          </w:p>
        </w:tc>
        <w:tc>
          <w:tcPr>
            <w:tcW w:w="6884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相/功率：30KVA/输入电压范围：相电压150—250V、线电压260—430V，最好达到：相电压150—280V、线电压260—480V/输出电压范围：相电压220V/稳压精度：相电压220V+3%/绝缘电阻：三相&gt;2MΩ/保护功能：过压保护，过流保护/输出显示：三相电流，电压/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合3C认证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配备漏电开关、防雷器、闸刀。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2台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交换机</w:t>
            </w:r>
          </w:p>
        </w:tc>
        <w:tc>
          <w:tcPr>
            <w:tcW w:w="6884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千兆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以太网交换机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传输速率 10/100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/1000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Mbps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背板带宽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.8Gbps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MAC地址表 8K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端口数量 24个10/100Mbps RJ45端口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，2个10/100/1000Mbps自适应RJ45端口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传输模式 全双工/半双工自适应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网络标准 IEEE 802.3，IEEE 802.3u，IEEE 802.3x 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5台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机柜</w:t>
            </w:r>
          </w:p>
        </w:tc>
        <w:tc>
          <w:tcPr>
            <w:tcW w:w="6884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18U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19英寸国际标准机柜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前门：钢化玻璃前门，带锁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后门：全金属后门，带锁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侧板：速装卸侧板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底座：四重载轮和四调节脚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顶盖：侧通风顶盖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最大载重：300Kg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扇单元（一风机）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固定托架一个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五孔插口配电单元一个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地脚轮4个；地脚钉4颗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参考尺寸：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600mm 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学生桌凳</w:t>
            </w:r>
          </w:p>
        </w:tc>
        <w:tc>
          <w:tcPr>
            <w:tcW w:w="6884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学生计算机桌：尺寸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0cm×60cm×75cm，桌面采用防火面板贴面一次成型，白橡木色、封边处理,主面板厚为25mm；其它面板18mm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板材质地应符合GB/T15102-94中一等品标准的要求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结构合理、稳定性好，不设键盘抽屉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电源线、网线悬空走线，使布线整洁美观便于清理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实木方凳，长35cm×宽25cm,凳面板厚不小于20 mm，四周刨圆角，做工精细，表面光滑，美观大方，环保清漆；凳腿部件材质为优质杂木，主要拐角用钢板、螺丝加固。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95套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教师桌凳</w:t>
            </w:r>
          </w:p>
        </w:tc>
        <w:tc>
          <w:tcPr>
            <w:tcW w:w="6884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教师计算机桌：尺寸160cm×60cm×75cm，桌面采用防火耐磨国际E级低碳环保高密度纤维板材，耐磨，耐划，耐高温，一次成型，封边处理, 主面板厚为25mm，板材质地应符合GB/T15102-94中一等品标准的要求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优质五金配件，三折滑轨，经久耐用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电源线、网线悬空，从桌内走线，使布线整洁美观便于清理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教师用电脑椅：抗磨网布靠背, 结实耐用、透气性好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尼龙五星脚、优质地板轮, 有效防止磨损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PU材质升降扶手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可升降10000次以上的气动棒, 可分角度固定倾仰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2套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网络施工</w:t>
            </w:r>
          </w:p>
        </w:tc>
        <w:tc>
          <w:tcPr>
            <w:tcW w:w="6884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按计算机系统集成要求安装所需的全部线材（网线要求国标超五类纯铜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双绞线，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网线终端要有编号；）、国标安全插板、线槽、水晶头、各类附件、各种接头等，完成整个网络教室的安装布线，整个机房布线整洁大方。过道走线用金属线槽覆盖，金属线槽铁皮厚度≥1.2mm；其他使用40线槽，强弱电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95点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  <w:lang w:val="en-US" w:eastAsia="zh-CN"/>
        </w:rPr>
        <w:t>*</w:t>
      </w:r>
      <w:r>
        <w:rPr>
          <w:rFonts w:hint="eastAsia"/>
        </w:rPr>
        <w:t>设备安装要求：</w:t>
      </w:r>
    </w:p>
    <w:p>
      <w:pPr>
        <w:rPr>
          <w:rFonts w:hint="eastAsia"/>
        </w:rPr>
      </w:pPr>
      <w:r>
        <w:rPr>
          <w:rFonts w:hint="eastAsia"/>
        </w:rPr>
        <w:t>　　　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、电源铺设要求</w:t>
      </w:r>
    </w:p>
    <w:p>
      <w:pPr>
        <w:rPr>
          <w:rFonts w:hint="eastAsia"/>
        </w:rPr>
      </w:pPr>
      <w:r>
        <w:rPr>
          <w:rFonts w:hint="eastAsia"/>
        </w:rPr>
        <w:t>　　　（1）教师机做成单独的回路，便于控制。</w:t>
      </w:r>
    </w:p>
    <w:p>
      <w:pPr>
        <w:rPr>
          <w:rFonts w:hint="eastAsia"/>
        </w:rPr>
      </w:pPr>
      <w:r>
        <w:rPr>
          <w:rFonts w:hint="eastAsia"/>
        </w:rPr>
        <w:t>　　　（2）学生机回路应充分考虑计算机启动的冲击电流。</w:t>
      </w:r>
    </w:p>
    <w:p>
      <w:pPr>
        <w:rPr>
          <w:rFonts w:hint="eastAsia"/>
        </w:rPr>
      </w:pPr>
      <w:r>
        <w:rPr>
          <w:rFonts w:hint="eastAsia"/>
        </w:rPr>
        <w:t>　　　（3）线缆铺设全部采用暗线方式。</w:t>
      </w:r>
    </w:p>
    <w:p>
      <w:pPr>
        <w:rPr>
          <w:rFonts w:hint="eastAsia"/>
        </w:rPr>
      </w:pPr>
      <w:r>
        <w:rPr>
          <w:rFonts w:hint="eastAsia"/>
        </w:rPr>
        <w:t>　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、对计算机系统接地，要遵照国家有关规定标准：</w:t>
      </w:r>
    </w:p>
    <w:p>
      <w:pPr>
        <w:rPr>
          <w:rFonts w:hint="eastAsia"/>
        </w:rPr>
      </w:pPr>
      <w:r>
        <w:rPr>
          <w:rFonts w:hint="eastAsia"/>
        </w:rPr>
        <w:t>　　　（1）计算机系统接地电阻，根据接地以及诸种接地方式之间关系，应按不同计算机系统的要求而定，防雷保护地的接地电阻要求按照国家标准执行。</w:t>
      </w:r>
    </w:p>
    <w:p>
      <w:pPr>
        <w:rPr>
          <w:rFonts w:hint="eastAsia"/>
        </w:rPr>
      </w:pPr>
      <w:r>
        <w:rPr>
          <w:rFonts w:hint="eastAsia"/>
        </w:rPr>
        <w:t>　　　（2）交流工作的接地电阻和安全保护的接地电阻要求按照国家标准执行。</w:t>
      </w:r>
    </w:p>
    <w:p>
      <w:pPr>
        <w:rPr>
          <w:rFonts w:hint="eastAsia"/>
        </w:rPr>
      </w:pPr>
      <w:r>
        <w:rPr>
          <w:rFonts w:hint="eastAsia"/>
        </w:rPr>
        <w:t>　　　（3）接地电阻数值应在要求范围之内越小越好；要考虑各种腐蚀因素应做防腐蚀处理；计算机地线和建筑避雷不可公用，要有一定距离；接地的引线接点要易于测量，接地引线线径应大于或等于三十五平方毫米。</w:t>
      </w:r>
    </w:p>
    <w:p>
      <w:pPr>
        <w:rPr>
          <w:rFonts w:hint="eastAsia"/>
        </w:rPr>
      </w:pPr>
      <w:r>
        <w:rPr>
          <w:rFonts w:hint="eastAsia"/>
        </w:rPr>
        <w:t>　　　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、综合布线</w:t>
      </w:r>
    </w:p>
    <w:p>
      <w:pPr>
        <w:rPr>
          <w:rFonts w:hint="eastAsia"/>
        </w:rPr>
      </w:pPr>
      <w:r>
        <w:rPr>
          <w:rFonts w:hint="eastAsia"/>
        </w:rPr>
        <w:t>　　　综合布线按照规范、灵活、可靠、易维护的设想，要求在网络布线时选用结构化布线方式铺设。完全遵从EIA／TLA568国际综合布线标准，动力电插座安装在防静电地板上，线路均走在地板底下。网线要求不低于超五类线。</w:t>
      </w:r>
    </w:p>
    <w:p>
      <w:pPr>
        <w:rPr>
          <w:rFonts w:hint="eastAsia"/>
        </w:rPr>
      </w:pPr>
      <w:r>
        <w:rPr>
          <w:rFonts w:hint="eastAsia"/>
        </w:rPr>
        <w:t>　　　在网络布线时，要求全程以国际布线标准ISO／IEC11801：1995（E）和ANSI／TLA／ELA568A《商业建筑物电信布线标准》为依据布线，同时参照以下标准：</w:t>
      </w:r>
    </w:p>
    <w:p>
      <w:pPr>
        <w:rPr>
          <w:rFonts w:hint="eastAsia"/>
        </w:rPr>
      </w:pPr>
      <w:r>
        <w:rPr>
          <w:rFonts w:hint="eastAsia"/>
        </w:rPr>
        <w:t>　　　中国建筑电气设计规范；</w:t>
      </w:r>
    </w:p>
    <w:p>
      <w:pPr>
        <w:rPr>
          <w:rFonts w:hint="eastAsia"/>
        </w:rPr>
      </w:pPr>
      <w:r>
        <w:rPr>
          <w:rFonts w:hint="eastAsia"/>
        </w:rPr>
        <w:t>　　　中国工程建设标准化协会标准“建筑与建筑群综合布线系统工程设计规范”；</w:t>
      </w:r>
    </w:p>
    <w:p>
      <w:pPr>
        <w:rPr>
          <w:rFonts w:hint="eastAsia"/>
        </w:rPr>
      </w:pPr>
      <w:r>
        <w:rPr>
          <w:rFonts w:hint="eastAsia"/>
        </w:rPr>
        <w:t>　　　中国工程建设标准化协会标准“建筑与建筑群综合布线系统工程施工及验收规范”。</w:t>
      </w:r>
    </w:p>
    <w:p>
      <w:pPr>
        <w:rPr>
          <w:rFonts w:hint="eastAsia"/>
        </w:rPr>
      </w:pPr>
      <w:r>
        <w:rPr>
          <w:rFonts w:hint="eastAsia"/>
        </w:rPr>
        <w:t>　　　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、合理设计网络结构，既要保证速度，不出现瓶颈，又要控制网络单节点故障的影响范围。投标方对此要提供详细的网络拓扑并说明设计思想。交换机之间全千兆</w:t>
      </w:r>
      <w:r>
        <w:rPr>
          <w:rFonts w:hint="eastAsia"/>
          <w:lang w:eastAsia="zh-CN"/>
        </w:rPr>
        <w:t>链接</w:t>
      </w:r>
      <w:r>
        <w:rPr>
          <w:rFonts w:hint="eastAsia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ook Antiqua">
    <w:altName w:val="Palatino Linotype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D84"/>
    <w:rsid w:val="00F1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2017-11-27T03:38:00Z</dcterms:created>
  <dc:creator>无法抗拒的恐惧感。</dc:creator>
  <cp:lastModifiedBy>无法抗拒的恐惧感。</cp:lastModifiedBy>
  <dcterms:modified xsi:type="dcterms:W3CDTF">2017-11-27T03:39:01Z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