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560" w:lineRule="atLeast"/>
        <w:rPr>
          <w:rFonts w:ascii="宋体" w:hAnsi="宋体" w:cs="宋体"/>
          <w:b/>
          <w:bCs/>
          <w:color w:val="auto"/>
          <w:kern w:val="0"/>
          <w:sz w:val="44"/>
          <w:szCs w:val="44"/>
        </w:rPr>
      </w:pPr>
      <w:bookmarkStart w:id="0" w:name="_Toc281574833"/>
    </w:p>
    <w:p>
      <w:pPr>
        <w:widowControl/>
        <w:spacing w:line="560" w:lineRule="atLeast"/>
        <w:jc w:val="center"/>
        <w:rPr>
          <w:rFonts w:hint="eastAsia" w:ascii="宋体" w:hAnsi="宋体" w:eastAsia="宋体" w:cs="宋体"/>
          <w:b/>
          <w:bCs/>
          <w:color w:val="auto"/>
          <w:kern w:val="0"/>
          <w:sz w:val="52"/>
          <w:szCs w:val="52"/>
          <w:lang w:eastAsia="zh-CN"/>
        </w:rPr>
      </w:pPr>
      <w:r>
        <w:rPr>
          <w:rFonts w:hint="eastAsia" w:ascii="宋体" w:hAnsi="宋体" w:cs="宋体"/>
          <w:b/>
          <w:bCs/>
          <w:color w:val="auto"/>
          <w:kern w:val="0"/>
          <w:sz w:val="52"/>
          <w:szCs w:val="52"/>
          <w:lang w:eastAsia="zh-CN"/>
        </w:rPr>
        <w:t>温县太极转盘十字口增设设施项目</w:t>
      </w:r>
    </w:p>
    <w:p>
      <w:pPr>
        <w:widowControl/>
        <w:spacing w:line="560" w:lineRule="atLeast"/>
        <w:jc w:val="center"/>
        <w:rPr>
          <w:rFonts w:ascii="宋体" w:hAnsi="宋体" w:cs="宋体"/>
          <w:b/>
          <w:bCs/>
          <w:color w:val="auto"/>
          <w:kern w:val="0"/>
          <w:sz w:val="36"/>
          <w:szCs w:val="36"/>
        </w:rPr>
      </w:pPr>
    </w:p>
    <w:p>
      <w:pPr>
        <w:widowControl/>
        <w:spacing w:line="560" w:lineRule="atLeast"/>
        <w:rPr>
          <w:rFonts w:ascii="宋体" w:hAnsi="宋体" w:cs="宋体"/>
          <w:b/>
          <w:bCs/>
          <w:color w:val="auto"/>
          <w:kern w:val="0"/>
          <w:sz w:val="36"/>
          <w:szCs w:val="36"/>
        </w:rPr>
      </w:pPr>
    </w:p>
    <w:p>
      <w:pPr>
        <w:widowControl/>
        <w:spacing w:line="560" w:lineRule="atLeast"/>
        <w:jc w:val="center"/>
        <w:rPr>
          <w:rFonts w:hint="eastAsia" w:ascii="宋体" w:hAnsi="宋体" w:cs="宋体"/>
          <w:b/>
          <w:bCs/>
          <w:color w:val="auto"/>
          <w:kern w:val="0"/>
          <w:sz w:val="52"/>
          <w:szCs w:val="52"/>
        </w:rPr>
      </w:pPr>
      <w:r>
        <w:rPr>
          <w:rFonts w:hint="eastAsia" w:ascii="宋体" w:hAnsi="宋体" w:cs="宋体"/>
          <w:b/>
          <w:bCs/>
          <w:color w:val="auto"/>
          <w:kern w:val="0"/>
          <w:sz w:val="52"/>
          <w:szCs w:val="52"/>
        </w:rPr>
        <w:t xml:space="preserve">竞 争 性 谈 判 文 件 </w:t>
      </w:r>
    </w:p>
    <w:p>
      <w:pPr>
        <w:widowControl/>
        <w:spacing w:line="560" w:lineRule="atLeast"/>
        <w:jc w:val="center"/>
        <w:rPr>
          <w:rFonts w:hint="eastAsia" w:ascii="宋体" w:hAnsi="宋体" w:eastAsia="宋体" w:cs="宋体"/>
          <w:b/>
          <w:bCs/>
          <w:color w:val="auto"/>
          <w:kern w:val="0"/>
          <w:sz w:val="36"/>
          <w:szCs w:val="36"/>
          <w:lang w:eastAsia="zh-CN"/>
        </w:rPr>
      </w:pPr>
      <w:r>
        <w:rPr>
          <w:rFonts w:hint="eastAsia" w:ascii="宋体" w:hAnsi="宋体" w:cs="宋体"/>
          <w:b/>
          <w:bCs/>
          <w:color w:val="auto"/>
          <w:kern w:val="0"/>
          <w:sz w:val="36"/>
          <w:szCs w:val="36"/>
          <w:lang w:eastAsia="zh-CN"/>
        </w:rPr>
        <w:t>（第一标段）</w:t>
      </w:r>
    </w:p>
    <w:p>
      <w:pPr>
        <w:widowControl/>
        <w:spacing w:line="560" w:lineRule="atLeast"/>
        <w:jc w:val="center"/>
        <w:rPr>
          <w:rFonts w:ascii="方正楷体简体" w:hAnsi="Times New Roman" w:eastAsia="方正楷体简体" w:cs="宋体"/>
          <w:b/>
          <w:bCs/>
          <w:color w:val="auto"/>
          <w:kern w:val="0"/>
          <w:sz w:val="44"/>
          <w:szCs w:val="44"/>
        </w:rPr>
      </w:pPr>
    </w:p>
    <w:p>
      <w:pPr>
        <w:widowControl/>
        <w:spacing w:line="560" w:lineRule="atLeast"/>
        <w:jc w:val="center"/>
        <w:rPr>
          <w:rFonts w:ascii="方正楷体简体" w:hAnsi="Times New Roman" w:eastAsia="方正楷体简体" w:cs="宋体"/>
          <w:b/>
          <w:bCs/>
          <w:color w:val="auto"/>
          <w:kern w:val="0"/>
          <w:sz w:val="44"/>
          <w:szCs w:val="44"/>
        </w:rPr>
      </w:pPr>
    </w:p>
    <w:p>
      <w:pPr>
        <w:widowControl/>
        <w:spacing w:line="560" w:lineRule="atLeast"/>
        <w:jc w:val="center"/>
        <w:rPr>
          <w:rFonts w:ascii="方正楷体简体" w:hAnsi="Times New Roman" w:eastAsia="方正楷体简体" w:cs="宋体"/>
          <w:b/>
          <w:bCs/>
          <w:color w:val="auto"/>
          <w:kern w:val="0"/>
          <w:sz w:val="44"/>
          <w:szCs w:val="44"/>
        </w:rPr>
      </w:pPr>
    </w:p>
    <w:p>
      <w:pPr>
        <w:spacing w:line="540" w:lineRule="exact"/>
        <w:jc w:val="center"/>
        <w:rPr>
          <w:rFonts w:ascii="宋体" w:hAnsi="宋体" w:cs="宋体"/>
          <w:b/>
          <w:color w:val="auto"/>
          <w:kern w:val="0"/>
          <w:sz w:val="28"/>
          <w:szCs w:val="28"/>
        </w:rPr>
      </w:pPr>
      <w:r>
        <w:rPr>
          <w:rFonts w:hint="eastAsia" w:ascii="宋体" w:hAnsi="宋体"/>
          <w:b/>
          <w:color w:val="auto"/>
          <w:sz w:val="28"/>
          <w:szCs w:val="28"/>
        </w:rPr>
        <w:t>项目编号：</w:t>
      </w:r>
      <w:r>
        <w:rPr>
          <w:rFonts w:hint="eastAsia" w:ascii="宋体" w:hAnsi="宋体" w:cs="宋体"/>
          <w:b/>
          <w:color w:val="auto"/>
          <w:kern w:val="0"/>
          <w:sz w:val="28"/>
          <w:szCs w:val="28"/>
          <w:lang w:eastAsia="zh-CN"/>
        </w:rPr>
        <w:t>温交易[2017]246号</w:t>
      </w:r>
    </w:p>
    <w:p>
      <w:pPr>
        <w:spacing w:line="540" w:lineRule="exact"/>
        <w:jc w:val="center"/>
        <w:rPr>
          <w:rFonts w:ascii="宋体" w:hAnsi="宋体" w:cs="宋体"/>
          <w:b/>
          <w:color w:val="auto"/>
          <w:kern w:val="0"/>
          <w:sz w:val="28"/>
          <w:szCs w:val="28"/>
        </w:rPr>
      </w:pPr>
      <w:r>
        <w:rPr>
          <w:rFonts w:hint="eastAsia" w:ascii="宋体" w:hAnsi="宋体" w:cs="宋体"/>
          <w:b/>
          <w:color w:val="auto"/>
          <w:kern w:val="0"/>
          <w:sz w:val="28"/>
          <w:szCs w:val="28"/>
        </w:rPr>
        <w:t>采购编号：</w:t>
      </w:r>
      <w:r>
        <w:rPr>
          <w:rFonts w:hint="eastAsia" w:ascii="宋体" w:hAnsi="宋体" w:cs="宋体"/>
          <w:b/>
          <w:color w:val="auto"/>
          <w:kern w:val="0"/>
          <w:sz w:val="28"/>
          <w:szCs w:val="28"/>
          <w:lang w:eastAsia="zh-CN"/>
        </w:rPr>
        <w:t>温政采[2017]211号</w:t>
      </w:r>
    </w:p>
    <w:p>
      <w:pPr>
        <w:widowControl/>
        <w:spacing w:line="560" w:lineRule="atLeast"/>
        <w:jc w:val="center"/>
        <w:rPr>
          <w:rFonts w:ascii="宋体" w:hAnsi="宋体" w:cs="宋体"/>
          <w:color w:val="auto"/>
          <w:kern w:val="0"/>
          <w:sz w:val="28"/>
          <w:szCs w:val="28"/>
        </w:rPr>
      </w:pPr>
    </w:p>
    <w:p>
      <w:pPr>
        <w:widowControl/>
        <w:spacing w:line="560" w:lineRule="atLeast"/>
        <w:jc w:val="center"/>
        <w:rPr>
          <w:rFonts w:ascii="宋体" w:hAnsi="宋体" w:cs="宋体"/>
          <w:color w:val="auto"/>
          <w:kern w:val="0"/>
          <w:sz w:val="28"/>
          <w:szCs w:val="28"/>
        </w:rPr>
      </w:pPr>
    </w:p>
    <w:p>
      <w:pPr>
        <w:widowControl/>
        <w:spacing w:line="560" w:lineRule="atLeast"/>
        <w:rPr>
          <w:rFonts w:ascii="黑体" w:hAnsi="Times New Roman" w:eastAsia="黑体" w:cs="宋体"/>
          <w:color w:val="auto"/>
          <w:kern w:val="0"/>
          <w:sz w:val="28"/>
          <w:szCs w:val="28"/>
        </w:rPr>
      </w:pPr>
    </w:p>
    <w:p>
      <w:pPr>
        <w:widowControl/>
        <w:spacing w:line="560" w:lineRule="atLeast"/>
        <w:rPr>
          <w:rFonts w:ascii="黑体" w:hAnsi="Times New Roman" w:eastAsia="黑体" w:cs="宋体"/>
          <w:color w:val="auto"/>
          <w:kern w:val="0"/>
          <w:sz w:val="28"/>
          <w:szCs w:val="28"/>
        </w:rPr>
      </w:pPr>
    </w:p>
    <w:p>
      <w:pPr>
        <w:spacing w:line="560" w:lineRule="exact"/>
        <w:jc w:val="both"/>
        <w:rPr>
          <w:rFonts w:hint="eastAsia" w:ascii="宋体" w:hAnsi="宋体"/>
          <w:b/>
          <w:color w:val="auto"/>
          <w:sz w:val="30"/>
          <w:szCs w:val="30"/>
        </w:rPr>
      </w:pPr>
    </w:p>
    <w:p>
      <w:pPr>
        <w:spacing w:line="560" w:lineRule="exact"/>
        <w:jc w:val="both"/>
        <w:rPr>
          <w:rFonts w:hint="eastAsia" w:ascii="宋体" w:hAnsi="宋体"/>
          <w:b/>
          <w:color w:val="auto"/>
          <w:sz w:val="30"/>
          <w:szCs w:val="30"/>
        </w:rPr>
      </w:pPr>
    </w:p>
    <w:p>
      <w:pPr>
        <w:spacing w:line="560" w:lineRule="exact"/>
        <w:jc w:val="both"/>
        <w:rPr>
          <w:rFonts w:hint="eastAsia" w:ascii="宋体" w:hAnsi="宋体"/>
          <w:b/>
          <w:color w:val="auto"/>
          <w:sz w:val="30"/>
          <w:szCs w:val="30"/>
        </w:rPr>
      </w:pPr>
    </w:p>
    <w:p>
      <w:pPr>
        <w:spacing w:line="560" w:lineRule="exact"/>
        <w:jc w:val="both"/>
        <w:rPr>
          <w:rFonts w:hint="eastAsia" w:ascii="宋体" w:hAnsi="宋体"/>
          <w:b/>
          <w:color w:val="auto"/>
          <w:sz w:val="30"/>
          <w:szCs w:val="30"/>
        </w:rPr>
      </w:pPr>
    </w:p>
    <w:p>
      <w:pPr>
        <w:spacing w:line="560" w:lineRule="exact"/>
        <w:ind w:firstLine="1807" w:firstLineChars="600"/>
        <w:jc w:val="both"/>
        <w:rPr>
          <w:rFonts w:ascii="宋体" w:hAnsi="宋体"/>
          <w:b/>
          <w:color w:val="auto"/>
          <w:sz w:val="30"/>
          <w:szCs w:val="30"/>
          <w:u w:val="single"/>
        </w:rPr>
      </w:pPr>
      <w:r>
        <w:rPr>
          <w:rFonts w:hint="eastAsia" w:ascii="宋体" w:hAnsi="宋体"/>
          <w:b/>
          <w:color w:val="auto"/>
          <w:sz w:val="30"/>
          <w:szCs w:val="30"/>
        </w:rPr>
        <w:t>采  购  单  位：</w:t>
      </w:r>
      <w:r>
        <w:rPr>
          <w:rFonts w:hint="eastAsia" w:ascii="宋体" w:hAnsi="宋体"/>
          <w:b/>
          <w:color w:val="auto"/>
          <w:sz w:val="30"/>
          <w:szCs w:val="30"/>
          <w:u w:val="single"/>
        </w:rPr>
        <w:t>温县公安交通警察大队</w:t>
      </w:r>
    </w:p>
    <w:p>
      <w:pPr>
        <w:spacing w:line="560" w:lineRule="exact"/>
        <w:jc w:val="center"/>
        <w:rPr>
          <w:rFonts w:ascii="宋体" w:hAnsi="宋体"/>
          <w:b/>
          <w:color w:val="auto"/>
          <w:sz w:val="28"/>
          <w:szCs w:val="28"/>
          <w:u w:val="single"/>
        </w:rPr>
      </w:pPr>
      <w:r>
        <w:rPr>
          <w:rFonts w:hint="eastAsia" w:ascii="宋体" w:hAnsi="宋体"/>
          <w:b/>
          <w:color w:val="auto"/>
          <w:sz w:val="28"/>
          <w:szCs w:val="28"/>
          <w:lang w:val="en-US" w:eastAsia="zh-CN"/>
        </w:rPr>
        <w:t xml:space="preserve">  </w:t>
      </w:r>
      <w:r>
        <w:rPr>
          <w:rFonts w:hint="eastAsia" w:ascii="宋体" w:hAnsi="宋体"/>
          <w:b/>
          <w:color w:val="auto"/>
          <w:sz w:val="28"/>
          <w:szCs w:val="28"/>
        </w:rPr>
        <w:t>采 购 代理 机构：</w:t>
      </w:r>
      <w:r>
        <w:rPr>
          <w:rFonts w:hint="eastAsia" w:ascii="宋体" w:hAnsi="宋体"/>
          <w:b/>
          <w:color w:val="auto"/>
          <w:sz w:val="28"/>
          <w:szCs w:val="28"/>
          <w:u w:val="single"/>
          <w:lang w:eastAsia="zh-CN"/>
        </w:rPr>
        <w:t>国泰信华工程咨询有限公司</w:t>
      </w:r>
    </w:p>
    <w:p>
      <w:pPr>
        <w:spacing w:line="560" w:lineRule="exact"/>
        <w:rPr>
          <w:rFonts w:ascii="宋体" w:hAnsi="宋体"/>
          <w:b/>
          <w:color w:val="auto"/>
          <w:sz w:val="30"/>
          <w:szCs w:val="30"/>
          <w:u w:val="single"/>
        </w:rPr>
      </w:pPr>
    </w:p>
    <w:p>
      <w:pPr>
        <w:spacing w:line="560" w:lineRule="exact"/>
        <w:jc w:val="center"/>
        <w:rPr>
          <w:rFonts w:ascii="宋体" w:hAnsi="宋体"/>
          <w:b/>
          <w:color w:val="auto"/>
          <w:sz w:val="30"/>
          <w:szCs w:val="30"/>
          <w:u w:val="single"/>
        </w:rPr>
      </w:pPr>
      <w:r>
        <w:rPr>
          <w:rFonts w:hint="eastAsia" w:ascii="宋体" w:hAnsi="宋体" w:cs="宋体"/>
          <w:color w:val="auto"/>
          <w:kern w:val="0"/>
          <w:sz w:val="30"/>
          <w:szCs w:val="30"/>
        </w:rPr>
        <w:t>2017年8月</w:t>
      </w:r>
    </w:p>
    <w:p>
      <w:pPr>
        <w:widowControl/>
        <w:spacing w:line="600" w:lineRule="exact"/>
        <w:rPr>
          <w:rFonts w:ascii="方正北魏楷书简体" w:hAnsi="宋体" w:eastAsia="方正北魏楷书简体" w:cs="宋体"/>
          <w:color w:val="auto"/>
          <w:kern w:val="0"/>
          <w:sz w:val="30"/>
          <w:szCs w:val="30"/>
        </w:rPr>
      </w:pPr>
    </w:p>
    <w:p>
      <w:pPr>
        <w:pStyle w:val="18"/>
        <w:spacing w:before="0" w:beforeAutospacing="0" w:after="0" w:afterAutospacing="0" w:line="500" w:lineRule="exact"/>
        <w:jc w:val="center"/>
        <w:rPr>
          <w:rFonts w:hint="eastAsia"/>
          <w:b/>
          <w:color w:val="auto"/>
          <w:sz w:val="32"/>
          <w:szCs w:val="32"/>
        </w:rPr>
      </w:pPr>
      <w:r>
        <w:rPr>
          <w:rFonts w:hint="eastAsia"/>
          <w:b/>
          <w:color w:val="auto"/>
          <w:sz w:val="32"/>
          <w:szCs w:val="32"/>
          <w:lang w:eastAsia="zh-CN"/>
        </w:rPr>
        <w:t>温县太极转盘十字口增设设施项目</w:t>
      </w:r>
      <w:r>
        <w:rPr>
          <w:rFonts w:hint="eastAsia"/>
          <w:b/>
          <w:color w:val="auto"/>
          <w:sz w:val="32"/>
          <w:szCs w:val="32"/>
        </w:rPr>
        <w:t>竞争性谈判公告</w:t>
      </w:r>
    </w:p>
    <w:p>
      <w:pPr>
        <w:pStyle w:val="18"/>
        <w:spacing w:before="0" w:beforeAutospacing="0" w:after="0" w:afterAutospacing="0" w:line="500" w:lineRule="exact"/>
        <w:jc w:val="center"/>
        <w:rPr>
          <w:rFonts w:hint="eastAsia"/>
          <w:b/>
          <w:color w:val="auto"/>
          <w:sz w:val="32"/>
          <w:szCs w:val="32"/>
        </w:rPr>
      </w:pP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lang w:eastAsia="zh-CN"/>
        </w:rPr>
        <w:t>国泰信华工程咨询有限公司</w:t>
      </w:r>
      <w:r>
        <w:rPr>
          <w:rFonts w:hint="eastAsia" w:ascii="宋体" w:hAnsi="宋体"/>
          <w:color w:val="auto"/>
          <w:kern w:val="0"/>
          <w:sz w:val="24"/>
        </w:rPr>
        <w:t>受温县公安交通警察大队委托，就</w:t>
      </w:r>
      <w:r>
        <w:rPr>
          <w:rFonts w:hint="eastAsia" w:ascii="宋体" w:hAnsi="宋体"/>
          <w:color w:val="auto"/>
          <w:kern w:val="0"/>
          <w:sz w:val="24"/>
          <w:lang w:eastAsia="zh-CN"/>
        </w:rPr>
        <w:t>温县太极转盘十字口增设设施项目</w:t>
      </w:r>
      <w:r>
        <w:rPr>
          <w:rFonts w:hint="eastAsia" w:ascii="宋体" w:hAnsi="宋体"/>
          <w:color w:val="auto"/>
          <w:kern w:val="0"/>
          <w:sz w:val="24"/>
        </w:rPr>
        <w:t>进行竞争性谈判，现欢迎符合相关条件的供应商参加投标。</w:t>
      </w:r>
    </w:p>
    <w:p>
      <w:pPr>
        <w:numPr>
          <w:ilvl w:val="0"/>
          <w:numId w:val="1"/>
        </w:num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采购项目名称：</w:t>
      </w:r>
      <w:r>
        <w:rPr>
          <w:rFonts w:hint="eastAsia" w:ascii="宋体" w:hAnsi="宋体"/>
          <w:color w:val="auto"/>
          <w:kern w:val="0"/>
          <w:sz w:val="24"/>
          <w:lang w:eastAsia="zh-CN"/>
        </w:rPr>
        <w:t>温县太极转盘十字口增设设施项目</w:t>
      </w:r>
    </w:p>
    <w:p>
      <w:pPr>
        <w:autoSpaceDE w:val="0"/>
        <w:autoSpaceDN w:val="0"/>
        <w:spacing w:line="420" w:lineRule="exact"/>
        <w:ind w:left="420" w:leftChars="200"/>
        <w:rPr>
          <w:rFonts w:ascii="宋体" w:hAnsi="宋体"/>
          <w:color w:val="auto"/>
          <w:kern w:val="0"/>
          <w:sz w:val="24"/>
        </w:rPr>
      </w:pPr>
      <w:r>
        <w:rPr>
          <w:rFonts w:hint="eastAsia" w:ascii="宋体" w:hAnsi="宋体"/>
          <w:color w:val="auto"/>
          <w:kern w:val="0"/>
          <w:sz w:val="24"/>
        </w:rPr>
        <w:t xml:space="preserve"> 二、项目编号：</w:t>
      </w:r>
      <w:r>
        <w:rPr>
          <w:rFonts w:hint="eastAsia" w:ascii="宋体" w:hAnsi="宋体"/>
          <w:color w:val="auto"/>
          <w:kern w:val="0"/>
          <w:sz w:val="24"/>
          <w:lang w:eastAsia="zh-CN"/>
        </w:rPr>
        <w:t>温交易【2017】246号</w:t>
      </w:r>
      <w:r>
        <w:rPr>
          <w:rFonts w:hint="eastAsia" w:ascii="宋体" w:hAnsi="宋体"/>
          <w:color w:val="auto"/>
          <w:kern w:val="0"/>
          <w:sz w:val="24"/>
        </w:rPr>
        <w:t xml:space="preserve">  采购编号：</w:t>
      </w:r>
      <w:r>
        <w:rPr>
          <w:rFonts w:hint="eastAsia" w:ascii="宋体" w:hAnsi="宋体"/>
          <w:color w:val="auto"/>
          <w:kern w:val="0"/>
          <w:sz w:val="24"/>
          <w:lang w:eastAsia="zh-CN"/>
        </w:rPr>
        <w:t>温政采【2017】211号</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三、采购项目简要说明：</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第一标段：</w:t>
      </w:r>
      <w:r>
        <w:rPr>
          <w:rFonts w:hint="eastAsia" w:ascii="宋体" w:hAnsi="宋体"/>
          <w:color w:val="auto"/>
          <w:kern w:val="0"/>
          <w:sz w:val="24"/>
          <w:lang w:eastAsia="zh-CN"/>
        </w:rPr>
        <w:t>安装红绿灯一套，隔离护栏</w:t>
      </w:r>
      <w:r>
        <w:rPr>
          <w:rFonts w:hint="eastAsia" w:ascii="宋体" w:hAnsi="宋体"/>
          <w:color w:val="auto"/>
          <w:kern w:val="0"/>
          <w:sz w:val="24"/>
          <w:lang w:val="en-US" w:eastAsia="zh-CN"/>
        </w:rPr>
        <w:t>500米，分道标志牌等标牌8块，热熔标线982平方米</w:t>
      </w:r>
      <w:r>
        <w:rPr>
          <w:rFonts w:hint="eastAsia" w:ascii="宋体" w:hAnsi="宋体"/>
          <w:color w:val="auto"/>
          <w:kern w:val="0"/>
          <w:sz w:val="24"/>
        </w:rPr>
        <w:t>；</w:t>
      </w:r>
      <w:r>
        <w:rPr>
          <w:rFonts w:hint="eastAsia" w:ascii="宋体" w:hAnsi="宋体"/>
          <w:color w:val="auto"/>
          <w:kern w:val="0"/>
          <w:sz w:val="24"/>
          <w:lang w:eastAsia="zh-CN"/>
        </w:rPr>
        <w:t>第二标段：安装电子警察一套；</w:t>
      </w:r>
      <w:r>
        <w:rPr>
          <w:rFonts w:hint="eastAsia" w:ascii="宋体" w:hAnsi="宋体"/>
          <w:color w:val="auto"/>
          <w:kern w:val="0"/>
          <w:sz w:val="24"/>
        </w:rPr>
        <w:t>（数量及技术参数详见谈判文件）。</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供货期：自签订合同之日起</w:t>
      </w:r>
      <w:r>
        <w:rPr>
          <w:rFonts w:hint="eastAsia" w:ascii="宋体" w:hAnsi="宋体"/>
          <w:color w:val="auto"/>
          <w:kern w:val="0"/>
          <w:sz w:val="24"/>
          <w:lang w:val="en-US" w:eastAsia="zh-CN"/>
        </w:rPr>
        <w:t>30</w:t>
      </w:r>
      <w:r>
        <w:rPr>
          <w:rFonts w:hint="eastAsia" w:ascii="宋体" w:hAnsi="宋体"/>
          <w:color w:val="auto"/>
          <w:kern w:val="0"/>
          <w:sz w:val="24"/>
        </w:rPr>
        <w:t>日。</w:t>
      </w:r>
    </w:p>
    <w:p>
      <w:pPr>
        <w:autoSpaceDE w:val="0"/>
        <w:autoSpaceDN w:val="0"/>
        <w:spacing w:line="420" w:lineRule="exact"/>
        <w:ind w:firstLine="482" w:firstLineChars="200"/>
        <w:rPr>
          <w:rFonts w:ascii="宋体" w:hAnsi="宋体"/>
          <w:color w:val="auto"/>
          <w:kern w:val="0"/>
          <w:sz w:val="24"/>
        </w:rPr>
      </w:pPr>
      <w:r>
        <w:rPr>
          <w:rFonts w:hint="eastAsia" w:ascii="宋体" w:hAnsi="宋体"/>
          <w:b/>
          <w:bCs/>
          <w:color w:val="auto"/>
          <w:kern w:val="0"/>
          <w:sz w:val="24"/>
        </w:rPr>
        <w:t>四、投标人资格要求</w:t>
      </w:r>
      <w:r>
        <w:rPr>
          <w:rFonts w:hint="eastAsia" w:ascii="宋体" w:hAnsi="宋体"/>
          <w:color w:val="auto"/>
          <w:kern w:val="0"/>
          <w:sz w:val="24"/>
        </w:rPr>
        <w:t xml:space="preserve"> </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4.1、符合《政府采购法》第二十二条规定的条件：</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（1）具有独立承担民事责任的能力；</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（2）具有良好的商业信誉和健全的财务会计制度；</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（3）具有履行合同所必需的设备和专业技术能力；</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（4）有依法缴纳税收和社会保障资金的良好记录；</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（5）参加政府采购活动前三年内，在经营活动中没有重大违法记录；</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（6）法律、行政法规规定的其他条件。</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4.2、投标人具备独立法人资格，且经营范围符合本项目要求的生产企业或经销商</w:t>
      </w:r>
      <w:r>
        <w:rPr>
          <w:rFonts w:hint="eastAsia" w:ascii="宋体" w:hAnsi="宋体"/>
          <w:color w:val="auto"/>
          <w:kern w:val="0"/>
          <w:sz w:val="24"/>
          <w:lang w:eastAsia="zh-CN"/>
        </w:rPr>
        <w:t>，</w:t>
      </w:r>
      <w:r>
        <w:rPr>
          <w:rFonts w:hint="eastAsia" w:asciiTheme="minorEastAsia" w:hAnsiTheme="minorEastAsia" w:eastAsiaTheme="minorEastAsia" w:cstheme="minorEastAsia"/>
          <w:b w:val="0"/>
          <w:bCs w:val="0"/>
          <w:i w:val="0"/>
          <w:caps w:val="0"/>
          <w:color w:val="000000"/>
          <w:spacing w:val="0"/>
          <w:sz w:val="24"/>
          <w:szCs w:val="24"/>
          <w:shd w:val="clear" w:fill="FFFFFF"/>
        </w:rPr>
        <w:t>代理经销商须提供生产厂家针对本项目的授权书原件</w:t>
      </w:r>
      <w:r>
        <w:rPr>
          <w:rFonts w:hint="eastAsia" w:asciiTheme="minorEastAsia" w:hAnsiTheme="minorEastAsia" w:eastAsiaTheme="minorEastAsia" w:cstheme="minorEastAsia"/>
          <w:b w:val="0"/>
          <w:bCs w:val="0"/>
          <w:i w:val="0"/>
          <w:caps w:val="0"/>
          <w:color w:val="000000"/>
          <w:spacing w:val="0"/>
          <w:sz w:val="24"/>
          <w:szCs w:val="24"/>
          <w:shd w:val="clear" w:fill="FFFFFF"/>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color w:val="auto"/>
          <w:kern w:val="0"/>
          <w:sz w:val="24"/>
        </w:rPr>
        <w:t>4.3、</w:t>
      </w:r>
      <w:r>
        <w:rPr>
          <w:rFonts w:hint="eastAsia" w:ascii="宋体" w:hAnsi="宋体" w:eastAsia="宋体" w:cs="宋体"/>
          <w:b/>
          <w:bCs/>
          <w:sz w:val="24"/>
          <w:szCs w:val="24"/>
        </w:rPr>
        <w:t>第一标段资质要求：</w:t>
      </w:r>
      <w:r>
        <w:rPr>
          <w:rFonts w:hint="eastAsia" w:ascii="宋体" w:hAnsi="宋体" w:eastAsia="宋体" w:cs="宋体"/>
          <w:sz w:val="24"/>
          <w:szCs w:val="24"/>
        </w:rPr>
        <w:t>需具备建设行政主管部分颁发的公路交通工程专业承包贰级及以上资质（公路机电工程专业分项）且具有有效的安全生产许可证；并在人员、设备、资金等方面具备相应的施工能力。</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投标人拟派的项目经理应具有机电工程或公路工程专业贰级及以上注册建造师资格和有效的安全生产考核合格证，且未担任其他在建工程项目的经理。</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投标人需具备与采购单位原有交通信号灯设备实现互联互通，无缝对接能力，并出具承诺函。承诺在中标后与采购单位及时沟通，在领取中标通知书后七日内，实现与原有交通信号灯设备实现互联互通、无缝对接,并交纳履约保证金。若中标后不能按期实现与原有交通信号灯设备实现互联互通，无缝对接将取消其中标资格，采购人有权拒绝与其签订合同，按照规定没收保证金。</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中标单位实现与采购单位原有交通信号灯设备，实现互联互通，无缝对接过程中的所有设备及相关费用，均由中标单位承担。</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中标单位拟派项目经理自领取中标通知书之日起全程跟踪项目建设，保证该项目按时高质量完工，直至项目验收。</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中标单位在向采购单位提供货物和设备时，必须提供以下全新备用机，24相位智能联网信号机一台、三联体箭头灯、三联体满屏灯、三联体非机动车灯、两联体动态人行灯各一组，确保设备有故障时及时更换，如以上备用机不能按时提供，竣工验收时视为不合格不予验收。</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投标单位必须出具投标产品生产厂家出具的五年免费售后承诺卡（函）。中标单位在与采购单位签订合同时，一并签订《工程进度表及安全施工协议》</w:t>
      </w:r>
      <w:r>
        <w:rPr>
          <w:rFonts w:hint="eastAsia"/>
          <w:bCs/>
          <w:color w:val="auto"/>
          <w:sz w:val="24"/>
          <w:highlight w:val="none"/>
        </w:rPr>
        <w:t>如不能保质保量按照《工程进度表及安全施工协议》施工，扣除</w:t>
      </w:r>
      <w:r>
        <w:rPr>
          <w:rFonts w:hint="eastAsia" w:ascii="宋体" w:hAnsi="宋体" w:eastAsia="宋体" w:cs="宋体"/>
          <w:bCs/>
          <w:color w:val="auto"/>
          <w:sz w:val="24"/>
          <w:highlight w:val="none"/>
        </w:rPr>
        <w:t>10%</w:t>
      </w:r>
      <w:r>
        <w:rPr>
          <w:rFonts w:hint="eastAsia"/>
          <w:bCs/>
          <w:color w:val="auto"/>
          <w:sz w:val="24"/>
          <w:highlight w:val="none"/>
        </w:rPr>
        <w:t>违约金。</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投标人具有2014年1月1日以来类似交通信号灯业绩，（提供中标通知书、合同原件）；</w:t>
      </w:r>
    </w:p>
    <w:p>
      <w:pPr>
        <w:ind w:firstLine="482" w:firstLineChars="200"/>
        <w:rPr>
          <w:sz w:val="24"/>
          <w:szCs w:val="24"/>
        </w:rPr>
      </w:pPr>
      <w:r>
        <w:rPr>
          <w:rFonts w:hint="eastAsia"/>
          <w:b/>
          <w:bCs/>
          <w:sz w:val="24"/>
          <w:szCs w:val="24"/>
        </w:rPr>
        <w:t>第</w:t>
      </w:r>
      <w:r>
        <w:rPr>
          <w:rFonts w:hint="eastAsia"/>
          <w:b/>
          <w:bCs/>
          <w:sz w:val="24"/>
          <w:szCs w:val="24"/>
          <w:lang w:eastAsia="zh-CN"/>
        </w:rPr>
        <w:t>二</w:t>
      </w:r>
      <w:r>
        <w:rPr>
          <w:rFonts w:hint="eastAsia"/>
          <w:b/>
          <w:bCs/>
          <w:sz w:val="24"/>
          <w:szCs w:val="24"/>
        </w:rPr>
        <w:t>标段资质要求：</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投标</w:t>
      </w:r>
      <w:r>
        <w:rPr>
          <w:rFonts w:hint="eastAsia" w:ascii="宋体" w:hAnsi="宋体"/>
          <w:color w:val="auto"/>
          <w:kern w:val="0"/>
          <w:sz w:val="24"/>
          <w:highlight w:val="none"/>
        </w:rPr>
        <w:t>人</w:t>
      </w:r>
      <w:r>
        <w:rPr>
          <w:rFonts w:hint="eastAsia" w:ascii="宋体" w:hAnsi="宋体"/>
          <w:color w:val="auto"/>
          <w:kern w:val="0"/>
          <w:sz w:val="24"/>
        </w:rPr>
        <w:t>需具备与采购单位原有设备实现互联互通，无缝对接能力，并出具承诺函。承诺在中标后与采购单位及时沟通，在领取中标通知书后七日内，实现与原有设备实现互联互通、无缝对接,</w:t>
      </w:r>
      <w:r>
        <w:rPr>
          <w:rFonts w:hint="eastAsia" w:ascii="宋体" w:hAnsi="宋体"/>
          <w:color w:val="auto"/>
          <w:kern w:val="0"/>
          <w:sz w:val="24"/>
          <w:highlight w:val="none"/>
        </w:rPr>
        <w:t>并交纳履约保证金。</w:t>
      </w:r>
      <w:r>
        <w:rPr>
          <w:rFonts w:hint="eastAsia" w:ascii="宋体" w:hAnsi="宋体"/>
          <w:color w:val="auto"/>
          <w:kern w:val="0"/>
          <w:sz w:val="24"/>
        </w:rPr>
        <w:t>若中标后不能按期实现与原有设备实现互联互通，无缝对接将取消其中标资格，采购人有权拒绝与其签订合同，</w:t>
      </w:r>
      <w:r>
        <w:rPr>
          <w:rFonts w:hint="eastAsia" w:ascii="宋体" w:hAnsi="宋体"/>
          <w:color w:val="auto"/>
          <w:kern w:val="0"/>
          <w:sz w:val="24"/>
          <w:highlight w:val="none"/>
        </w:rPr>
        <w:t>按照规定没收保证金。</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中标单位实现与采购单位设备，实现互联互通，无缝对接过程中的所有设备及相关费用，均由中标单位承担。</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中标单位拟派项目经理自领取中标通知书之日起全程跟踪项目建设，保证该项目按时高质量完工，直至项目验收。</w:t>
      </w:r>
    </w:p>
    <w:p>
      <w:pPr>
        <w:autoSpaceDE w:val="0"/>
        <w:autoSpaceDN w:val="0"/>
        <w:spacing w:line="420" w:lineRule="exact"/>
        <w:ind w:firstLine="480" w:firstLineChars="200"/>
        <w:rPr>
          <w:rFonts w:hint="eastAsia" w:ascii="宋体" w:eastAsia="宋体" w:cs="宋体"/>
          <w:bCs/>
          <w:color w:val="auto"/>
          <w:sz w:val="24"/>
          <w:highlight w:val="none"/>
          <w:lang w:eastAsia="zh-CN"/>
        </w:rPr>
      </w:pPr>
      <w:r>
        <w:rPr>
          <w:rFonts w:hint="eastAsia" w:ascii="宋体" w:cs="宋体"/>
          <w:bCs/>
          <w:color w:val="auto"/>
          <w:sz w:val="24"/>
          <w:lang w:eastAsia="zh-CN"/>
        </w:rPr>
        <w:t>中标单位在向采购单位提供货物和设备时，必须提供以下全新备用机， 嵌入式一体化300万像素高清电警抓拍单元、电警反向抓拍单元、LED频闪环境补光灯 、反向抓拍闪光灯、信号灯检查器、前端控制主机、球机各一台，确保设备有故障时及时更换，如以上备用机不能按时提供，竣工验收时视为不合格不予验收。</w:t>
      </w:r>
    </w:p>
    <w:p>
      <w:pPr>
        <w:ind w:left="479" w:leftChars="228"/>
        <w:rPr>
          <w:rFonts w:hint="eastAsia"/>
          <w:bCs/>
          <w:color w:val="auto"/>
          <w:sz w:val="24"/>
        </w:rPr>
      </w:pPr>
      <w:r>
        <w:rPr>
          <w:rFonts w:hint="eastAsia" w:ascii="宋体" w:cs="宋体"/>
          <w:bCs/>
          <w:color w:val="auto"/>
          <w:sz w:val="24"/>
        </w:rPr>
        <w:t>投标单位必须出具投标产品生产厂家出具的五年免费售后承诺卡（函）。</w:t>
      </w:r>
      <w:r>
        <w:rPr>
          <w:rFonts w:hint="eastAsia"/>
          <w:bCs/>
          <w:color w:val="auto"/>
          <w:sz w:val="24"/>
        </w:rPr>
        <w:t>中标单</w:t>
      </w:r>
    </w:p>
    <w:p>
      <w:pPr>
        <w:rPr>
          <w:bCs/>
          <w:color w:val="auto"/>
          <w:kern w:val="0"/>
          <w:sz w:val="24"/>
        </w:rPr>
      </w:pPr>
      <w:r>
        <w:rPr>
          <w:rFonts w:hint="eastAsia"/>
          <w:bCs/>
          <w:color w:val="auto"/>
          <w:sz w:val="24"/>
        </w:rPr>
        <w:t>位在与采购单位签订合同时，一并签订《工程进度表及安全施工协议》如不能保质保量按照《工程进度表及安全施工协议》施工，扣除</w:t>
      </w:r>
      <w:r>
        <w:rPr>
          <w:rFonts w:hint="eastAsia" w:asciiTheme="minorEastAsia" w:hAnsiTheme="minorEastAsia" w:eastAsiaTheme="minorEastAsia" w:cstheme="minorEastAsia"/>
          <w:bCs/>
          <w:color w:val="auto"/>
          <w:sz w:val="24"/>
        </w:rPr>
        <w:t>10%</w:t>
      </w:r>
      <w:r>
        <w:rPr>
          <w:rFonts w:hint="eastAsia"/>
          <w:bCs/>
          <w:color w:val="auto"/>
          <w:sz w:val="24"/>
        </w:rPr>
        <w:t>违约金。</w:t>
      </w:r>
    </w:p>
    <w:p>
      <w:pPr>
        <w:autoSpaceDE w:val="0"/>
        <w:autoSpaceDN w:val="0"/>
        <w:spacing w:line="420" w:lineRule="exact"/>
        <w:ind w:firstLine="480" w:firstLineChars="200"/>
        <w:rPr>
          <w:rFonts w:ascii="宋体" w:hAnsi="宋体"/>
          <w:color w:val="auto"/>
          <w:kern w:val="0"/>
          <w:sz w:val="24"/>
        </w:rPr>
      </w:pPr>
      <w:r>
        <w:rPr>
          <w:rFonts w:hint="eastAsia" w:ascii="宋体" w:hAnsi="宋体"/>
          <w:color w:val="auto"/>
          <w:kern w:val="0"/>
          <w:sz w:val="24"/>
        </w:rPr>
        <w:t>投标人具有2014年1月1日以来类似</w:t>
      </w:r>
      <w:r>
        <w:rPr>
          <w:rFonts w:hint="eastAsia" w:ascii="宋体" w:hAnsi="宋体"/>
          <w:color w:val="auto"/>
          <w:kern w:val="0"/>
          <w:sz w:val="24"/>
          <w:lang w:eastAsia="zh-CN"/>
        </w:rPr>
        <w:t>电子警察</w:t>
      </w:r>
      <w:r>
        <w:rPr>
          <w:rFonts w:hint="eastAsia" w:ascii="宋体" w:hAnsi="宋体"/>
          <w:color w:val="auto"/>
          <w:kern w:val="0"/>
          <w:sz w:val="24"/>
        </w:rPr>
        <w:t>业绩，（提供中标通知书、合同原件）；</w:t>
      </w:r>
    </w:p>
    <w:p>
      <w:pPr>
        <w:autoSpaceDE w:val="0"/>
        <w:autoSpaceDN w:val="0"/>
        <w:spacing w:line="440" w:lineRule="exact"/>
        <w:ind w:firstLine="480" w:firstLineChars="200"/>
        <w:rPr>
          <w:rFonts w:hint="eastAsia" w:ascii="宋体" w:hAnsi="宋体"/>
          <w:color w:val="auto"/>
          <w:kern w:val="0"/>
          <w:sz w:val="24"/>
        </w:rPr>
      </w:pPr>
      <w:r>
        <w:rPr>
          <w:rFonts w:hint="eastAsia" w:ascii="宋体" w:hAnsi="宋体"/>
          <w:color w:val="auto"/>
          <w:kern w:val="0"/>
          <w:sz w:val="24"/>
        </w:rPr>
        <w:t>4.5、投标人应在开标时提供由单位注册地或项目所在地的检察机关出具的行贿犯罪档案查询结果证明（查询近三年来法人、法定代表人、法定代表人委托人）原件(网上下载的查询告知函和检察机关现场出具的书面告知函具有同等效力)，否则取消其投标资格。</w:t>
      </w:r>
    </w:p>
    <w:p>
      <w:pPr>
        <w:autoSpaceDE w:val="0"/>
        <w:autoSpaceDN w:val="0"/>
        <w:spacing w:line="440" w:lineRule="exact"/>
        <w:ind w:firstLine="480" w:firstLineChars="200"/>
        <w:rPr>
          <w:rFonts w:hint="eastAsia" w:ascii="宋体" w:hAnsi="宋体" w:eastAsia="宋体"/>
          <w:color w:val="auto"/>
          <w:kern w:val="0"/>
          <w:sz w:val="24"/>
          <w:lang w:val="en-US" w:eastAsia="zh-CN"/>
        </w:rPr>
      </w:pPr>
      <w:r>
        <w:rPr>
          <w:rFonts w:hint="eastAsia" w:ascii="宋体" w:hAnsi="宋体"/>
          <w:color w:val="auto"/>
          <w:kern w:val="0"/>
          <w:sz w:val="24"/>
          <w:lang w:val="en-US" w:eastAsia="zh-CN"/>
        </w:rPr>
        <w:t>4.6、一个投标单位只允许投报一个标段</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4.</w:t>
      </w:r>
      <w:r>
        <w:rPr>
          <w:rFonts w:hint="eastAsia" w:ascii="宋体" w:hAnsi="宋体"/>
          <w:color w:val="auto"/>
          <w:kern w:val="0"/>
          <w:sz w:val="24"/>
          <w:lang w:val="en-US" w:eastAsia="zh-CN"/>
        </w:rPr>
        <w:t>7</w:t>
      </w:r>
      <w:r>
        <w:rPr>
          <w:rFonts w:hint="eastAsia" w:ascii="宋体" w:hAnsi="宋体"/>
          <w:color w:val="auto"/>
          <w:kern w:val="0"/>
          <w:sz w:val="24"/>
        </w:rPr>
        <w:t>、本次招标不接受联合体投标</w:t>
      </w:r>
    </w:p>
    <w:p>
      <w:pPr>
        <w:autoSpaceDE w:val="0"/>
        <w:autoSpaceDN w:val="0"/>
        <w:spacing w:line="440" w:lineRule="exact"/>
        <w:ind w:firstLine="482" w:firstLineChars="200"/>
        <w:rPr>
          <w:rFonts w:ascii="宋体" w:hAnsi="宋体"/>
          <w:color w:val="auto"/>
          <w:kern w:val="0"/>
          <w:sz w:val="24"/>
        </w:rPr>
      </w:pPr>
      <w:r>
        <w:rPr>
          <w:rFonts w:hint="eastAsia" w:ascii="宋体" w:hAnsi="宋体"/>
          <w:b/>
          <w:bCs/>
          <w:color w:val="auto"/>
          <w:kern w:val="0"/>
          <w:sz w:val="24"/>
        </w:rPr>
        <w:t>五、竞争性谈判文件的获取</w:t>
      </w:r>
      <w:r>
        <w:rPr>
          <w:rFonts w:hint="eastAsia" w:ascii="宋体" w:hAnsi="宋体"/>
          <w:color w:val="auto"/>
          <w:kern w:val="0"/>
          <w:sz w:val="24"/>
        </w:rPr>
        <w:t xml:space="preserve">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1、凡有意参加竞争性谈判者，请于2017年</w:t>
      </w:r>
      <w:r>
        <w:rPr>
          <w:rFonts w:hint="eastAsia" w:ascii="宋体" w:hAnsi="宋体"/>
          <w:color w:val="auto"/>
          <w:kern w:val="0"/>
          <w:sz w:val="24"/>
          <w:lang w:val="en-US" w:eastAsia="zh-CN"/>
        </w:rPr>
        <w:t>9</w:t>
      </w:r>
      <w:r>
        <w:rPr>
          <w:rFonts w:hint="eastAsia" w:ascii="宋体" w:hAnsi="宋体"/>
          <w:color w:val="auto"/>
          <w:kern w:val="0"/>
          <w:sz w:val="24"/>
        </w:rPr>
        <w:t>月</w:t>
      </w:r>
      <w:r>
        <w:rPr>
          <w:rFonts w:hint="eastAsia" w:ascii="宋体" w:hAnsi="宋体"/>
          <w:color w:val="auto"/>
          <w:kern w:val="0"/>
          <w:sz w:val="24"/>
          <w:lang w:val="en-US" w:eastAsia="zh-CN"/>
        </w:rPr>
        <w:t>6</w:t>
      </w:r>
      <w:r>
        <w:rPr>
          <w:rFonts w:hint="eastAsia" w:ascii="宋体" w:hAnsi="宋体"/>
          <w:color w:val="auto"/>
          <w:kern w:val="0"/>
          <w:sz w:val="24"/>
        </w:rPr>
        <w:t>日</w:t>
      </w:r>
      <w:r>
        <w:rPr>
          <w:rFonts w:hint="eastAsia" w:ascii="宋体" w:hAnsi="宋体"/>
          <w:color w:val="auto"/>
          <w:kern w:val="0"/>
          <w:sz w:val="24"/>
          <w:lang w:val="en-US" w:eastAsia="zh-CN"/>
        </w:rPr>
        <w:t>17</w:t>
      </w:r>
      <w:r>
        <w:rPr>
          <w:rFonts w:hint="eastAsia" w:ascii="宋体" w:hAnsi="宋体"/>
          <w:color w:val="auto"/>
          <w:kern w:val="0"/>
          <w:sz w:val="24"/>
        </w:rPr>
        <w:t>时</w:t>
      </w:r>
      <w:r>
        <w:rPr>
          <w:rFonts w:hint="eastAsia" w:ascii="宋体" w:hAnsi="宋体"/>
          <w:color w:val="auto"/>
          <w:kern w:val="0"/>
          <w:sz w:val="24"/>
          <w:lang w:val="en-US" w:eastAsia="zh-CN"/>
        </w:rPr>
        <w:t>30</w:t>
      </w:r>
      <w:r>
        <w:rPr>
          <w:rFonts w:hint="eastAsia" w:ascii="宋体" w:hAnsi="宋体"/>
          <w:color w:val="auto"/>
          <w:kern w:val="0"/>
          <w:sz w:val="24"/>
        </w:rPr>
        <w:t>分前在《河南省政府采购网》、《温县公共资源交易中心网》直接下载获取。如有补遗网上另行通知，相应顺延开标时间。</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2、竞争性谈判文件售价：人民币300 元/份，开标前交纳。</w:t>
      </w:r>
    </w:p>
    <w:p>
      <w:pPr>
        <w:autoSpaceDE w:val="0"/>
        <w:autoSpaceDN w:val="0"/>
        <w:spacing w:line="440" w:lineRule="exact"/>
        <w:ind w:firstLine="482" w:firstLineChars="200"/>
        <w:rPr>
          <w:rFonts w:ascii="宋体" w:hAnsi="宋体"/>
          <w:color w:val="auto"/>
          <w:kern w:val="0"/>
          <w:sz w:val="24"/>
        </w:rPr>
      </w:pPr>
      <w:r>
        <w:rPr>
          <w:rFonts w:hint="eastAsia" w:ascii="宋体" w:hAnsi="宋体"/>
          <w:b/>
          <w:bCs/>
          <w:color w:val="auto"/>
          <w:kern w:val="0"/>
          <w:sz w:val="24"/>
        </w:rPr>
        <w:t>六、竞争性谈判保证金</w:t>
      </w:r>
      <w:r>
        <w:rPr>
          <w:rFonts w:hint="eastAsia" w:ascii="宋体" w:hAnsi="宋体"/>
          <w:color w:val="auto"/>
          <w:kern w:val="0"/>
          <w:sz w:val="24"/>
        </w:rPr>
        <w:t xml:space="preserve"> </w:t>
      </w:r>
    </w:p>
    <w:p>
      <w:pPr>
        <w:widowControl/>
        <w:spacing w:line="440" w:lineRule="exact"/>
        <w:ind w:firstLine="480"/>
        <w:rPr>
          <w:rFonts w:hint="eastAsia" w:ascii="宋体" w:hAnsi="宋体" w:cs="宋体"/>
          <w:color w:val="auto"/>
          <w:kern w:val="0"/>
          <w:sz w:val="24"/>
        </w:rPr>
      </w:pPr>
      <w:r>
        <w:rPr>
          <w:rFonts w:hint="eastAsia" w:ascii="宋体" w:hAnsi="宋体" w:cs="宋体"/>
          <w:color w:val="auto"/>
          <w:kern w:val="0"/>
          <w:sz w:val="24"/>
        </w:rPr>
        <w:t>竞争性谈判保证金人民币：第一标段：</w:t>
      </w:r>
      <w:r>
        <w:rPr>
          <w:rFonts w:hint="eastAsia" w:ascii="宋体" w:hAnsi="宋体" w:cs="宋体"/>
          <w:color w:val="auto"/>
          <w:kern w:val="0"/>
          <w:sz w:val="24"/>
          <w:lang w:eastAsia="zh-CN"/>
        </w:rPr>
        <w:t>叁仟柒佰元</w:t>
      </w:r>
      <w:r>
        <w:rPr>
          <w:rFonts w:hint="eastAsia" w:ascii="宋体" w:hAnsi="宋体" w:cs="宋体"/>
          <w:color w:val="auto"/>
          <w:kern w:val="0"/>
          <w:sz w:val="24"/>
        </w:rPr>
        <w:t>整（￥</w:t>
      </w:r>
      <w:r>
        <w:rPr>
          <w:rFonts w:hint="eastAsia" w:ascii="宋体" w:hAnsi="宋体" w:cs="宋体"/>
          <w:color w:val="auto"/>
          <w:kern w:val="0"/>
          <w:sz w:val="24"/>
          <w:lang w:val="en-US" w:eastAsia="zh-CN"/>
        </w:rPr>
        <w:t>37</w:t>
      </w:r>
      <w:r>
        <w:rPr>
          <w:rFonts w:hint="eastAsia" w:ascii="宋体" w:hAnsi="宋体" w:cs="宋体"/>
          <w:color w:val="auto"/>
          <w:kern w:val="0"/>
          <w:sz w:val="24"/>
        </w:rPr>
        <w:t>00.00元）；</w:t>
      </w:r>
    </w:p>
    <w:p>
      <w:pPr>
        <w:widowControl/>
        <w:spacing w:line="440" w:lineRule="exact"/>
        <w:ind w:firstLine="480"/>
        <w:rPr>
          <w:rFonts w:hint="eastAsia" w:ascii="宋体" w:hAnsi="宋体" w:eastAsia="宋体" w:cs="宋体"/>
          <w:color w:val="auto"/>
          <w:kern w:val="0"/>
          <w:sz w:val="24"/>
          <w:lang w:val="en-US" w:eastAsia="zh-CN"/>
        </w:rPr>
      </w:pPr>
      <w:r>
        <w:rPr>
          <w:rFonts w:hint="eastAsia" w:ascii="宋体" w:hAnsi="宋体" w:cs="宋体"/>
          <w:color w:val="auto"/>
          <w:kern w:val="0"/>
          <w:sz w:val="24"/>
          <w:lang w:val="en-US" w:eastAsia="zh-CN"/>
        </w:rPr>
        <w:t xml:space="preserve">                        </w:t>
      </w:r>
      <w:r>
        <w:rPr>
          <w:rFonts w:hint="eastAsia" w:ascii="宋体" w:hAnsi="宋体" w:cs="宋体"/>
          <w:color w:val="auto"/>
          <w:kern w:val="0"/>
          <w:sz w:val="24"/>
        </w:rPr>
        <w:t>第</w:t>
      </w:r>
      <w:r>
        <w:rPr>
          <w:rFonts w:hint="eastAsia" w:ascii="宋体" w:hAnsi="宋体" w:cs="宋体"/>
          <w:color w:val="auto"/>
          <w:kern w:val="0"/>
          <w:sz w:val="24"/>
          <w:lang w:eastAsia="zh-CN"/>
        </w:rPr>
        <w:t>二</w:t>
      </w:r>
      <w:r>
        <w:rPr>
          <w:rFonts w:hint="eastAsia" w:ascii="宋体" w:hAnsi="宋体" w:cs="宋体"/>
          <w:color w:val="auto"/>
          <w:kern w:val="0"/>
          <w:sz w:val="24"/>
        </w:rPr>
        <w:t>标段：肆仟</w:t>
      </w:r>
      <w:r>
        <w:rPr>
          <w:rFonts w:hint="eastAsia" w:ascii="宋体" w:hAnsi="宋体" w:cs="宋体"/>
          <w:color w:val="auto"/>
          <w:kern w:val="0"/>
          <w:sz w:val="24"/>
          <w:lang w:eastAsia="zh-CN"/>
        </w:rPr>
        <w:t>壹佰</w:t>
      </w:r>
      <w:r>
        <w:rPr>
          <w:rFonts w:hint="eastAsia" w:ascii="宋体" w:hAnsi="宋体" w:cs="宋体"/>
          <w:color w:val="auto"/>
          <w:kern w:val="0"/>
          <w:sz w:val="24"/>
        </w:rPr>
        <w:t>元整（￥</w:t>
      </w:r>
      <w:r>
        <w:rPr>
          <w:rFonts w:hint="eastAsia" w:ascii="宋体" w:hAnsi="宋体" w:cs="宋体"/>
          <w:color w:val="auto"/>
          <w:kern w:val="0"/>
          <w:sz w:val="24"/>
          <w:lang w:val="en-US" w:eastAsia="zh-CN"/>
        </w:rPr>
        <w:t>41</w:t>
      </w:r>
      <w:r>
        <w:rPr>
          <w:rFonts w:hint="eastAsia" w:ascii="宋体" w:hAnsi="宋体" w:cs="宋体"/>
          <w:color w:val="auto"/>
          <w:kern w:val="0"/>
          <w:sz w:val="24"/>
        </w:rPr>
        <w:t>00.00元）；</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谈判保证金的缴纳形式：企业账户转账。</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开户：中国邮政储蓄银行有限责任公司温县温泉路支行</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 xml:space="preserve">开户单位：温县财政国库支付中心公共资源交易专户  </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账号：100435110440010001</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递交时间：投标人必须于2017年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6</w:t>
      </w:r>
      <w:r>
        <w:rPr>
          <w:rFonts w:hint="eastAsia" w:ascii="宋体" w:hAnsi="宋体" w:cs="宋体"/>
          <w:color w:val="auto"/>
          <w:kern w:val="0"/>
          <w:sz w:val="24"/>
        </w:rPr>
        <w:t>日16时前交至指定账户以实际到账时间为准（注意1、附言请写清项目名称2、请选择适当汇划方式，注意到账时间）。</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 xml:space="preserve"> 2、未按本规定和要求提交投标保证金的，采购人有权拒收其投标文件；</w:t>
      </w:r>
    </w:p>
    <w:p>
      <w:pPr>
        <w:widowControl/>
        <w:spacing w:line="440" w:lineRule="exact"/>
        <w:ind w:firstLine="480"/>
        <w:rPr>
          <w:rFonts w:ascii="宋体" w:hAnsi="宋体" w:cs="宋体"/>
          <w:color w:val="auto"/>
          <w:kern w:val="0"/>
          <w:sz w:val="24"/>
        </w:rPr>
      </w:pPr>
      <w:r>
        <w:rPr>
          <w:rFonts w:hint="eastAsia" w:ascii="宋体" w:hAnsi="宋体" w:cs="宋体"/>
          <w:color w:val="auto"/>
          <w:kern w:val="0"/>
          <w:sz w:val="24"/>
        </w:rPr>
        <w:t xml:space="preserve"> 3、未中标供应商的投标保证金在发出中标通知书后五个工作日内退还。</w:t>
      </w:r>
    </w:p>
    <w:p>
      <w:pPr>
        <w:widowControl/>
        <w:spacing w:line="440" w:lineRule="exact"/>
        <w:ind w:firstLine="480"/>
        <w:rPr>
          <w:rFonts w:ascii="宋体" w:hAnsi="宋体" w:cs="宋体"/>
          <w:color w:val="auto"/>
          <w:kern w:val="0"/>
          <w:sz w:val="24"/>
        </w:rPr>
      </w:pPr>
      <w:r>
        <w:rPr>
          <w:rFonts w:hint="eastAsia" w:ascii="宋体" w:hAnsi="宋体" w:cs="宋体"/>
          <w:b/>
          <w:bCs/>
          <w:color w:val="auto"/>
          <w:kern w:val="0"/>
          <w:sz w:val="24"/>
        </w:rPr>
        <w:t>七、竞争性谈判响应性文件的递交</w:t>
      </w:r>
      <w:r>
        <w:rPr>
          <w:rFonts w:hint="eastAsia" w:ascii="宋体" w:hAnsi="宋体" w:cs="宋体"/>
          <w:color w:val="auto"/>
          <w:kern w:val="0"/>
          <w:sz w:val="24"/>
        </w:rPr>
        <w:t xml:space="preserve"> </w:t>
      </w:r>
    </w:p>
    <w:p>
      <w:pPr>
        <w:autoSpaceDE w:val="0"/>
        <w:autoSpaceDN w:val="0"/>
        <w:adjustRightInd w:val="0"/>
        <w:spacing w:line="440" w:lineRule="exact"/>
        <w:ind w:firstLine="480" w:firstLineChars="200"/>
        <w:jc w:val="left"/>
        <w:rPr>
          <w:rFonts w:hint="eastAsia" w:asciiTheme="minorEastAsia" w:hAnsiTheme="minorEastAsia" w:eastAsiaTheme="minorEastAsia" w:cstheme="minorEastAsia"/>
          <w:b w:val="0"/>
          <w:bCs w:val="0"/>
          <w:color w:val="auto"/>
          <w:kern w:val="0"/>
          <w:sz w:val="24"/>
          <w:szCs w:val="24"/>
        </w:rPr>
      </w:pPr>
      <w:r>
        <w:rPr>
          <w:rFonts w:hint="eastAsia" w:ascii="宋体" w:hAnsi="宋体" w:cs="宋体"/>
          <w:color w:val="auto"/>
          <w:kern w:val="0"/>
          <w:sz w:val="24"/>
        </w:rPr>
        <w:t xml:space="preserve"> 竞争性谈判响应性文件递交的截止时间为2017年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7</w:t>
      </w:r>
      <w:r>
        <w:rPr>
          <w:rFonts w:hint="eastAsia" w:ascii="宋体" w:hAnsi="宋体" w:cs="宋体"/>
          <w:color w:val="auto"/>
          <w:kern w:val="0"/>
          <w:sz w:val="24"/>
        </w:rPr>
        <w:t>日</w:t>
      </w:r>
      <w:r>
        <w:rPr>
          <w:rFonts w:hint="eastAsia" w:ascii="宋体" w:hAnsi="宋体" w:cs="宋体"/>
          <w:color w:val="auto"/>
          <w:kern w:val="0"/>
          <w:sz w:val="24"/>
          <w:lang w:val="en-US" w:eastAsia="zh-CN"/>
        </w:rPr>
        <w:t>9</w:t>
      </w:r>
      <w:r>
        <w:rPr>
          <w:rFonts w:hint="eastAsia" w:ascii="宋体" w:hAnsi="宋体" w:cs="宋体"/>
          <w:color w:val="auto"/>
          <w:kern w:val="0"/>
          <w:sz w:val="24"/>
        </w:rPr>
        <w:t>时</w:t>
      </w:r>
      <w:r>
        <w:rPr>
          <w:rFonts w:hint="eastAsia" w:ascii="宋体" w:hAnsi="宋体" w:cs="宋体"/>
          <w:color w:val="auto"/>
          <w:kern w:val="0"/>
          <w:sz w:val="24"/>
          <w:lang w:val="en-US" w:eastAsia="zh-CN"/>
        </w:rPr>
        <w:t>00</w:t>
      </w:r>
      <w:r>
        <w:rPr>
          <w:rFonts w:hint="eastAsia" w:ascii="宋体" w:hAnsi="宋体" w:cs="宋体"/>
          <w:color w:val="auto"/>
          <w:kern w:val="0"/>
          <w:sz w:val="24"/>
        </w:rPr>
        <w:t>分，地点为温县公共资源交易中心开标厅。</w:t>
      </w:r>
      <w:r>
        <w:rPr>
          <w:rFonts w:hint="eastAsia" w:asciiTheme="minorEastAsia" w:hAnsiTheme="minorEastAsia" w:eastAsiaTheme="minorEastAsia" w:cstheme="minorEastAsia"/>
          <w:b w:val="0"/>
          <w:bCs w:val="0"/>
          <w:color w:val="auto"/>
          <w:kern w:val="0"/>
          <w:sz w:val="24"/>
          <w:szCs w:val="24"/>
        </w:rPr>
        <w:t>投标单位参加谈判会议须出示的证件</w:t>
      </w:r>
      <w:r>
        <w:rPr>
          <w:rFonts w:hint="eastAsia" w:asciiTheme="minorEastAsia" w:hAnsiTheme="minorEastAsia" w:eastAsiaTheme="minorEastAsia" w:cstheme="minorEastAsia"/>
          <w:b w:val="0"/>
          <w:bCs w:val="0"/>
          <w:color w:val="auto"/>
          <w:kern w:val="0"/>
          <w:sz w:val="24"/>
          <w:szCs w:val="24"/>
          <w:lang w:eastAsia="zh-CN"/>
        </w:rPr>
        <w:t>，</w:t>
      </w:r>
      <w:r>
        <w:rPr>
          <w:rFonts w:hint="eastAsia" w:ascii="宋体" w:hAnsi="宋体" w:eastAsia="宋体" w:cs="宋体"/>
          <w:b/>
          <w:bCs/>
          <w:sz w:val="24"/>
          <w:szCs w:val="24"/>
        </w:rPr>
        <w:t>第一标段</w:t>
      </w:r>
      <w:r>
        <w:rPr>
          <w:rFonts w:hint="eastAsia" w:ascii="宋体" w:hAnsi="宋体" w:cs="宋体"/>
          <w:b/>
          <w:bCs/>
          <w:sz w:val="24"/>
          <w:szCs w:val="24"/>
          <w:lang w:eastAsia="zh-CN"/>
        </w:rPr>
        <w:t>：</w:t>
      </w:r>
      <w:r>
        <w:rPr>
          <w:rFonts w:hint="eastAsia" w:asciiTheme="minorEastAsia" w:hAnsiTheme="minorEastAsia" w:eastAsiaTheme="minorEastAsia" w:cstheme="minorEastAsia"/>
          <w:b w:val="0"/>
          <w:bCs w:val="0"/>
          <w:color w:val="auto"/>
          <w:kern w:val="0"/>
          <w:sz w:val="24"/>
          <w:szCs w:val="24"/>
        </w:rPr>
        <w:t>营业执照（副本）、组织机构代码证、税务登记证（副本）（三证合一单位只需提供营业执照副本）、法定代表人证明或法定代表人授权委托书及本人身份证、</w:t>
      </w:r>
      <w:r>
        <w:rPr>
          <w:rFonts w:hint="eastAsia" w:ascii="宋体" w:hAnsi="宋体" w:eastAsia="宋体" w:cs="宋体"/>
          <w:sz w:val="24"/>
          <w:szCs w:val="24"/>
        </w:rPr>
        <w:t>建设行政主管部分颁发的公路交通工程专业承包贰级及以上资质（公路机电工程专业分项）</w:t>
      </w:r>
      <w:r>
        <w:rPr>
          <w:rFonts w:hint="eastAsia" w:ascii="宋体" w:hAnsi="宋体" w:cs="宋体"/>
          <w:sz w:val="24"/>
          <w:szCs w:val="24"/>
          <w:lang w:eastAsia="zh-CN"/>
        </w:rPr>
        <w:t>证书</w:t>
      </w:r>
      <w:r>
        <w:rPr>
          <w:rFonts w:hint="eastAsia" w:ascii="宋体" w:hAnsi="宋体" w:eastAsia="宋体" w:cs="宋体"/>
          <w:sz w:val="24"/>
          <w:szCs w:val="24"/>
        </w:rPr>
        <w:t>且具有有效的安全生产许可证</w:t>
      </w:r>
      <w:r>
        <w:rPr>
          <w:rFonts w:hint="eastAsia" w:ascii="宋体" w:hAnsi="宋体" w:cs="宋体"/>
          <w:sz w:val="24"/>
          <w:szCs w:val="24"/>
          <w:lang w:eastAsia="zh-CN"/>
        </w:rPr>
        <w:t>证书、</w:t>
      </w:r>
      <w:r>
        <w:rPr>
          <w:rFonts w:hint="eastAsia" w:asciiTheme="minorEastAsia" w:hAnsiTheme="minorEastAsia" w:eastAsiaTheme="minorEastAsia" w:cstheme="minorEastAsia"/>
          <w:b w:val="0"/>
          <w:bCs w:val="0"/>
          <w:color w:val="auto"/>
          <w:kern w:val="0"/>
          <w:sz w:val="24"/>
          <w:szCs w:val="24"/>
        </w:rPr>
        <w:t>由企业注册地或项目所在地的检察机关出具的行贿犯罪档案查询结果证明、投标保证金交付凭证、</w:t>
      </w:r>
      <w:r>
        <w:rPr>
          <w:rFonts w:hint="eastAsia" w:asciiTheme="minorEastAsia" w:hAnsiTheme="minorEastAsia" w:eastAsiaTheme="minorEastAsia" w:cstheme="minorEastAsia"/>
          <w:b w:val="0"/>
          <w:bCs w:val="0"/>
          <w:i w:val="0"/>
          <w:caps w:val="0"/>
          <w:color w:val="000000"/>
          <w:spacing w:val="0"/>
          <w:sz w:val="24"/>
          <w:szCs w:val="24"/>
          <w:shd w:val="clear" w:fill="FFFFFF"/>
        </w:rPr>
        <w:t>代理经销商须提供生产厂家针对本项目的授权书原件</w:t>
      </w:r>
      <w:r>
        <w:rPr>
          <w:rFonts w:hint="eastAsia" w:asciiTheme="minorEastAsia" w:hAnsiTheme="minorEastAsia" w:eastAsiaTheme="minorEastAsia" w:cstheme="minorEastAsia"/>
          <w:b w:val="0"/>
          <w:bCs w:val="0"/>
          <w:i w:val="0"/>
          <w:caps w:val="0"/>
          <w:color w:val="000000"/>
          <w:spacing w:val="0"/>
          <w:sz w:val="24"/>
          <w:szCs w:val="24"/>
          <w:shd w:val="clear" w:fill="FFFFFF"/>
          <w:lang w:eastAsia="zh-CN"/>
        </w:rPr>
        <w:t>、</w:t>
      </w:r>
      <w:r>
        <w:rPr>
          <w:rFonts w:hint="eastAsia" w:asciiTheme="minorEastAsia" w:hAnsiTheme="minorEastAsia" w:eastAsiaTheme="minorEastAsia" w:cstheme="minorEastAsia"/>
          <w:b w:val="0"/>
          <w:bCs w:val="0"/>
          <w:color w:val="auto"/>
          <w:kern w:val="0"/>
          <w:sz w:val="24"/>
          <w:szCs w:val="24"/>
        </w:rPr>
        <w:t>近期依法缴纳社会保障资金的交款凭证、近期依法纳税证明、近三年财务审计报告、在经营活动中没有重大违法记录声明等。</w:t>
      </w:r>
      <w:r>
        <w:rPr>
          <w:rFonts w:hint="eastAsia" w:ascii="宋体" w:hAnsi="宋体" w:eastAsia="宋体" w:cs="宋体"/>
          <w:b/>
          <w:bCs/>
          <w:sz w:val="24"/>
          <w:szCs w:val="24"/>
        </w:rPr>
        <w:t>第</w:t>
      </w:r>
      <w:r>
        <w:rPr>
          <w:rFonts w:hint="eastAsia" w:ascii="宋体" w:hAnsi="宋体" w:cs="宋体"/>
          <w:b/>
          <w:bCs/>
          <w:sz w:val="24"/>
          <w:szCs w:val="24"/>
          <w:lang w:eastAsia="zh-CN"/>
        </w:rPr>
        <w:t>二</w:t>
      </w:r>
      <w:r>
        <w:rPr>
          <w:rFonts w:hint="eastAsia" w:ascii="宋体" w:hAnsi="宋体" w:eastAsia="宋体" w:cs="宋体"/>
          <w:b/>
          <w:bCs/>
          <w:sz w:val="24"/>
          <w:szCs w:val="24"/>
        </w:rPr>
        <w:t>标段</w:t>
      </w:r>
      <w:r>
        <w:rPr>
          <w:rFonts w:hint="eastAsia" w:ascii="宋体" w:hAnsi="宋体" w:cs="宋体"/>
          <w:b/>
          <w:bCs/>
          <w:sz w:val="24"/>
          <w:szCs w:val="24"/>
          <w:lang w:eastAsia="zh-CN"/>
        </w:rPr>
        <w:t>：</w:t>
      </w:r>
      <w:r>
        <w:rPr>
          <w:rFonts w:hint="eastAsia" w:asciiTheme="minorEastAsia" w:hAnsiTheme="minorEastAsia" w:eastAsiaTheme="minorEastAsia" w:cstheme="minorEastAsia"/>
          <w:b w:val="0"/>
          <w:bCs w:val="0"/>
          <w:color w:val="auto"/>
          <w:kern w:val="0"/>
          <w:sz w:val="24"/>
          <w:szCs w:val="24"/>
        </w:rPr>
        <w:t>营业执照（副本）、组织机构代码证、税务登记证（副本）（三证合一单位只需提供营业执照副本）、法定代表人证明或法定代表人授权委托书及本人身份证、由企业注册地或项目所在地的检察机关出具的行贿犯罪档案查询结果证明、投标保证金交付凭证、</w:t>
      </w:r>
      <w:r>
        <w:rPr>
          <w:rFonts w:hint="eastAsia" w:asciiTheme="minorEastAsia" w:hAnsiTheme="minorEastAsia" w:eastAsiaTheme="minorEastAsia" w:cstheme="minorEastAsia"/>
          <w:b w:val="0"/>
          <w:bCs w:val="0"/>
          <w:i w:val="0"/>
          <w:caps w:val="0"/>
          <w:color w:val="000000"/>
          <w:spacing w:val="0"/>
          <w:sz w:val="24"/>
          <w:szCs w:val="24"/>
          <w:shd w:val="clear" w:fill="FFFFFF"/>
        </w:rPr>
        <w:t>代理经销商须提供生产厂家针对本项目的授权书原件</w:t>
      </w:r>
      <w:r>
        <w:rPr>
          <w:rFonts w:hint="eastAsia" w:asciiTheme="minorEastAsia" w:hAnsiTheme="minorEastAsia" w:eastAsiaTheme="minorEastAsia" w:cstheme="minorEastAsia"/>
          <w:b w:val="0"/>
          <w:bCs w:val="0"/>
          <w:i w:val="0"/>
          <w:caps w:val="0"/>
          <w:color w:val="000000"/>
          <w:spacing w:val="0"/>
          <w:sz w:val="24"/>
          <w:szCs w:val="24"/>
          <w:shd w:val="clear" w:fill="FFFFFF"/>
          <w:lang w:eastAsia="zh-CN"/>
        </w:rPr>
        <w:t>、</w:t>
      </w:r>
      <w:r>
        <w:rPr>
          <w:rFonts w:hint="eastAsia" w:asciiTheme="minorEastAsia" w:hAnsiTheme="minorEastAsia" w:eastAsiaTheme="minorEastAsia" w:cstheme="minorEastAsia"/>
          <w:b w:val="0"/>
          <w:bCs w:val="0"/>
          <w:color w:val="auto"/>
          <w:kern w:val="0"/>
          <w:sz w:val="24"/>
          <w:szCs w:val="24"/>
        </w:rPr>
        <w:t>近期依法缴纳社会保障资金的交款凭证、近期依法纳税证明、近三年财务审计报告、在经营活动中没有重大违法记录声明等。（以上资料开标时提供原件，以备评委审查）</w:t>
      </w:r>
    </w:p>
    <w:p>
      <w:pPr>
        <w:widowControl/>
        <w:spacing w:line="440" w:lineRule="exact"/>
        <w:ind w:firstLine="480"/>
        <w:rPr>
          <w:rFonts w:ascii="宋体" w:hAnsi="宋体"/>
          <w:color w:val="auto"/>
          <w:kern w:val="0"/>
          <w:sz w:val="24"/>
        </w:rPr>
      </w:pPr>
      <w:r>
        <w:rPr>
          <w:rFonts w:hint="eastAsia" w:ascii="宋体" w:hAnsi="宋体"/>
          <w:b/>
          <w:bCs/>
          <w:color w:val="auto"/>
          <w:kern w:val="0"/>
          <w:sz w:val="24"/>
        </w:rPr>
        <w:t>八、发布公告的媒介</w:t>
      </w:r>
      <w:r>
        <w:rPr>
          <w:rFonts w:hint="eastAsia" w:ascii="宋体" w:hAnsi="宋体"/>
          <w:color w:val="auto"/>
          <w:kern w:val="0"/>
          <w:sz w:val="24"/>
        </w:rPr>
        <w:t xml:space="preserve">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本次竞争性谈判公告在《河南省政府采购网》、《温县公共资源交易中心网》上同时发布。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九、联系方式 </w:t>
      </w:r>
    </w:p>
    <w:p>
      <w:pPr>
        <w:spacing w:line="440" w:lineRule="exact"/>
        <w:ind w:firstLine="480" w:firstLineChars="200"/>
        <w:rPr>
          <w:rFonts w:ascii="宋体" w:hAnsi="宋体"/>
          <w:color w:val="auto"/>
          <w:kern w:val="0"/>
          <w:sz w:val="24"/>
        </w:rPr>
      </w:pPr>
      <w:r>
        <w:rPr>
          <w:rFonts w:hint="eastAsia" w:ascii="宋体" w:hAnsi="宋体"/>
          <w:color w:val="auto"/>
          <w:kern w:val="0"/>
          <w:sz w:val="24"/>
        </w:rPr>
        <w:t>1、采购人：温县公安交通警察大队</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联系人：郭先生</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联系电话：</w:t>
      </w:r>
      <w:r>
        <w:rPr>
          <w:rFonts w:ascii="宋体" w:hAnsi="宋体"/>
          <w:color w:val="auto"/>
          <w:kern w:val="0"/>
          <w:sz w:val="24"/>
        </w:rPr>
        <w:t>0391-</w:t>
      </w:r>
      <w:r>
        <w:rPr>
          <w:rFonts w:hint="eastAsia" w:ascii="宋体" w:hAnsi="宋体"/>
          <w:color w:val="auto"/>
          <w:kern w:val="0"/>
          <w:sz w:val="24"/>
        </w:rPr>
        <w:t>61</w:t>
      </w:r>
      <w:r>
        <w:rPr>
          <w:rFonts w:hint="eastAsia" w:ascii="宋体" w:hAnsi="宋体"/>
          <w:color w:val="auto"/>
          <w:kern w:val="0"/>
          <w:sz w:val="24"/>
          <w:lang w:val="en-US" w:eastAsia="zh-CN"/>
        </w:rPr>
        <w:t>06598</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联系地址：温县黄河路</w:t>
      </w:r>
    </w:p>
    <w:p>
      <w:pPr>
        <w:spacing w:line="440" w:lineRule="exact"/>
        <w:ind w:firstLine="480" w:firstLineChars="200"/>
        <w:rPr>
          <w:rFonts w:ascii="宋体" w:hAnsi="宋体"/>
          <w:color w:val="auto"/>
          <w:kern w:val="0"/>
          <w:sz w:val="24"/>
        </w:rPr>
      </w:pPr>
      <w:r>
        <w:rPr>
          <w:rFonts w:hint="eastAsia" w:ascii="宋体" w:hAnsi="宋体"/>
          <w:color w:val="auto"/>
          <w:kern w:val="0"/>
          <w:sz w:val="24"/>
        </w:rPr>
        <w:t>2、采购代理机构：</w:t>
      </w:r>
      <w:r>
        <w:rPr>
          <w:rFonts w:hint="eastAsia" w:ascii="宋体" w:hAnsi="宋体"/>
          <w:color w:val="auto"/>
          <w:kern w:val="0"/>
          <w:sz w:val="24"/>
          <w:lang w:eastAsia="zh-CN"/>
        </w:rPr>
        <w:t>国泰信华工程咨询有限公司</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联系人：</w:t>
      </w:r>
      <w:r>
        <w:rPr>
          <w:rFonts w:hint="eastAsia" w:ascii="宋体" w:hAnsi="宋体"/>
          <w:color w:val="auto"/>
          <w:kern w:val="0"/>
          <w:sz w:val="24"/>
          <w:lang w:eastAsia="zh-CN"/>
        </w:rPr>
        <w:t>邓先生</w:t>
      </w:r>
    </w:p>
    <w:p>
      <w:pPr>
        <w:spacing w:line="440" w:lineRule="exact"/>
        <w:ind w:firstLine="480" w:firstLineChars="200"/>
        <w:rPr>
          <w:rFonts w:ascii="宋体" w:hAnsi="宋体"/>
          <w:color w:val="auto"/>
          <w:kern w:val="0"/>
          <w:sz w:val="24"/>
        </w:rPr>
      </w:pPr>
      <w:r>
        <w:rPr>
          <w:rFonts w:hint="eastAsia" w:ascii="宋体" w:hAnsi="宋体"/>
          <w:color w:val="auto"/>
          <w:kern w:val="0"/>
          <w:sz w:val="24"/>
        </w:rPr>
        <w:t>联系电话：</w:t>
      </w:r>
      <w:r>
        <w:rPr>
          <w:rFonts w:hint="eastAsia" w:ascii="宋体" w:hAnsi="宋体"/>
          <w:color w:val="auto"/>
          <w:kern w:val="0"/>
          <w:sz w:val="24"/>
          <w:lang w:val="en-US" w:eastAsia="zh-CN"/>
        </w:rPr>
        <w:t>15517788767</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监督部门：温县财政局    联系电话：0391-6197778 </w:t>
      </w:r>
    </w:p>
    <w:p>
      <w:pPr>
        <w:autoSpaceDE w:val="0"/>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w:t>
      </w:r>
    </w:p>
    <w:p>
      <w:pPr>
        <w:autoSpaceDE w:val="0"/>
        <w:autoSpaceDN w:val="0"/>
        <w:spacing w:line="440" w:lineRule="exact"/>
        <w:ind w:firstLine="480" w:firstLineChars="200"/>
        <w:rPr>
          <w:rFonts w:ascii="宋体" w:hAnsi="宋体"/>
          <w:color w:val="auto"/>
          <w:kern w:val="0"/>
          <w:sz w:val="24"/>
        </w:rPr>
      </w:pPr>
    </w:p>
    <w:p>
      <w:pPr>
        <w:wordWrap w:val="0"/>
        <w:spacing w:line="440" w:lineRule="exact"/>
        <w:jc w:val="right"/>
        <w:rPr>
          <w:rFonts w:ascii="黑体" w:hAnsi="Times New Roman" w:eastAsia="黑体" w:cs="宋体"/>
          <w:b/>
          <w:bCs/>
          <w:color w:val="auto"/>
          <w:kern w:val="0"/>
          <w:sz w:val="32"/>
          <w:szCs w:val="32"/>
        </w:rPr>
      </w:pPr>
      <w:r>
        <w:rPr>
          <w:rFonts w:hint="eastAsia" w:ascii="宋体" w:hAnsi="宋体"/>
          <w:color w:val="auto"/>
          <w:kern w:val="0"/>
          <w:sz w:val="24"/>
        </w:rPr>
        <w:t>2017年</w:t>
      </w:r>
      <w:r>
        <w:rPr>
          <w:rFonts w:hint="eastAsia" w:ascii="宋体" w:hAnsi="宋体"/>
          <w:color w:val="auto"/>
          <w:kern w:val="0"/>
          <w:sz w:val="24"/>
          <w:lang w:val="en-US" w:eastAsia="zh-CN"/>
        </w:rPr>
        <w:t>9</w:t>
      </w:r>
      <w:r>
        <w:rPr>
          <w:rFonts w:hint="eastAsia" w:ascii="宋体" w:hAnsi="宋体"/>
          <w:color w:val="auto"/>
          <w:kern w:val="0"/>
          <w:sz w:val="24"/>
        </w:rPr>
        <w:t>月</w:t>
      </w:r>
      <w:r>
        <w:rPr>
          <w:rFonts w:hint="eastAsia" w:ascii="宋体" w:hAnsi="宋体"/>
          <w:color w:val="auto"/>
          <w:kern w:val="0"/>
          <w:sz w:val="24"/>
          <w:lang w:val="en-US" w:eastAsia="zh-CN"/>
        </w:rPr>
        <w:t>1</w:t>
      </w:r>
      <w:r>
        <w:rPr>
          <w:rFonts w:hint="eastAsia" w:ascii="宋体" w:hAnsi="宋体"/>
          <w:color w:val="auto"/>
          <w:kern w:val="0"/>
          <w:sz w:val="24"/>
        </w:rPr>
        <w:t>日</w:t>
      </w: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hint="eastAsia" w:ascii="黑体" w:hAnsi="Times New Roman" w:eastAsia="黑体" w:cs="宋体"/>
          <w:b/>
          <w:bCs/>
          <w:color w:val="auto"/>
          <w:kern w:val="0"/>
          <w:sz w:val="32"/>
          <w:szCs w:val="32"/>
        </w:rPr>
      </w:pPr>
    </w:p>
    <w:p>
      <w:pPr>
        <w:widowControl/>
        <w:spacing w:line="560" w:lineRule="atLeast"/>
        <w:jc w:val="center"/>
        <w:rPr>
          <w:rFonts w:ascii="黑体" w:hAnsi="Times New Roman" w:eastAsia="黑体" w:cs="宋体"/>
          <w:b/>
          <w:bCs/>
          <w:color w:val="auto"/>
          <w:kern w:val="0"/>
          <w:sz w:val="32"/>
          <w:szCs w:val="32"/>
        </w:rPr>
      </w:pPr>
      <w:r>
        <w:rPr>
          <w:rFonts w:hint="eastAsia" w:ascii="黑体" w:hAnsi="Times New Roman" w:eastAsia="黑体" w:cs="宋体"/>
          <w:b/>
          <w:bCs/>
          <w:color w:val="auto"/>
          <w:kern w:val="0"/>
          <w:sz w:val="32"/>
          <w:szCs w:val="32"/>
        </w:rPr>
        <w:t>一、谈判须知表</w:t>
      </w:r>
    </w:p>
    <w:p>
      <w:pPr>
        <w:widowControl/>
        <w:spacing w:line="240" w:lineRule="exact"/>
        <w:jc w:val="center"/>
        <w:rPr>
          <w:rFonts w:ascii="黑体" w:hAnsi="Times New Roman" w:eastAsia="黑体" w:cs="宋体"/>
          <w:color w:val="auto"/>
          <w:kern w:val="0"/>
          <w:sz w:val="24"/>
        </w:rPr>
      </w:pPr>
    </w:p>
    <w:tbl>
      <w:tblPr>
        <w:tblStyle w:val="23"/>
        <w:tblW w:w="9578" w:type="dxa"/>
        <w:tblInd w:w="84" w:type="dxa"/>
        <w:tblLayout w:type="fixed"/>
        <w:tblCellMar>
          <w:top w:w="0" w:type="dxa"/>
          <w:left w:w="108" w:type="dxa"/>
          <w:bottom w:w="0" w:type="dxa"/>
          <w:right w:w="108" w:type="dxa"/>
        </w:tblCellMar>
      </w:tblPr>
      <w:tblGrid>
        <w:gridCol w:w="744"/>
        <w:gridCol w:w="1885"/>
        <w:gridCol w:w="6949"/>
      </w:tblGrid>
      <w:tr>
        <w:tblPrEx>
          <w:tblLayout w:type="fixed"/>
          <w:tblCellMar>
            <w:top w:w="0" w:type="dxa"/>
            <w:left w:w="108" w:type="dxa"/>
            <w:bottom w:w="0" w:type="dxa"/>
            <w:right w:w="108" w:type="dxa"/>
          </w:tblCellMar>
        </w:tblPrEx>
        <w:trPr>
          <w:trHeight w:val="501" w:hRule="atLeast"/>
        </w:trPr>
        <w:tc>
          <w:tcPr>
            <w:tcW w:w="744"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color w:val="auto"/>
                <w:kern w:val="0"/>
                <w:sz w:val="24"/>
              </w:rPr>
            </w:pPr>
            <w:r>
              <w:rPr>
                <w:rFonts w:hint="eastAsia" w:ascii="宋体" w:hAnsi="宋体" w:cs="宋体"/>
                <w:b/>
                <w:bCs/>
                <w:color w:val="auto"/>
                <w:kern w:val="0"/>
                <w:sz w:val="24"/>
              </w:rPr>
              <w:t>序号</w:t>
            </w:r>
          </w:p>
        </w:tc>
        <w:tc>
          <w:tcPr>
            <w:tcW w:w="1885" w:type="dxa"/>
            <w:tcBorders>
              <w:top w:val="single" w:color="000000" w:sz="4" w:space="0"/>
              <w:left w:val="nil"/>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color w:val="auto"/>
                <w:kern w:val="0"/>
                <w:sz w:val="24"/>
              </w:rPr>
            </w:pPr>
            <w:r>
              <w:rPr>
                <w:rFonts w:hint="eastAsia" w:ascii="宋体" w:hAnsi="宋体" w:cs="宋体"/>
                <w:b/>
                <w:bCs/>
                <w:color w:val="auto"/>
                <w:kern w:val="0"/>
                <w:sz w:val="24"/>
              </w:rPr>
              <w:t>项   目</w:t>
            </w:r>
          </w:p>
        </w:tc>
        <w:tc>
          <w:tcPr>
            <w:tcW w:w="6949" w:type="dxa"/>
            <w:tcBorders>
              <w:top w:val="single" w:color="000000" w:sz="4" w:space="0"/>
              <w:left w:val="nil"/>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color w:val="auto"/>
                <w:kern w:val="0"/>
                <w:sz w:val="24"/>
              </w:rPr>
            </w:pPr>
            <w:r>
              <w:rPr>
                <w:rFonts w:hint="eastAsia" w:ascii="宋体" w:hAnsi="宋体" w:cs="宋体"/>
                <w:b/>
                <w:bCs/>
                <w:color w:val="auto"/>
                <w:kern w:val="0"/>
                <w:sz w:val="24"/>
              </w:rPr>
              <w:t>内     容</w:t>
            </w:r>
          </w:p>
        </w:tc>
      </w:tr>
      <w:tr>
        <w:tblPrEx>
          <w:tblLayout w:type="fixed"/>
          <w:tblCellMar>
            <w:top w:w="0" w:type="dxa"/>
            <w:left w:w="108" w:type="dxa"/>
            <w:bottom w:w="0" w:type="dxa"/>
            <w:right w:w="108" w:type="dxa"/>
          </w:tblCellMar>
        </w:tblPrEx>
        <w:trPr>
          <w:trHeight w:val="521"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1</w:t>
            </w:r>
          </w:p>
        </w:tc>
        <w:tc>
          <w:tcPr>
            <w:tcW w:w="1885"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采购人</w:t>
            </w:r>
          </w:p>
        </w:tc>
        <w:tc>
          <w:tcPr>
            <w:tcW w:w="6949"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color w:val="auto"/>
                <w:kern w:val="0"/>
                <w:sz w:val="24"/>
              </w:rPr>
            </w:pPr>
            <w:r>
              <w:rPr>
                <w:rFonts w:hint="eastAsia" w:ascii="方正小标宋简体" w:hAnsi="宋体" w:eastAsia="方正小标宋简体"/>
                <w:color w:val="auto"/>
                <w:sz w:val="24"/>
              </w:rPr>
              <w:t>温县公安交通警察大队</w:t>
            </w:r>
          </w:p>
        </w:tc>
      </w:tr>
      <w:tr>
        <w:tblPrEx>
          <w:tblLayout w:type="fixed"/>
          <w:tblCellMar>
            <w:top w:w="0" w:type="dxa"/>
            <w:left w:w="108" w:type="dxa"/>
            <w:bottom w:w="0" w:type="dxa"/>
            <w:right w:w="108" w:type="dxa"/>
          </w:tblCellMar>
        </w:tblPrEx>
        <w:trPr>
          <w:trHeight w:val="544"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2</w:t>
            </w:r>
          </w:p>
        </w:tc>
        <w:tc>
          <w:tcPr>
            <w:tcW w:w="1885"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采购代理机构</w:t>
            </w:r>
          </w:p>
        </w:tc>
        <w:tc>
          <w:tcPr>
            <w:tcW w:w="6949"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olor w:val="auto"/>
                <w:sz w:val="24"/>
                <w:lang w:eastAsia="zh-CN"/>
              </w:rPr>
            </w:pPr>
            <w:r>
              <w:rPr>
                <w:rFonts w:hint="eastAsia" w:ascii="方正小标宋简体" w:hAnsi="宋体" w:eastAsia="方正小标宋简体"/>
                <w:color w:val="auto"/>
                <w:sz w:val="24"/>
                <w:lang w:eastAsia="zh-CN"/>
              </w:rPr>
              <w:t>国泰信华工程咨询有限公司</w:t>
            </w:r>
          </w:p>
        </w:tc>
      </w:tr>
      <w:tr>
        <w:tblPrEx>
          <w:tblLayout w:type="fixed"/>
          <w:tblCellMar>
            <w:top w:w="0" w:type="dxa"/>
            <w:left w:w="108" w:type="dxa"/>
            <w:bottom w:w="0" w:type="dxa"/>
            <w:right w:w="108" w:type="dxa"/>
          </w:tblCellMar>
        </w:tblPrEx>
        <w:trPr>
          <w:trHeight w:val="564"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3</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项目名称</w:t>
            </w:r>
          </w:p>
        </w:tc>
        <w:tc>
          <w:tcPr>
            <w:tcW w:w="6949"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方正小标宋简体" w:hAnsi="宋体" w:eastAsia="方正小标宋简体"/>
                <w:color w:val="auto"/>
                <w:sz w:val="24"/>
                <w:lang w:eastAsia="zh-CN"/>
              </w:rPr>
            </w:pPr>
            <w:r>
              <w:rPr>
                <w:rFonts w:hint="eastAsia" w:ascii="方正小标宋简体" w:hAnsi="宋体" w:eastAsia="方正小标宋简体"/>
                <w:color w:val="auto"/>
                <w:sz w:val="24"/>
                <w:lang w:eastAsia="zh-CN"/>
              </w:rPr>
              <w:t>温县太极转盘十字口增设设施项目</w:t>
            </w:r>
          </w:p>
        </w:tc>
      </w:tr>
      <w:tr>
        <w:tblPrEx>
          <w:tblLayout w:type="fixed"/>
          <w:tblCellMar>
            <w:top w:w="0" w:type="dxa"/>
            <w:left w:w="108" w:type="dxa"/>
            <w:bottom w:w="0" w:type="dxa"/>
            <w:right w:w="108" w:type="dxa"/>
          </w:tblCellMar>
        </w:tblPrEx>
        <w:trPr>
          <w:trHeight w:val="477" w:hRule="atLeast"/>
        </w:trPr>
        <w:tc>
          <w:tcPr>
            <w:tcW w:w="744" w:type="dxa"/>
            <w:tcBorders>
              <w:top w:val="single" w:color="auto" w:sz="4" w:space="0"/>
              <w:left w:val="single" w:color="000000" w:sz="4" w:space="0"/>
              <w:bottom w:val="single" w:color="000000" w:sz="4" w:space="0"/>
              <w:right w:val="single" w:color="000000" w:sz="4" w:space="0"/>
            </w:tcBorders>
            <w:vAlign w:val="center"/>
          </w:tcPr>
          <w:p>
            <w:pPr>
              <w:spacing w:line="560" w:lineRule="atLeast"/>
              <w:jc w:val="center"/>
              <w:rPr>
                <w:rFonts w:ascii="宋体" w:hAnsi="宋体" w:cs="宋体"/>
                <w:color w:val="auto"/>
                <w:kern w:val="0"/>
                <w:sz w:val="24"/>
              </w:rPr>
            </w:pPr>
            <w:r>
              <w:rPr>
                <w:rFonts w:hint="eastAsia" w:ascii="宋体" w:hAnsi="宋体" w:cs="宋体"/>
                <w:color w:val="auto"/>
                <w:kern w:val="0"/>
                <w:sz w:val="24"/>
              </w:rPr>
              <w:t>4</w:t>
            </w:r>
          </w:p>
        </w:tc>
        <w:tc>
          <w:tcPr>
            <w:tcW w:w="1885" w:type="dxa"/>
            <w:tcBorders>
              <w:top w:val="single" w:color="auto" w:sz="4" w:space="0"/>
              <w:left w:val="nil"/>
              <w:bottom w:val="single" w:color="auto" w:sz="4" w:space="0"/>
              <w:right w:val="single" w:color="000000" w:sz="4" w:space="0"/>
            </w:tcBorders>
            <w:vAlign w:val="center"/>
          </w:tcPr>
          <w:p>
            <w:pPr>
              <w:spacing w:line="360" w:lineRule="exact"/>
              <w:jc w:val="center"/>
              <w:rPr>
                <w:rFonts w:ascii="宋体" w:hAnsi="宋体" w:cs="宋体"/>
                <w:b/>
                <w:color w:val="auto"/>
                <w:kern w:val="0"/>
                <w:sz w:val="24"/>
              </w:rPr>
            </w:pPr>
            <w:r>
              <w:rPr>
                <w:rFonts w:hint="eastAsia" w:ascii="宋体" w:hAnsi="宋体" w:cs="宋体"/>
                <w:b/>
                <w:color w:val="auto"/>
                <w:kern w:val="0"/>
                <w:sz w:val="24"/>
              </w:rPr>
              <w:t>控制价</w:t>
            </w:r>
          </w:p>
        </w:tc>
        <w:tc>
          <w:tcPr>
            <w:tcW w:w="6949" w:type="dxa"/>
            <w:tcBorders>
              <w:top w:val="single" w:color="auto" w:sz="4" w:space="0"/>
              <w:left w:val="nil"/>
              <w:bottom w:val="single" w:color="auto" w:sz="4" w:space="0"/>
              <w:right w:val="single" w:color="000000" w:sz="4" w:space="0"/>
            </w:tcBorders>
            <w:vAlign w:val="center"/>
          </w:tcPr>
          <w:p>
            <w:pPr>
              <w:spacing w:line="360" w:lineRule="exact"/>
              <w:jc w:val="left"/>
              <w:rPr>
                <w:rFonts w:ascii="方正小标宋简体" w:hAnsi="宋体" w:eastAsia="方正小标宋简体"/>
                <w:b/>
                <w:color w:val="auto"/>
                <w:sz w:val="24"/>
              </w:rPr>
            </w:pPr>
            <w:r>
              <w:rPr>
                <w:rFonts w:hint="eastAsia" w:ascii="方正小标宋简体" w:hAnsi="宋体" w:eastAsia="方正小标宋简体"/>
                <w:b/>
                <w:color w:val="auto"/>
                <w:sz w:val="24"/>
              </w:rPr>
              <w:t xml:space="preserve">                      第一标段：</w:t>
            </w:r>
            <w:r>
              <w:rPr>
                <w:rFonts w:hint="eastAsia" w:ascii="方正小标宋简体" w:hAnsi="宋体" w:eastAsia="方正小标宋简体"/>
                <w:b/>
                <w:color w:val="auto"/>
                <w:sz w:val="24"/>
                <w:lang w:val="en-US" w:eastAsia="zh-CN"/>
              </w:rPr>
              <w:t>37</w:t>
            </w:r>
            <w:r>
              <w:rPr>
                <w:rFonts w:hint="eastAsia" w:ascii="方正小标宋简体" w:hAnsi="宋体" w:eastAsia="方正小标宋简体"/>
                <w:b/>
                <w:color w:val="auto"/>
                <w:sz w:val="24"/>
              </w:rPr>
              <w:t>.</w:t>
            </w:r>
            <w:r>
              <w:rPr>
                <w:rFonts w:hint="eastAsia" w:ascii="方正小标宋简体" w:hAnsi="宋体" w:eastAsia="方正小标宋简体"/>
                <w:b/>
                <w:color w:val="auto"/>
                <w:sz w:val="24"/>
                <w:lang w:val="en-US" w:eastAsia="zh-CN"/>
              </w:rPr>
              <w:t>64</w:t>
            </w:r>
            <w:r>
              <w:rPr>
                <w:rFonts w:hint="eastAsia" w:ascii="方正小标宋简体" w:hAnsi="宋体" w:eastAsia="方正小标宋简体"/>
                <w:b/>
                <w:color w:val="auto"/>
                <w:sz w:val="24"/>
              </w:rPr>
              <w:t>万元</w:t>
            </w:r>
          </w:p>
        </w:tc>
      </w:tr>
      <w:tr>
        <w:tblPrEx>
          <w:tblLayout w:type="fixed"/>
          <w:tblCellMar>
            <w:top w:w="0" w:type="dxa"/>
            <w:left w:w="108" w:type="dxa"/>
            <w:bottom w:w="0" w:type="dxa"/>
            <w:right w:w="108" w:type="dxa"/>
          </w:tblCellMar>
        </w:tblPrEx>
        <w:trPr>
          <w:trHeight w:val="296" w:hRule="atLeast"/>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5</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计划工期</w:t>
            </w:r>
          </w:p>
        </w:tc>
        <w:tc>
          <w:tcPr>
            <w:tcW w:w="69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ascii="宋体" w:hAnsi="宋体"/>
                <w:color w:val="auto"/>
                <w:sz w:val="24"/>
              </w:rPr>
            </w:pPr>
            <w:r>
              <w:rPr>
                <w:rFonts w:hint="eastAsia" w:ascii="宋体" w:hAnsi="宋体"/>
                <w:color w:val="auto"/>
                <w:sz w:val="24"/>
              </w:rPr>
              <w:t>自签订合同之日起</w:t>
            </w:r>
            <w:r>
              <w:rPr>
                <w:rFonts w:hint="eastAsia" w:ascii="宋体" w:hAnsi="宋体"/>
                <w:color w:val="auto"/>
                <w:sz w:val="24"/>
                <w:lang w:val="en-US" w:eastAsia="zh-CN"/>
              </w:rPr>
              <w:t>3</w:t>
            </w:r>
            <w:r>
              <w:rPr>
                <w:rFonts w:hint="eastAsia" w:ascii="宋体" w:hAnsi="宋体"/>
                <w:color w:val="auto"/>
                <w:sz w:val="24"/>
              </w:rPr>
              <w:t>0日</w:t>
            </w:r>
          </w:p>
        </w:tc>
      </w:tr>
      <w:tr>
        <w:tblPrEx>
          <w:tblLayout w:type="fixed"/>
          <w:tblCellMar>
            <w:top w:w="0" w:type="dxa"/>
            <w:left w:w="108" w:type="dxa"/>
            <w:bottom w:w="0" w:type="dxa"/>
            <w:right w:w="108" w:type="dxa"/>
          </w:tblCellMar>
        </w:tblPrEx>
        <w:trPr>
          <w:trHeight w:val="287" w:hRule="atLeast"/>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6</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谈判有效期</w:t>
            </w:r>
          </w:p>
        </w:tc>
        <w:tc>
          <w:tcPr>
            <w:tcW w:w="69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ascii="宋体" w:hAnsi="宋体"/>
                <w:color w:val="auto"/>
                <w:sz w:val="24"/>
              </w:rPr>
            </w:pPr>
            <w:r>
              <w:rPr>
                <w:rFonts w:hint="eastAsia" w:ascii="宋体" w:hAnsi="宋体"/>
                <w:color w:val="auto"/>
                <w:sz w:val="24"/>
              </w:rPr>
              <w:t>60日历天</w:t>
            </w:r>
          </w:p>
        </w:tc>
      </w:tr>
      <w:tr>
        <w:tblPrEx>
          <w:tblLayout w:type="fixed"/>
          <w:tblCellMar>
            <w:top w:w="0" w:type="dxa"/>
            <w:left w:w="108" w:type="dxa"/>
            <w:bottom w:w="0" w:type="dxa"/>
            <w:right w:w="108" w:type="dxa"/>
          </w:tblCellMar>
        </w:tblPrEx>
        <w:trPr>
          <w:trHeight w:val="841"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Cs/>
                <w:color w:val="auto"/>
                <w:kern w:val="0"/>
                <w:sz w:val="24"/>
              </w:rPr>
              <w:t>7</w:t>
            </w:r>
          </w:p>
        </w:tc>
        <w:tc>
          <w:tcPr>
            <w:tcW w:w="1885"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保证金</w:t>
            </w:r>
          </w:p>
        </w:tc>
        <w:tc>
          <w:tcPr>
            <w:tcW w:w="6949" w:type="dxa"/>
            <w:tcBorders>
              <w:top w:val="single" w:color="auto" w:sz="4" w:space="0"/>
              <w:left w:val="nil"/>
              <w:bottom w:val="single" w:color="000000" w:sz="4" w:space="0"/>
              <w:right w:val="single" w:color="000000" w:sz="4" w:space="0"/>
            </w:tcBorders>
            <w:vAlign w:val="center"/>
          </w:tcPr>
          <w:p>
            <w:pPr>
              <w:widowControl/>
              <w:spacing w:line="360" w:lineRule="exact"/>
              <w:jc w:val="left"/>
              <w:rPr>
                <w:rFonts w:ascii="宋体" w:hAnsi="宋体" w:cs="宋体"/>
                <w:color w:val="auto"/>
                <w:kern w:val="0"/>
                <w:sz w:val="24"/>
              </w:rPr>
            </w:pPr>
            <w:r>
              <w:rPr>
                <w:rFonts w:hint="eastAsia" w:ascii="宋体" w:hAnsi="宋体" w:cs="宋体"/>
                <w:color w:val="auto"/>
                <w:kern w:val="0"/>
                <w:sz w:val="24"/>
              </w:rPr>
              <w:t>1、竞争性谈判保证金人民币：</w:t>
            </w:r>
            <w:r>
              <w:rPr>
                <w:rFonts w:hint="eastAsia" w:ascii="宋体" w:hAnsi="宋体" w:cs="宋体"/>
                <w:color w:val="auto"/>
                <w:kern w:val="0"/>
                <w:sz w:val="24"/>
                <w:lang w:eastAsia="zh-CN"/>
              </w:rPr>
              <w:t>叁</w:t>
            </w:r>
            <w:r>
              <w:rPr>
                <w:rFonts w:hint="eastAsia" w:ascii="宋体" w:hAnsi="宋体" w:cs="宋体"/>
                <w:color w:val="auto"/>
                <w:kern w:val="0"/>
                <w:sz w:val="24"/>
              </w:rPr>
              <w:t>仟</w:t>
            </w:r>
            <w:r>
              <w:rPr>
                <w:rFonts w:hint="eastAsia" w:ascii="宋体" w:hAnsi="宋体" w:cs="宋体"/>
                <w:color w:val="auto"/>
                <w:kern w:val="0"/>
                <w:sz w:val="24"/>
                <w:lang w:eastAsia="zh-CN"/>
              </w:rPr>
              <w:t>柒佰</w:t>
            </w:r>
            <w:r>
              <w:rPr>
                <w:rFonts w:hint="eastAsia" w:ascii="宋体" w:hAnsi="宋体" w:cs="宋体"/>
                <w:color w:val="auto"/>
                <w:kern w:val="0"/>
                <w:sz w:val="24"/>
              </w:rPr>
              <w:t>元整（￥</w:t>
            </w:r>
            <w:r>
              <w:rPr>
                <w:rFonts w:hint="eastAsia" w:ascii="宋体" w:hAnsi="宋体" w:cs="宋体"/>
                <w:color w:val="auto"/>
                <w:kern w:val="0"/>
                <w:sz w:val="24"/>
                <w:lang w:val="en-US" w:eastAsia="zh-CN"/>
              </w:rPr>
              <w:t>37</w:t>
            </w:r>
            <w:r>
              <w:rPr>
                <w:rFonts w:hint="eastAsia" w:ascii="宋体" w:hAnsi="宋体" w:cs="宋体"/>
                <w:color w:val="auto"/>
                <w:kern w:val="0"/>
                <w:sz w:val="24"/>
              </w:rPr>
              <w:t>00.00元），投标保证金的形式：企业基本户转账</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开户：中国邮政储蓄银行有限责任公司温县温泉路支行 </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开户单位：温县财政国库支付中心公共资源交易专户 </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账号：100435110440010001</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递交时间：投标人必须于2017年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6</w:t>
            </w:r>
            <w:r>
              <w:rPr>
                <w:rFonts w:hint="eastAsia" w:ascii="宋体" w:hAnsi="宋体" w:cs="宋体"/>
                <w:color w:val="auto"/>
                <w:kern w:val="0"/>
                <w:sz w:val="24"/>
              </w:rPr>
              <w:t>日</w:t>
            </w:r>
            <w:r>
              <w:rPr>
                <w:rFonts w:hint="eastAsia" w:ascii="宋体" w:hAnsi="宋体" w:cs="宋体"/>
                <w:color w:val="auto"/>
                <w:kern w:val="0"/>
                <w:sz w:val="24"/>
                <w:lang w:val="en-US" w:eastAsia="zh-CN"/>
              </w:rPr>
              <w:t>16</w:t>
            </w:r>
            <w:r>
              <w:rPr>
                <w:rFonts w:hint="eastAsia" w:ascii="宋体" w:hAnsi="宋体" w:cs="宋体"/>
                <w:color w:val="auto"/>
                <w:kern w:val="0"/>
                <w:sz w:val="24"/>
              </w:rPr>
              <w:t>时前交至指定账户以实际到账时间为准（注意1、附言请写清项目名称2、请选择适当汇划方式，注意到账时间）。</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 2、未按本规定和要求提交投标保证金的，采购人有权拒收其投标文件；</w:t>
            </w:r>
          </w:p>
          <w:p>
            <w:pPr>
              <w:widowControl/>
              <w:spacing w:line="360" w:lineRule="exact"/>
              <w:jc w:val="left"/>
              <w:rPr>
                <w:rFonts w:ascii="宋体" w:hAnsi="宋体" w:cs="宋体"/>
                <w:color w:val="auto"/>
                <w:kern w:val="0"/>
                <w:sz w:val="24"/>
              </w:rPr>
            </w:pPr>
            <w:r>
              <w:rPr>
                <w:rFonts w:hint="eastAsia" w:ascii="宋体" w:hAnsi="宋体" w:cs="宋体"/>
                <w:color w:val="auto"/>
                <w:kern w:val="0"/>
                <w:sz w:val="24"/>
              </w:rPr>
              <w:t xml:space="preserve"> 3、未中标供应商的投标保证金在发出中标通知书后五个工作日内退还。</w:t>
            </w:r>
          </w:p>
        </w:tc>
      </w:tr>
      <w:tr>
        <w:tblPrEx>
          <w:tblLayout w:type="fixed"/>
          <w:tblCellMar>
            <w:top w:w="0" w:type="dxa"/>
            <w:left w:w="108" w:type="dxa"/>
            <w:bottom w:w="0" w:type="dxa"/>
            <w:right w:w="108" w:type="dxa"/>
          </w:tblCellMar>
        </w:tblPrEx>
        <w:trPr>
          <w:trHeight w:val="1277"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8</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谈判文件份数及装订要求</w:t>
            </w:r>
          </w:p>
        </w:tc>
        <w:tc>
          <w:tcPr>
            <w:tcW w:w="6949" w:type="dxa"/>
            <w:tcBorders>
              <w:top w:val="single" w:color="000000" w:sz="4" w:space="0"/>
              <w:left w:val="nil"/>
              <w:bottom w:val="single" w:color="auto" w:sz="4" w:space="0"/>
              <w:right w:val="single" w:color="000000" w:sz="4" w:space="0"/>
            </w:tcBorders>
            <w:vAlign w:val="center"/>
          </w:tcPr>
          <w:p>
            <w:pPr>
              <w:widowControl/>
              <w:spacing w:line="360" w:lineRule="exact"/>
              <w:jc w:val="left"/>
              <w:rPr>
                <w:rFonts w:ascii="宋体" w:hAnsi="宋体" w:cs="宋体"/>
                <w:color w:val="auto"/>
                <w:kern w:val="0"/>
                <w:sz w:val="24"/>
                <w:u w:val="single"/>
              </w:rPr>
            </w:pPr>
            <w:r>
              <w:rPr>
                <w:rFonts w:hint="eastAsia" w:ascii="宋体" w:hAnsi="宋体" w:cs="宋体"/>
                <w:color w:val="auto"/>
                <w:kern w:val="0"/>
                <w:sz w:val="24"/>
                <w:u w:val="single"/>
              </w:rPr>
              <w:t>正本份数壹份，副本份数陆份，响应性谈判文件的正本与副本应采用左侧胶粘方式装订，不得采用活页夹等可随时拆换的方式装订。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559"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9</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color w:val="auto"/>
                <w:kern w:val="0"/>
                <w:sz w:val="24"/>
              </w:rPr>
            </w:pPr>
            <w:r>
              <w:rPr>
                <w:rFonts w:hint="eastAsia" w:ascii="宋体" w:hAnsi="宋体" w:cs="宋体"/>
                <w:b/>
                <w:color w:val="auto"/>
                <w:kern w:val="0"/>
                <w:sz w:val="24"/>
              </w:rPr>
              <w:t>谈判文件的密封</w:t>
            </w:r>
          </w:p>
        </w:tc>
        <w:tc>
          <w:tcPr>
            <w:tcW w:w="6949" w:type="dxa"/>
            <w:tcBorders>
              <w:top w:val="single" w:color="000000" w:sz="4" w:space="0"/>
              <w:left w:val="nil"/>
              <w:bottom w:val="single" w:color="auto" w:sz="4" w:space="0"/>
              <w:right w:val="single" w:color="000000" w:sz="4" w:space="0"/>
            </w:tcBorders>
            <w:vAlign w:val="center"/>
          </w:tcPr>
          <w:p>
            <w:pPr>
              <w:autoSpaceDE w:val="0"/>
              <w:autoSpaceDN w:val="0"/>
              <w:adjustRightInd w:val="0"/>
              <w:spacing w:line="360" w:lineRule="exact"/>
              <w:ind w:firstLine="480" w:firstLineChars="200"/>
              <w:jc w:val="left"/>
              <w:rPr>
                <w:rFonts w:ascii="宋体" w:hAnsi="宋体"/>
                <w:color w:val="auto"/>
                <w:kern w:val="0"/>
                <w:sz w:val="24"/>
              </w:rPr>
            </w:pPr>
            <w:r>
              <w:rPr>
                <w:rFonts w:hint="eastAsia" w:ascii="宋体" w:hAnsi="宋体"/>
                <w:color w:val="auto"/>
                <w:sz w:val="24"/>
              </w:rPr>
              <w:t>投标供应商应将响应性谈判文件正本和所有副本装在一个包装封袋中，密封口处加盖投标单位公章</w:t>
            </w:r>
            <w:r>
              <w:rPr>
                <w:rFonts w:hint="eastAsia" w:ascii="宋体" w:hAnsi="宋体"/>
                <w:color w:val="auto"/>
                <w:kern w:val="0"/>
                <w:sz w:val="24"/>
              </w:rPr>
              <w:t>。</w:t>
            </w:r>
          </w:p>
          <w:p>
            <w:pPr>
              <w:widowControl/>
              <w:spacing w:line="360" w:lineRule="exact"/>
              <w:ind w:firstLine="480" w:firstLineChars="200"/>
              <w:jc w:val="left"/>
              <w:rPr>
                <w:rFonts w:ascii="宋体" w:hAnsi="宋体"/>
                <w:color w:val="auto"/>
                <w:sz w:val="24"/>
              </w:rPr>
            </w:pPr>
            <w:r>
              <w:rPr>
                <w:rFonts w:hint="eastAsia" w:ascii="宋体" w:hAnsi="宋体"/>
                <w:color w:val="auto"/>
                <w:sz w:val="24"/>
              </w:rPr>
              <w:t>在响应性谈判文件的密封袋上应标明：</w:t>
            </w:r>
          </w:p>
          <w:p>
            <w:pPr>
              <w:widowControl/>
              <w:spacing w:line="360" w:lineRule="exact"/>
              <w:ind w:firstLine="480" w:firstLineChars="200"/>
              <w:jc w:val="left"/>
              <w:rPr>
                <w:rFonts w:ascii="宋体" w:hAnsi="宋体"/>
                <w:bCs/>
                <w:color w:val="auto"/>
                <w:sz w:val="24"/>
                <w:u w:val="single"/>
              </w:rPr>
            </w:pPr>
            <w:r>
              <w:rPr>
                <w:rFonts w:hint="eastAsia" w:ascii="宋体" w:hAnsi="宋体"/>
                <w:color w:val="auto"/>
                <w:sz w:val="24"/>
              </w:rPr>
              <w:t>项目名称：</w:t>
            </w:r>
            <w:r>
              <w:rPr>
                <w:rFonts w:hint="eastAsia" w:ascii="宋体" w:hAnsi="宋体"/>
                <w:color w:val="auto"/>
                <w:sz w:val="24"/>
                <w:u w:val="single"/>
              </w:rPr>
              <w:t xml:space="preserve"> </w:t>
            </w:r>
            <w:r>
              <w:rPr>
                <w:rFonts w:hint="eastAsia" w:ascii="宋体" w:hAnsi="宋体"/>
                <w:bCs/>
                <w:color w:val="auto"/>
                <w:sz w:val="24"/>
                <w:u w:val="single"/>
              </w:rPr>
              <w:t>（项目名称 ）</w:t>
            </w:r>
          </w:p>
          <w:p>
            <w:pPr>
              <w:widowControl/>
              <w:spacing w:line="360" w:lineRule="exact"/>
              <w:ind w:firstLine="480" w:firstLineChars="200"/>
              <w:jc w:val="left"/>
              <w:rPr>
                <w:rFonts w:ascii="宋体" w:hAnsi="宋体"/>
                <w:bCs/>
                <w:color w:val="auto"/>
                <w:sz w:val="24"/>
                <w:u w:val="single"/>
              </w:rPr>
            </w:pP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bCs/>
                <w:color w:val="auto"/>
                <w:sz w:val="24"/>
                <w:u w:val="single"/>
              </w:rPr>
              <w:t>（项目编号 ）</w:t>
            </w:r>
          </w:p>
          <w:p>
            <w:pPr>
              <w:spacing w:line="360" w:lineRule="exact"/>
              <w:ind w:firstLine="480" w:firstLineChars="200"/>
              <w:jc w:val="left"/>
              <w:rPr>
                <w:rFonts w:ascii="宋体" w:hAnsi="宋体" w:cs="宋体"/>
                <w:color w:val="auto"/>
                <w:kern w:val="0"/>
                <w:sz w:val="24"/>
                <w:u w:val="single"/>
              </w:rPr>
            </w:pPr>
            <w:r>
              <w:rPr>
                <w:rFonts w:hint="eastAsia" w:ascii="宋体" w:hAnsi="宋体"/>
                <w:color w:val="auto"/>
                <w:sz w:val="24"/>
              </w:rPr>
              <w:t>投标供应商名称：</w:t>
            </w:r>
            <w:r>
              <w:rPr>
                <w:rFonts w:hint="eastAsia" w:ascii="宋体" w:hAnsi="宋体"/>
                <w:bCs/>
                <w:color w:val="auto"/>
                <w:sz w:val="24"/>
                <w:u w:val="single"/>
              </w:rPr>
              <w:t>（加盖投标供应商公章）</w:t>
            </w:r>
            <w:r>
              <w:rPr>
                <w:rFonts w:hint="eastAsia" w:ascii="宋体" w:hAnsi="宋体"/>
                <w:color w:val="auto"/>
                <w:kern w:val="0"/>
                <w:sz w:val="24"/>
              </w:rPr>
              <w:t>未按以上要求密封和加写标记的谈判文件，采购人不予接受。</w:t>
            </w:r>
          </w:p>
        </w:tc>
      </w:tr>
      <w:tr>
        <w:tblPrEx>
          <w:tblLayout w:type="fixed"/>
          <w:tblCellMar>
            <w:top w:w="0" w:type="dxa"/>
            <w:left w:w="108" w:type="dxa"/>
            <w:bottom w:w="0" w:type="dxa"/>
            <w:right w:w="108" w:type="dxa"/>
          </w:tblCellMar>
        </w:tblPrEx>
        <w:trPr>
          <w:trHeight w:val="1329"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color w:val="auto"/>
                <w:kern w:val="0"/>
                <w:sz w:val="24"/>
              </w:rPr>
            </w:pPr>
            <w:r>
              <w:rPr>
                <w:rFonts w:hint="eastAsia" w:ascii="宋体" w:hAnsi="宋体" w:cs="宋体"/>
                <w:color w:val="auto"/>
                <w:kern w:val="0"/>
                <w:sz w:val="24"/>
              </w:rPr>
              <w:t>10</w:t>
            </w:r>
          </w:p>
        </w:tc>
        <w:tc>
          <w:tcPr>
            <w:tcW w:w="1885" w:type="dxa"/>
            <w:tcBorders>
              <w:top w:val="single" w:color="000000" w:sz="4" w:space="0"/>
              <w:left w:val="nil"/>
              <w:bottom w:val="single" w:color="000000" w:sz="4" w:space="0"/>
              <w:right w:val="single" w:color="000000" w:sz="4" w:space="0"/>
            </w:tcBorders>
            <w:vAlign w:val="center"/>
          </w:tcPr>
          <w:p>
            <w:pPr>
              <w:widowControl/>
              <w:spacing w:line="560" w:lineRule="atLeast"/>
              <w:rPr>
                <w:rFonts w:ascii="宋体" w:hAnsi="宋体" w:cs="宋体"/>
                <w:color w:val="auto"/>
                <w:kern w:val="0"/>
                <w:sz w:val="24"/>
              </w:rPr>
            </w:pPr>
            <w:r>
              <w:rPr>
                <w:rFonts w:hint="eastAsia" w:ascii="宋体" w:hAnsi="宋体" w:cs="宋体"/>
                <w:b/>
                <w:color w:val="auto"/>
                <w:kern w:val="0"/>
                <w:sz w:val="24"/>
              </w:rPr>
              <w:t>谈判时间及地点</w:t>
            </w:r>
          </w:p>
        </w:tc>
        <w:tc>
          <w:tcPr>
            <w:tcW w:w="6949" w:type="dxa"/>
            <w:tcBorders>
              <w:top w:val="single" w:color="000000" w:sz="4" w:space="0"/>
              <w:left w:val="nil"/>
              <w:bottom w:val="single" w:color="000000" w:sz="4" w:space="0"/>
              <w:right w:val="single" w:color="000000" w:sz="4" w:space="0"/>
            </w:tcBorders>
            <w:vAlign w:val="center"/>
          </w:tcPr>
          <w:p>
            <w:pPr>
              <w:widowControl/>
              <w:spacing w:line="560" w:lineRule="atLeast"/>
              <w:jc w:val="center"/>
              <w:rPr>
                <w:rFonts w:ascii="宋体" w:hAnsi="宋体" w:cs="宋体"/>
                <w:b/>
                <w:bCs/>
                <w:color w:val="auto"/>
                <w:kern w:val="0"/>
                <w:sz w:val="24"/>
                <w:u w:val="single"/>
              </w:rPr>
            </w:pPr>
            <w:r>
              <w:rPr>
                <w:rFonts w:hint="eastAsia" w:ascii="宋体" w:hAnsi="宋体" w:cs="宋体"/>
                <w:b/>
                <w:bCs/>
                <w:color w:val="auto"/>
                <w:kern w:val="0"/>
                <w:sz w:val="24"/>
                <w:u w:val="single"/>
              </w:rPr>
              <w:t>2017年</w:t>
            </w:r>
            <w:r>
              <w:rPr>
                <w:rFonts w:hint="eastAsia" w:ascii="宋体" w:hAnsi="宋体" w:cs="宋体"/>
                <w:b/>
                <w:bCs/>
                <w:color w:val="auto"/>
                <w:kern w:val="0"/>
                <w:sz w:val="24"/>
                <w:u w:val="single"/>
                <w:lang w:val="en-US" w:eastAsia="zh-CN"/>
              </w:rPr>
              <w:t>9</w:t>
            </w:r>
            <w:r>
              <w:rPr>
                <w:rFonts w:hint="eastAsia" w:ascii="宋体" w:hAnsi="宋体" w:cs="宋体"/>
                <w:b/>
                <w:bCs/>
                <w:color w:val="auto"/>
                <w:kern w:val="0"/>
                <w:sz w:val="24"/>
                <w:u w:val="single"/>
              </w:rPr>
              <w:t>月</w:t>
            </w:r>
            <w:r>
              <w:rPr>
                <w:rFonts w:hint="eastAsia" w:ascii="宋体" w:hAnsi="宋体" w:cs="宋体"/>
                <w:b/>
                <w:bCs/>
                <w:color w:val="auto"/>
                <w:kern w:val="0"/>
                <w:sz w:val="24"/>
                <w:u w:val="single"/>
                <w:lang w:val="en-US" w:eastAsia="zh-CN"/>
              </w:rPr>
              <w:t>7</w:t>
            </w:r>
            <w:r>
              <w:rPr>
                <w:rFonts w:hint="eastAsia" w:ascii="宋体" w:hAnsi="宋体" w:cs="宋体"/>
                <w:b/>
                <w:bCs/>
                <w:color w:val="auto"/>
                <w:kern w:val="0"/>
                <w:sz w:val="24"/>
                <w:u w:val="single"/>
              </w:rPr>
              <w:t>日</w:t>
            </w:r>
            <w:r>
              <w:rPr>
                <w:rFonts w:hint="eastAsia" w:ascii="宋体" w:hAnsi="宋体" w:cs="宋体"/>
                <w:b/>
                <w:bCs/>
                <w:color w:val="auto"/>
                <w:kern w:val="0"/>
                <w:sz w:val="24"/>
                <w:u w:val="single"/>
                <w:lang w:val="en-US" w:eastAsia="zh-CN"/>
              </w:rPr>
              <w:t>9</w:t>
            </w:r>
            <w:bookmarkStart w:id="14" w:name="_GoBack"/>
            <w:bookmarkEnd w:id="14"/>
            <w:r>
              <w:rPr>
                <w:rFonts w:hint="eastAsia" w:ascii="宋体" w:hAnsi="宋体" w:cs="宋体"/>
                <w:b/>
                <w:bCs/>
                <w:color w:val="auto"/>
                <w:kern w:val="0"/>
                <w:sz w:val="24"/>
                <w:u w:val="single"/>
              </w:rPr>
              <w:t>时</w:t>
            </w:r>
            <w:r>
              <w:rPr>
                <w:rFonts w:hint="eastAsia" w:ascii="宋体" w:hAnsi="宋体" w:cs="宋体"/>
                <w:b/>
                <w:bCs/>
                <w:color w:val="auto"/>
                <w:kern w:val="0"/>
                <w:sz w:val="24"/>
                <w:u w:val="single"/>
                <w:lang w:val="en-US" w:eastAsia="zh-CN"/>
              </w:rPr>
              <w:t>00</w:t>
            </w:r>
            <w:r>
              <w:rPr>
                <w:rFonts w:hint="eastAsia" w:ascii="宋体" w:hAnsi="宋体" w:cs="宋体"/>
                <w:b/>
                <w:bCs/>
                <w:color w:val="auto"/>
                <w:kern w:val="0"/>
                <w:sz w:val="24"/>
                <w:u w:val="single"/>
              </w:rPr>
              <w:t>分（北京时间）</w:t>
            </w:r>
          </w:p>
          <w:p>
            <w:pPr>
              <w:widowControl/>
              <w:spacing w:line="560" w:lineRule="atLeast"/>
              <w:jc w:val="center"/>
              <w:rPr>
                <w:rFonts w:ascii="宋体" w:hAnsi="宋体" w:cs="宋体"/>
                <w:b/>
                <w:bCs/>
                <w:color w:val="auto"/>
                <w:kern w:val="0"/>
                <w:sz w:val="24"/>
                <w:u w:val="single"/>
              </w:rPr>
            </w:pPr>
            <w:r>
              <w:rPr>
                <w:rFonts w:hint="eastAsia" w:ascii="宋体" w:hAnsi="宋体" w:cs="宋体"/>
                <w:b/>
                <w:bCs/>
                <w:color w:val="auto"/>
                <w:kern w:val="0"/>
                <w:sz w:val="24"/>
                <w:u w:val="single"/>
              </w:rPr>
              <w:t>温县公共资源交易中心开标厅（温县慈胜大街天天大酒店南邻）</w:t>
            </w:r>
          </w:p>
        </w:tc>
      </w:tr>
    </w:tbl>
    <w:p>
      <w:pPr>
        <w:widowControl/>
        <w:spacing w:line="560" w:lineRule="atLeast"/>
        <w:jc w:val="center"/>
        <w:rPr>
          <w:rFonts w:ascii="黑体" w:hAnsi="Times New Roman" w:eastAsia="黑体" w:cs="宋体"/>
          <w:bCs/>
          <w:color w:val="auto"/>
          <w:kern w:val="0"/>
        </w:rPr>
      </w:pPr>
      <w:r>
        <w:rPr>
          <w:rFonts w:hint="eastAsia" w:ascii="黑体" w:hAnsi="Times New Roman" w:eastAsia="黑体" w:cs="宋体"/>
          <w:b/>
          <w:bCs/>
          <w:color w:val="auto"/>
          <w:kern w:val="0"/>
          <w:sz w:val="32"/>
          <w:szCs w:val="32"/>
        </w:rPr>
        <w:t>二、谈  判  程  序</w:t>
      </w:r>
    </w:p>
    <w:p>
      <w:pPr>
        <w:spacing w:line="500" w:lineRule="exact"/>
        <w:ind w:firstLine="463" w:firstLineChars="192"/>
        <w:rPr>
          <w:rFonts w:ascii="宋体" w:hAnsi="宋体"/>
          <w:b/>
          <w:color w:val="auto"/>
          <w:sz w:val="24"/>
        </w:rPr>
      </w:pPr>
      <w:r>
        <w:rPr>
          <w:rFonts w:hint="eastAsia" w:ascii="宋体" w:hAnsi="宋体"/>
          <w:b/>
          <w:color w:val="auto"/>
          <w:sz w:val="24"/>
        </w:rPr>
        <w:t>（一）开标要求</w:t>
      </w:r>
    </w:p>
    <w:p>
      <w:pPr>
        <w:spacing w:line="520" w:lineRule="exact"/>
        <w:ind w:firstLine="480" w:firstLineChars="200"/>
        <w:rPr>
          <w:rFonts w:ascii="宋体" w:hAnsi="宋体"/>
          <w:color w:val="auto"/>
          <w:sz w:val="24"/>
        </w:rPr>
      </w:pPr>
      <w:r>
        <w:rPr>
          <w:rFonts w:hint="eastAsia" w:ascii="宋体" w:hAnsi="宋体"/>
          <w:color w:val="auto"/>
          <w:sz w:val="24"/>
        </w:rPr>
        <w:t>1、采购代理机构在“谈判须知表”中规定的时间组织谈判；</w:t>
      </w:r>
    </w:p>
    <w:p>
      <w:pPr>
        <w:spacing w:line="520" w:lineRule="exact"/>
        <w:ind w:firstLine="480" w:firstLineChars="200"/>
        <w:rPr>
          <w:rFonts w:ascii="宋体" w:hAnsi="宋体"/>
          <w:color w:val="auto"/>
          <w:sz w:val="24"/>
        </w:rPr>
      </w:pPr>
      <w:r>
        <w:rPr>
          <w:rFonts w:hint="eastAsia" w:ascii="宋体" w:hAnsi="宋体"/>
          <w:color w:val="auto"/>
          <w:sz w:val="24"/>
        </w:rPr>
        <w:t>2、所有供应商应按时参加谈判会议并签到，逾期到达者将视为自动弃权；</w:t>
      </w:r>
    </w:p>
    <w:p>
      <w:pPr>
        <w:spacing w:line="520" w:lineRule="exact"/>
        <w:ind w:firstLine="480"/>
        <w:rPr>
          <w:rFonts w:ascii="宋体" w:hAnsi="宋体"/>
          <w:b w:val="0"/>
          <w:bCs/>
          <w:color w:val="auto"/>
          <w:sz w:val="24"/>
        </w:rPr>
      </w:pPr>
      <w:r>
        <w:rPr>
          <w:rFonts w:hint="eastAsia" w:ascii="宋体" w:hAnsi="宋体"/>
          <w:b w:val="0"/>
          <w:bCs/>
          <w:color w:val="auto"/>
          <w:sz w:val="24"/>
        </w:rPr>
        <w:t>3、投标供应商参加谈判会议须出示的资质证件：营业执照（副本）、组织机构代码证、税务登记证（副本）（三证合一单位只需提供营业执照副本）、法定代表人证明或法定代表人授权委托书及本人身份证、由企业注册地或项目所在地的检察机关出具的行贿犯罪档案查询结果证明、公路交通工程专业承包</w:t>
      </w:r>
      <w:r>
        <w:rPr>
          <w:rFonts w:hint="eastAsia" w:ascii="宋体" w:hAnsi="宋体"/>
          <w:b w:val="0"/>
          <w:bCs/>
          <w:color w:val="auto"/>
          <w:sz w:val="24"/>
          <w:lang w:eastAsia="zh-CN"/>
        </w:rPr>
        <w:t>贰</w:t>
      </w:r>
      <w:r>
        <w:rPr>
          <w:rFonts w:hint="eastAsia" w:ascii="宋体" w:hAnsi="宋体"/>
          <w:b w:val="0"/>
          <w:bCs/>
          <w:color w:val="auto"/>
          <w:sz w:val="24"/>
        </w:rPr>
        <w:t>级</w:t>
      </w:r>
      <w:r>
        <w:rPr>
          <w:rFonts w:hint="eastAsia" w:ascii="宋体" w:hAnsi="宋体"/>
          <w:b w:val="0"/>
          <w:bCs/>
          <w:color w:val="auto"/>
          <w:sz w:val="24"/>
          <w:lang w:eastAsia="zh-CN"/>
        </w:rPr>
        <w:t>及以上</w:t>
      </w:r>
      <w:r>
        <w:rPr>
          <w:rFonts w:hint="eastAsia" w:ascii="宋体" w:hAnsi="宋体"/>
          <w:b w:val="0"/>
          <w:bCs/>
          <w:color w:val="auto"/>
          <w:sz w:val="24"/>
        </w:rPr>
        <w:t>资质（公路机电工程专业分项），安全生产许可证有效期内，拟派</w:t>
      </w:r>
      <w:r>
        <w:rPr>
          <w:rFonts w:hint="eastAsia" w:ascii="宋体" w:hAnsi="宋体"/>
          <w:b w:val="0"/>
          <w:bCs/>
          <w:color w:val="auto"/>
          <w:sz w:val="24"/>
          <w:lang w:eastAsia="zh-CN"/>
        </w:rPr>
        <w:t>项目经理</w:t>
      </w:r>
      <w:r>
        <w:rPr>
          <w:rFonts w:hint="eastAsia" w:ascii="宋体" w:hAnsi="宋体"/>
          <w:b w:val="0"/>
          <w:bCs/>
          <w:color w:val="auto"/>
          <w:sz w:val="24"/>
        </w:rPr>
        <w:t>具有公路工程或机电工程专业二级（含二级）以上注册建造师证书及有效的安全生产考核合格证书；2014年1月1日以来类似交通信号灯业绩，（提供中标通知书、合同原件）、投标保证金交付凭证、近期依法缴纳社会保障资金的交款凭证、近期依法纳税证明、近三年财务审计报告、在经营活动中没有重大违法记录声明等。（以上资料开标时提供原件，以备评委审查）</w:t>
      </w:r>
    </w:p>
    <w:p>
      <w:pPr>
        <w:spacing w:line="520" w:lineRule="exact"/>
        <w:ind w:firstLine="480"/>
        <w:rPr>
          <w:rFonts w:ascii="宋体" w:hAnsi="宋体"/>
          <w:b/>
          <w:color w:val="auto"/>
          <w:sz w:val="24"/>
        </w:rPr>
      </w:pPr>
      <w:r>
        <w:rPr>
          <w:rFonts w:hint="eastAsia" w:ascii="宋体" w:hAnsi="宋体"/>
          <w:b/>
          <w:color w:val="auto"/>
          <w:sz w:val="24"/>
        </w:rPr>
        <w:t>（二）有下列情形之一的，采购人不予受理：</w:t>
      </w:r>
    </w:p>
    <w:p>
      <w:pPr>
        <w:spacing w:line="520" w:lineRule="exact"/>
        <w:ind w:firstLine="480" w:firstLineChars="200"/>
        <w:rPr>
          <w:rFonts w:ascii="宋体" w:hAnsi="宋体"/>
          <w:color w:val="auto"/>
          <w:sz w:val="24"/>
        </w:rPr>
      </w:pPr>
      <w:r>
        <w:rPr>
          <w:rFonts w:hint="eastAsia" w:ascii="宋体" w:hAnsi="宋体"/>
          <w:color w:val="auto"/>
          <w:sz w:val="24"/>
        </w:rPr>
        <w:t>1、谈判文件逾期送达的或者未送达指定地点的；</w:t>
      </w:r>
    </w:p>
    <w:p>
      <w:pPr>
        <w:spacing w:line="520" w:lineRule="exact"/>
        <w:ind w:firstLine="460" w:firstLineChars="192"/>
        <w:rPr>
          <w:rFonts w:ascii="宋体" w:hAnsi="宋体"/>
          <w:color w:val="auto"/>
          <w:sz w:val="24"/>
        </w:rPr>
      </w:pPr>
      <w:r>
        <w:rPr>
          <w:rFonts w:hint="eastAsia" w:ascii="宋体" w:hAnsi="宋体"/>
          <w:color w:val="auto"/>
          <w:sz w:val="24"/>
        </w:rPr>
        <w:t>2、未按谈判文件要求密封的；</w:t>
      </w:r>
    </w:p>
    <w:p>
      <w:pPr>
        <w:spacing w:line="520" w:lineRule="exact"/>
        <w:ind w:firstLine="472" w:firstLineChars="196"/>
        <w:rPr>
          <w:rFonts w:ascii="宋体" w:hAnsi="宋体"/>
          <w:b/>
          <w:color w:val="auto"/>
          <w:sz w:val="24"/>
        </w:rPr>
      </w:pPr>
      <w:r>
        <w:rPr>
          <w:rFonts w:hint="eastAsia" w:ascii="宋体" w:hAnsi="宋体"/>
          <w:b/>
          <w:color w:val="auto"/>
          <w:sz w:val="24"/>
        </w:rPr>
        <w:t>（三）谈判程序</w:t>
      </w:r>
    </w:p>
    <w:p>
      <w:pPr>
        <w:spacing w:line="520" w:lineRule="exact"/>
        <w:ind w:firstLine="460" w:firstLineChars="192"/>
        <w:jc w:val="left"/>
        <w:rPr>
          <w:rFonts w:ascii="宋体" w:hAnsi="宋体"/>
          <w:color w:val="auto"/>
          <w:sz w:val="24"/>
        </w:rPr>
      </w:pPr>
      <w:r>
        <w:rPr>
          <w:rFonts w:hint="eastAsia" w:ascii="宋体" w:hAnsi="宋体"/>
          <w:color w:val="auto"/>
          <w:sz w:val="24"/>
        </w:rPr>
        <w:t>1、宣布会场纪律；</w:t>
      </w:r>
    </w:p>
    <w:p>
      <w:pPr>
        <w:spacing w:line="520" w:lineRule="exact"/>
        <w:ind w:firstLine="460" w:firstLineChars="192"/>
        <w:jc w:val="left"/>
        <w:rPr>
          <w:rFonts w:ascii="宋体" w:hAnsi="宋体"/>
          <w:color w:val="auto"/>
          <w:sz w:val="24"/>
        </w:rPr>
      </w:pPr>
      <w:r>
        <w:rPr>
          <w:rFonts w:hint="eastAsia" w:ascii="宋体" w:hAnsi="宋体"/>
          <w:color w:val="auto"/>
          <w:sz w:val="24"/>
        </w:rPr>
        <w:t>2、介绍与会的供应商和有关人员；</w:t>
      </w:r>
    </w:p>
    <w:p>
      <w:pPr>
        <w:spacing w:line="520" w:lineRule="exact"/>
        <w:ind w:firstLine="460" w:firstLineChars="192"/>
        <w:rPr>
          <w:rFonts w:ascii="宋体" w:hAnsi="宋体"/>
          <w:color w:val="auto"/>
          <w:sz w:val="24"/>
        </w:rPr>
      </w:pPr>
      <w:r>
        <w:rPr>
          <w:rFonts w:hint="eastAsia" w:ascii="宋体" w:hAnsi="宋体"/>
          <w:color w:val="auto"/>
          <w:sz w:val="24"/>
        </w:rPr>
        <w:t>3、投标供应商各派出一名代表对各谈判方的谈判文件密封情况进行查验；</w:t>
      </w:r>
    </w:p>
    <w:p>
      <w:pPr>
        <w:spacing w:line="520" w:lineRule="exact"/>
        <w:ind w:firstLine="460" w:firstLineChars="192"/>
        <w:rPr>
          <w:rFonts w:ascii="宋体" w:hAnsi="宋体"/>
          <w:color w:val="auto"/>
          <w:sz w:val="24"/>
        </w:rPr>
      </w:pPr>
      <w:r>
        <w:rPr>
          <w:rFonts w:hint="eastAsia" w:ascii="宋体" w:hAnsi="宋体"/>
          <w:color w:val="auto"/>
          <w:sz w:val="24"/>
        </w:rPr>
        <w:t>4、经确认以上程序无误后，开始谈判。</w:t>
      </w:r>
    </w:p>
    <w:p>
      <w:pPr>
        <w:spacing w:line="520" w:lineRule="exact"/>
        <w:ind w:firstLine="354" w:firstLineChars="147"/>
        <w:jc w:val="left"/>
        <w:rPr>
          <w:rFonts w:ascii="宋体" w:hAnsi="宋体"/>
          <w:b/>
          <w:color w:val="auto"/>
          <w:sz w:val="24"/>
        </w:rPr>
      </w:pPr>
      <w:r>
        <w:rPr>
          <w:rFonts w:hint="eastAsia" w:ascii="宋体" w:hAnsi="宋体"/>
          <w:b/>
          <w:color w:val="auto"/>
          <w:sz w:val="24"/>
        </w:rPr>
        <w:t>（四）谈判顺序</w:t>
      </w:r>
    </w:p>
    <w:p>
      <w:pPr>
        <w:spacing w:line="520" w:lineRule="exact"/>
        <w:ind w:firstLine="472" w:firstLineChars="196"/>
        <w:rPr>
          <w:rFonts w:ascii="宋体" w:hAnsi="宋体"/>
          <w:b/>
          <w:color w:val="auto"/>
          <w:sz w:val="24"/>
          <w:u w:val="single"/>
        </w:rPr>
      </w:pPr>
      <w:r>
        <w:rPr>
          <w:rFonts w:hint="eastAsia" w:ascii="宋体" w:hAnsi="宋体"/>
          <w:b/>
          <w:color w:val="auto"/>
          <w:sz w:val="24"/>
          <w:u w:val="single"/>
        </w:rPr>
        <w:t>谈判顺序：对符合开标有效性和完整性的投标供应商，以签到的逆顺序确定谈判顺序，谈判小组按顺序，分别与每位谈判响应人就价格、商务、技术等按谈判文件要求的内容进行谈判。</w:t>
      </w:r>
    </w:p>
    <w:p>
      <w:pPr>
        <w:spacing w:line="520" w:lineRule="exact"/>
        <w:ind w:firstLine="472" w:firstLineChars="196"/>
        <w:rPr>
          <w:rFonts w:ascii="宋体" w:hAnsi="宋体"/>
          <w:b/>
          <w:color w:val="auto"/>
          <w:sz w:val="24"/>
        </w:rPr>
      </w:pPr>
      <w:r>
        <w:rPr>
          <w:rFonts w:hint="eastAsia" w:ascii="宋体" w:hAnsi="宋体"/>
          <w:b/>
          <w:color w:val="auto"/>
          <w:kern w:val="0"/>
          <w:sz w:val="24"/>
        </w:rPr>
        <w:t>（五）</w:t>
      </w:r>
      <w:r>
        <w:rPr>
          <w:rFonts w:hint="eastAsia" w:ascii="宋体" w:hAnsi="宋体"/>
          <w:b/>
          <w:color w:val="auto"/>
          <w:sz w:val="24"/>
        </w:rPr>
        <w:t>谈判评审小组的组建</w:t>
      </w:r>
    </w:p>
    <w:p>
      <w:pPr>
        <w:spacing w:line="520" w:lineRule="exact"/>
        <w:ind w:firstLine="460" w:firstLineChars="192"/>
        <w:jc w:val="left"/>
        <w:rPr>
          <w:rFonts w:ascii="宋体" w:hAnsi="宋体" w:cs="楷体_GB2312"/>
          <w:color w:val="auto"/>
          <w:sz w:val="24"/>
          <w:lang w:val="zh-CN"/>
        </w:rPr>
      </w:pPr>
      <w:r>
        <w:rPr>
          <w:rFonts w:hint="eastAsia" w:ascii="宋体" w:hAnsi="宋体"/>
          <w:color w:val="auto"/>
          <w:kern w:val="0"/>
          <w:sz w:val="24"/>
          <w:lang w:val="zh-CN"/>
        </w:rPr>
        <w:t>谈判小组成员由3人组成，其中采购人代表1人，有关技术、经济类专家人数不得少于</w:t>
      </w:r>
      <w:r>
        <w:rPr>
          <w:rFonts w:hint="eastAsia" w:ascii="宋体" w:hAnsi="宋体"/>
          <w:color w:val="auto"/>
          <w:kern w:val="0"/>
          <w:sz w:val="24"/>
        </w:rPr>
        <w:t>2/3</w:t>
      </w:r>
      <w:r>
        <w:rPr>
          <w:rFonts w:hint="eastAsia" w:ascii="宋体" w:hAnsi="宋体"/>
          <w:color w:val="auto"/>
          <w:kern w:val="0"/>
          <w:sz w:val="24"/>
          <w:lang w:val="zh-CN"/>
        </w:rPr>
        <w:t>。</w:t>
      </w:r>
    </w:p>
    <w:p>
      <w:pPr>
        <w:spacing w:line="520" w:lineRule="exact"/>
        <w:ind w:firstLine="463" w:firstLineChars="192"/>
        <w:jc w:val="left"/>
        <w:rPr>
          <w:rFonts w:ascii="宋体" w:hAnsi="宋体"/>
          <w:b/>
          <w:color w:val="auto"/>
          <w:sz w:val="24"/>
        </w:rPr>
      </w:pPr>
      <w:r>
        <w:rPr>
          <w:rFonts w:hint="eastAsia" w:ascii="宋体" w:hAnsi="宋体"/>
          <w:b/>
          <w:color w:val="auto"/>
          <w:sz w:val="24"/>
        </w:rPr>
        <w:t>（六）谈判文件的初步评审</w:t>
      </w:r>
    </w:p>
    <w:p>
      <w:pPr>
        <w:spacing w:line="520" w:lineRule="exact"/>
        <w:ind w:firstLine="460" w:firstLineChars="192"/>
        <w:jc w:val="left"/>
        <w:rPr>
          <w:rFonts w:ascii="宋体" w:hAnsi="宋体"/>
          <w:color w:val="auto"/>
          <w:kern w:val="0"/>
          <w:sz w:val="24"/>
        </w:rPr>
      </w:pPr>
      <w:r>
        <w:rPr>
          <w:rFonts w:hint="eastAsia" w:ascii="宋体" w:hAnsi="宋体"/>
          <w:color w:val="auto"/>
          <w:kern w:val="0"/>
          <w:sz w:val="24"/>
        </w:rPr>
        <w:t>1、评标过程将遵循“</w:t>
      </w:r>
      <w:r>
        <w:rPr>
          <w:rFonts w:hint="eastAsia" w:ascii="宋体" w:hAnsi="宋体"/>
          <w:color w:val="auto"/>
          <w:sz w:val="24"/>
        </w:rPr>
        <w:t>公平、公正、科学、择优</w:t>
      </w:r>
      <w:r>
        <w:rPr>
          <w:rFonts w:hint="eastAsia" w:ascii="宋体" w:hAnsi="宋体"/>
          <w:color w:val="auto"/>
          <w:kern w:val="0"/>
          <w:sz w:val="24"/>
        </w:rPr>
        <w:t>”的原则进行。</w:t>
      </w:r>
    </w:p>
    <w:p>
      <w:pPr>
        <w:autoSpaceDE w:val="0"/>
        <w:autoSpaceDN w:val="0"/>
        <w:adjustRightInd w:val="0"/>
        <w:spacing w:line="520" w:lineRule="exact"/>
        <w:ind w:firstLine="480" w:firstLineChars="200"/>
        <w:outlineLvl w:val="1"/>
        <w:rPr>
          <w:rFonts w:ascii="宋体" w:hAnsi="宋体"/>
          <w:color w:val="auto"/>
          <w:kern w:val="0"/>
          <w:sz w:val="24"/>
        </w:rPr>
      </w:pPr>
      <w:r>
        <w:rPr>
          <w:rFonts w:hint="eastAsia" w:ascii="宋体" w:hAnsi="宋体"/>
          <w:color w:val="auto"/>
          <w:kern w:val="0"/>
          <w:sz w:val="24"/>
        </w:rPr>
        <w:t>2、评标将严格按照谈判文件的要求和条件进行。</w:t>
      </w:r>
    </w:p>
    <w:p>
      <w:pPr>
        <w:spacing w:line="500" w:lineRule="exact"/>
        <w:ind w:firstLine="480" w:firstLineChars="200"/>
        <w:outlineLvl w:val="1"/>
        <w:rPr>
          <w:rFonts w:ascii="宋体" w:hAnsi="宋体"/>
          <w:color w:val="auto"/>
          <w:kern w:val="0"/>
          <w:sz w:val="24"/>
        </w:rPr>
      </w:pPr>
      <w:r>
        <w:rPr>
          <w:rFonts w:hint="eastAsia" w:ascii="宋体" w:hAnsi="宋体"/>
          <w:color w:val="auto"/>
          <w:kern w:val="0"/>
          <w:sz w:val="24"/>
        </w:rPr>
        <w:t>3、初步评审标准</w:t>
      </w:r>
    </w:p>
    <w:tbl>
      <w:tblPr>
        <w:tblStyle w:val="23"/>
        <w:tblW w:w="9008"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486"/>
        <w:gridCol w:w="5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3208" w:type="dxa"/>
            <w:gridSpan w:val="2"/>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b/>
                <w:color w:val="auto"/>
                <w:sz w:val="24"/>
              </w:rPr>
            </w:pPr>
            <w:r>
              <w:rPr>
                <w:rFonts w:hint="eastAsia" w:ascii="宋体" w:hAnsi="宋体"/>
                <w:b/>
                <w:color w:val="auto"/>
                <w:sz w:val="24"/>
              </w:rPr>
              <w:t>评审因素</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b/>
                <w:color w:val="auto"/>
                <w:sz w:val="24"/>
              </w:rPr>
            </w:pPr>
            <w:r>
              <w:rPr>
                <w:rFonts w:hint="eastAsia" w:ascii="宋体" w:hAnsi="宋体"/>
                <w:b/>
                <w:color w:val="auto"/>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trPr>
        <w:tc>
          <w:tcPr>
            <w:tcW w:w="722" w:type="dxa"/>
            <w:vMerge w:val="restart"/>
            <w:tcBorders>
              <w:top w:val="single" w:color="auto" w:sz="4" w:space="0"/>
              <w:left w:val="single" w:color="auto" w:sz="4" w:space="0"/>
              <w:right w:val="single" w:color="auto" w:sz="4" w:space="0"/>
            </w:tcBorders>
            <w:vAlign w:val="center"/>
          </w:tcPr>
          <w:p>
            <w:pPr>
              <w:spacing w:line="520" w:lineRule="exact"/>
              <w:ind w:firstLine="120" w:firstLineChars="50"/>
              <w:outlineLvl w:val="1"/>
              <w:rPr>
                <w:rFonts w:ascii="宋体" w:hAnsi="宋体"/>
                <w:color w:val="auto"/>
                <w:sz w:val="24"/>
              </w:rPr>
            </w:pPr>
            <w:r>
              <w:rPr>
                <w:rFonts w:hint="eastAsia" w:ascii="宋体" w:hAnsi="宋体"/>
                <w:color w:val="auto"/>
                <w:sz w:val="24"/>
              </w:rPr>
              <w:t>一</w:t>
            </w:r>
          </w:p>
          <w:p>
            <w:pPr>
              <w:spacing w:line="520" w:lineRule="exact"/>
              <w:jc w:val="center"/>
              <w:outlineLvl w:val="1"/>
              <w:rPr>
                <w:rFonts w:ascii="宋体" w:hAnsi="宋体"/>
                <w:color w:val="auto"/>
                <w:sz w:val="24"/>
              </w:rPr>
            </w:pPr>
            <w:r>
              <w:rPr>
                <w:rFonts w:hint="eastAsia" w:ascii="宋体" w:hAnsi="宋体"/>
                <w:color w:val="auto"/>
                <w:sz w:val="24"/>
              </w:rPr>
              <w:t>资格评审标准</w:t>
            </w: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营业执照（副本）</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具备有效的且符合本项目经营范围的营业执照（原件）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trPr>
        <w:tc>
          <w:tcPr>
            <w:tcW w:w="722" w:type="dxa"/>
            <w:vMerge w:val="continue"/>
            <w:tcBorders>
              <w:left w:val="single" w:color="auto" w:sz="4" w:space="0"/>
              <w:right w:val="single" w:color="auto" w:sz="4" w:space="0"/>
            </w:tcBorders>
            <w:vAlign w:val="center"/>
          </w:tcPr>
          <w:p>
            <w:pPr>
              <w:spacing w:line="520" w:lineRule="exact"/>
              <w:ind w:firstLine="120" w:firstLineChars="50"/>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税务登记证（副本）</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具备有效的税务登记证（原件）</w:t>
            </w:r>
          </w:p>
          <w:p>
            <w:pPr>
              <w:spacing w:line="520" w:lineRule="exact"/>
              <w:outlineLvl w:val="1"/>
              <w:rPr>
                <w:rFonts w:ascii="宋体" w:hAnsi="宋体"/>
                <w:color w:val="auto"/>
                <w:sz w:val="24"/>
              </w:rPr>
            </w:pPr>
            <w:r>
              <w:rPr>
                <w:rFonts w:hint="eastAsia" w:ascii="宋体" w:hAnsi="宋体"/>
                <w:color w:val="auto"/>
                <w:sz w:val="24"/>
              </w:rPr>
              <w:t>（三证合一单位只需提供营业执照副本）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组织机构代码证</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具备有效的组织机构代码证（原件）</w:t>
            </w:r>
          </w:p>
          <w:p>
            <w:pPr>
              <w:spacing w:line="520" w:lineRule="exact"/>
              <w:outlineLvl w:val="1"/>
              <w:rPr>
                <w:rFonts w:ascii="宋体" w:hAnsi="宋体"/>
                <w:color w:val="auto"/>
                <w:sz w:val="24"/>
              </w:rPr>
            </w:pPr>
            <w:r>
              <w:rPr>
                <w:rFonts w:hint="eastAsia" w:ascii="宋体" w:hAnsi="宋体"/>
                <w:color w:val="auto"/>
                <w:sz w:val="24"/>
              </w:rPr>
              <w:t>（三证合一单位只需提供营业执照副本）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法人代表证明</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法人代表（负责人）证明或法人授权委托书（原件）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投标保证金</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方正小标宋简体" w:hAnsi="宋体" w:eastAsia="方正小标宋简体"/>
                <w:color w:val="auto"/>
                <w:sz w:val="24"/>
              </w:rPr>
            </w:pPr>
            <w:r>
              <w:rPr>
                <w:rFonts w:hint="eastAsia" w:ascii="方正小标宋简体" w:hAnsi="宋体" w:eastAsia="方正小标宋简体"/>
                <w:color w:val="auto"/>
                <w:sz w:val="24"/>
              </w:rPr>
              <w:t>人民币</w:t>
            </w:r>
            <w:r>
              <w:rPr>
                <w:rFonts w:hint="eastAsia" w:ascii="方正小标宋简体" w:hAnsi="宋体" w:eastAsia="方正小标宋简体"/>
                <w:color w:val="auto"/>
                <w:sz w:val="24"/>
                <w:lang w:eastAsia="zh-CN"/>
              </w:rPr>
              <w:t>叁</w:t>
            </w:r>
            <w:r>
              <w:rPr>
                <w:rFonts w:hint="eastAsia" w:ascii="方正小标宋简体" w:hAnsi="宋体" w:eastAsia="方正小标宋简体"/>
                <w:color w:val="auto"/>
                <w:sz w:val="24"/>
              </w:rPr>
              <w:t>仟</w:t>
            </w:r>
            <w:r>
              <w:rPr>
                <w:rFonts w:hint="eastAsia" w:ascii="方正小标宋简体" w:hAnsi="宋体" w:eastAsia="方正小标宋简体"/>
                <w:color w:val="auto"/>
                <w:sz w:val="24"/>
                <w:lang w:eastAsia="zh-CN"/>
              </w:rPr>
              <w:t>柒佰</w:t>
            </w:r>
            <w:r>
              <w:rPr>
                <w:rFonts w:hint="eastAsia" w:ascii="方正小标宋简体" w:hAnsi="宋体" w:eastAsia="方正小标宋简体"/>
                <w:color w:val="auto"/>
                <w:sz w:val="24"/>
              </w:rPr>
              <w:t xml:space="preserve">元整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资质</w:t>
            </w:r>
          </w:p>
        </w:tc>
        <w:tc>
          <w:tcPr>
            <w:tcW w:w="58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420" w:lineRule="exact"/>
              <w:rPr>
                <w:rFonts w:ascii="宋体" w:hAnsi="宋体"/>
                <w:color w:val="auto"/>
                <w:kern w:val="0"/>
                <w:sz w:val="24"/>
              </w:rPr>
            </w:pPr>
            <w:r>
              <w:rPr>
                <w:rFonts w:hint="eastAsia" w:ascii="宋体" w:hAnsi="宋体"/>
                <w:color w:val="auto"/>
                <w:kern w:val="0"/>
                <w:sz w:val="24"/>
              </w:rPr>
              <w:t>1、符合《政府采购法》第二十二条规定的条件：</w:t>
            </w:r>
          </w:p>
          <w:p>
            <w:pPr>
              <w:autoSpaceDE w:val="0"/>
              <w:autoSpaceDN w:val="0"/>
              <w:spacing w:line="420" w:lineRule="exact"/>
              <w:rPr>
                <w:rFonts w:ascii="宋体" w:hAnsi="宋体"/>
                <w:color w:val="auto"/>
                <w:kern w:val="0"/>
                <w:sz w:val="24"/>
              </w:rPr>
            </w:pPr>
            <w:r>
              <w:rPr>
                <w:rFonts w:hint="eastAsia" w:ascii="宋体" w:hAnsi="宋体"/>
                <w:color w:val="auto"/>
                <w:kern w:val="0"/>
                <w:sz w:val="24"/>
              </w:rPr>
              <w:t>（1）具有独立承担民事责任的能力；</w:t>
            </w:r>
          </w:p>
          <w:p>
            <w:pPr>
              <w:autoSpaceDE w:val="0"/>
              <w:autoSpaceDN w:val="0"/>
              <w:spacing w:line="420" w:lineRule="exact"/>
              <w:rPr>
                <w:rFonts w:ascii="宋体" w:hAnsi="宋体"/>
                <w:color w:val="auto"/>
                <w:kern w:val="0"/>
                <w:sz w:val="24"/>
              </w:rPr>
            </w:pPr>
            <w:r>
              <w:rPr>
                <w:rFonts w:hint="eastAsia" w:ascii="宋体" w:hAnsi="宋体"/>
                <w:color w:val="auto"/>
                <w:kern w:val="0"/>
                <w:sz w:val="24"/>
              </w:rPr>
              <w:t>（2）具有良好的商业信誉和健全的财务会计制度；</w:t>
            </w:r>
          </w:p>
          <w:p>
            <w:pPr>
              <w:autoSpaceDE w:val="0"/>
              <w:autoSpaceDN w:val="0"/>
              <w:spacing w:line="420" w:lineRule="exact"/>
              <w:rPr>
                <w:rFonts w:ascii="宋体" w:hAnsi="宋体"/>
                <w:color w:val="auto"/>
                <w:kern w:val="0"/>
                <w:sz w:val="24"/>
              </w:rPr>
            </w:pPr>
            <w:r>
              <w:rPr>
                <w:rFonts w:hint="eastAsia" w:ascii="宋体" w:hAnsi="宋体"/>
                <w:color w:val="auto"/>
                <w:kern w:val="0"/>
                <w:sz w:val="24"/>
              </w:rPr>
              <w:t>（3）具有履行合同所必需的设备和专业技术能力；</w:t>
            </w:r>
          </w:p>
          <w:p>
            <w:pPr>
              <w:autoSpaceDE w:val="0"/>
              <w:autoSpaceDN w:val="0"/>
              <w:spacing w:line="420" w:lineRule="exact"/>
              <w:rPr>
                <w:rFonts w:ascii="宋体" w:hAnsi="宋体"/>
                <w:color w:val="auto"/>
                <w:kern w:val="0"/>
                <w:sz w:val="24"/>
              </w:rPr>
            </w:pPr>
            <w:r>
              <w:rPr>
                <w:rFonts w:hint="eastAsia" w:ascii="宋体" w:hAnsi="宋体"/>
                <w:color w:val="auto"/>
                <w:kern w:val="0"/>
                <w:sz w:val="24"/>
              </w:rPr>
              <w:t>（4）有依法缴纳税收和社会保障资金的良好记录；</w:t>
            </w:r>
          </w:p>
          <w:p>
            <w:pPr>
              <w:autoSpaceDE w:val="0"/>
              <w:autoSpaceDN w:val="0"/>
              <w:spacing w:line="420" w:lineRule="exact"/>
              <w:rPr>
                <w:rFonts w:ascii="宋体" w:hAnsi="宋体"/>
                <w:color w:val="auto"/>
                <w:kern w:val="0"/>
                <w:sz w:val="24"/>
              </w:rPr>
            </w:pPr>
            <w:r>
              <w:rPr>
                <w:rFonts w:hint="eastAsia" w:ascii="宋体" w:hAnsi="宋体"/>
                <w:color w:val="auto"/>
                <w:kern w:val="0"/>
                <w:sz w:val="24"/>
              </w:rPr>
              <w:t>（5）参加政府采购活动前三年内，在经营活动中没有重大违法记录；</w:t>
            </w:r>
          </w:p>
          <w:p>
            <w:pPr>
              <w:autoSpaceDE w:val="0"/>
              <w:autoSpaceDN w:val="0"/>
              <w:spacing w:line="420" w:lineRule="exact"/>
              <w:rPr>
                <w:rFonts w:ascii="宋体" w:hAnsi="宋体"/>
                <w:color w:val="auto"/>
                <w:kern w:val="0"/>
                <w:sz w:val="24"/>
              </w:rPr>
            </w:pPr>
            <w:r>
              <w:rPr>
                <w:rFonts w:hint="eastAsia" w:ascii="宋体" w:hAnsi="宋体"/>
                <w:color w:val="auto"/>
                <w:kern w:val="0"/>
                <w:sz w:val="24"/>
              </w:rPr>
              <w:t>（6）法律、行政法规规定的其他条件。</w:t>
            </w:r>
          </w:p>
          <w:p>
            <w:pPr>
              <w:autoSpaceDE w:val="0"/>
              <w:autoSpaceDN w:val="0"/>
              <w:spacing w:line="420" w:lineRule="exact"/>
              <w:rPr>
                <w:rFonts w:ascii="宋体" w:hAnsi="宋体"/>
                <w:color w:val="auto"/>
                <w:kern w:val="0"/>
                <w:sz w:val="24"/>
              </w:rPr>
            </w:pPr>
            <w:r>
              <w:rPr>
                <w:rFonts w:hint="eastAsia" w:ascii="宋体" w:hAnsi="宋体"/>
                <w:color w:val="auto"/>
                <w:kern w:val="0"/>
                <w:sz w:val="24"/>
              </w:rPr>
              <w:t>2、投标人具备独立法人资格，且经营范围符合本项目要求的生产企业或经销商；</w:t>
            </w:r>
          </w:p>
          <w:p>
            <w:pPr>
              <w:autoSpaceDE w:val="0"/>
              <w:autoSpaceDN w:val="0"/>
              <w:spacing w:line="420" w:lineRule="exact"/>
              <w:rPr>
                <w:rFonts w:ascii="宋体" w:hAnsi="宋体"/>
                <w:color w:val="auto"/>
                <w:kern w:val="0"/>
                <w:sz w:val="24"/>
              </w:rPr>
            </w:pPr>
            <w:r>
              <w:rPr>
                <w:rFonts w:hint="eastAsia" w:ascii="宋体" w:hAnsi="宋体"/>
                <w:color w:val="auto"/>
                <w:kern w:val="0"/>
                <w:sz w:val="24"/>
              </w:rPr>
              <w:t>3、第一标段资质要求：公路交通工程专业承包</w:t>
            </w:r>
            <w:r>
              <w:rPr>
                <w:rFonts w:hint="eastAsia" w:ascii="宋体" w:hAnsi="宋体"/>
                <w:color w:val="auto"/>
                <w:kern w:val="0"/>
                <w:sz w:val="24"/>
                <w:lang w:eastAsia="zh-CN"/>
              </w:rPr>
              <w:t>二</w:t>
            </w:r>
            <w:r>
              <w:rPr>
                <w:rFonts w:hint="eastAsia" w:ascii="宋体" w:hAnsi="宋体"/>
                <w:color w:val="auto"/>
                <w:kern w:val="0"/>
                <w:sz w:val="24"/>
              </w:rPr>
              <w:t>级</w:t>
            </w:r>
            <w:r>
              <w:rPr>
                <w:rFonts w:hint="eastAsia" w:ascii="宋体" w:hAnsi="宋体"/>
                <w:color w:val="auto"/>
                <w:kern w:val="0"/>
                <w:sz w:val="24"/>
                <w:lang w:eastAsia="zh-CN"/>
              </w:rPr>
              <w:t>及以上</w:t>
            </w:r>
            <w:r>
              <w:rPr>
                <w:rFonts w:hint="eastAsia" w:ascii="宋体" w:hAnsi="宋体"/>
                <w:color w:val="auto"/>
                <w:kern w:val="0"/>
                <w:sz w:val="24"/>
              </w:rPr>
              <w:t>资质（公路机电工程专业分项），安全生产许可证有效期内，拟派</w:t>
            </w:r>
            <w:r>
              <w:rPr>
                <w:rFonts w:hint="eastAsia" w:ascii="宋体" w:hAnsi="宋体"/>
                <w:color w:val="auto"/>
                <w:kern w:val="0"/>
                <w:sz w:val="24"/>
                <w:lang w:eastAsia="zh-CN"/>
              </w:rPr>
              <w:t>项目经理</w:t>
            </w:r>
            <w:r>
              <w:rPr>
                <w:rFonts w:hint="eastAsia" w:ascii="宋体" w:hAnsi="宋体"/>
                <w:color w:val="auto"/>
                <w:kern w:val="0"/>
                <w:sz w:val="24"/>
              </w:rPr>
              <w:t>具有公路工程或机电工程专业二级（含二级）以上注册建造师证书及有效的安全生产考核合格证书；</w:t>
            </w:r>
          </w:p>
          <w:p>
            <w:pPr>
              <w:autoSpaceDE w:val="0"/>
              <w:autoSpaceDN w:val="0"/>
              <w:spacing w:line="420" w:lineRule="exact"/>
              <w:rPr>
                <w:rFonts w:ascii="宋体" w:hAnsi="宋体"/>
                <w:color w:val="auto"/>
                <w:kern w:val="0"/>
                <w:sz w:val="24"/>
              </w:rPr>
            </w:pPr>
            <w:r>
              <w:rPr>
                <w:rFonts w:hint="eastAsia" w:ascii="宋体" w:hAnsi="宋体"/>
                <w:color w:val="auto"/>
                <w:kern w:val="0"/>
                <w:sz w:val="24"/>
              </w:rPr>
              <w:t>4</w:t>
            </w:r>
            <w:r>
              <w:rPr>
                <w:rFonts w:hint="eastAsia" w:ascii="宋体" w:hAnsi="宋体"/>
                <w:color w:val="auto"/>
                <w:kern w:val="0"/>
                <w:sz w:val="24"/>
                <w:lang w:eastAsia="zh-CN"/>
              </w:rPr>
              <w:t>、</w:t>
            </w:r>
            <w:r>
              <w:rPr>
                <w:rFonts w:hint="eastAsia" w:ascii="宋体" w:hAnsi="宋体"/>
                <w:color w:val="auto"/>
                <w:kern w:val="0"/>
                <w:sz w:val="24"/>
              </w:rPr>
              <w:t>第一标段：投标人具有2014年1月1日以来类似交通信号灯业绩，（提供中标通知书、合同原件）；</w:t>
            </w:r>
          </w:p>
          <w:p>
            <w:pPr>
              <w:autoSpaceDE w:val="0"/>
              <w:autoSpaceDN w:val="0"/>
              <w:spacing w:line="420" w:lineRule="exact"/>
              <w:rPr>
                <w:rFonts w:ascii="宋体" w:hAnsi="宋体"/>
                <w:color w:val="auto"/>
                <w:kern w:val="0"/>
                <w:sz w:val="24"/>
              </w:rPr>
            </w:pPr>
            <w:r>
              <w:rPr>
                <w:rFonts w:hint="eastAsia" w:ascii="宋体" w:hAnsi="宋体"/>
                <w:color w:val="auto"/>
                <w:kern w:val="0"/>
                <w:sz w:val="24"/>
              </w:rPr>
              <w:t>5、投标人应在开标时提供由单位注册地或项目所在地的检察机关出具的行贿犯罪档案查询结果证明（查询近三年来法人、法定代表人、法定代表人委托人）原件(网上下载的查询告知函和检察机关现场出具的书面告知函具有同等效力)，否则取消其投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722" w:type="dxa"/>
            <w:vMerge w:val="restart"/>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二</w:t>
            </w:r>
          </w:p>
          <w:p>
            <w:pPr>
              <w:spacing w:line="520" w:lineRule="exact"/>
              <w:jc w:val="center"/>
              <w:outlineLvl w:val="1"/>
              <w:rPr>
                <w:rFonts w:ascii="宋体" w:hAnsi="宋体"/>
                <w:color w:val="auto"/>
                <w:sz w:val="24"/>
              </w:rPr>
            </w:pPr>
            <w:r>
              <w:rPr>
                <w:rFonts w:hint="eastAsia" w:ascii="宋体" w:hAnsi="宋体"/>
                <w:color w:val="auto"/>
                <w:sz w:val="24"/>
              </w:rPr>
              <w:t>形式评审标准</w:t>
            </w: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投标供应商名称</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722" w:type="dxa"/>
            <w:vMerge w:val="continue"/>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ind w:firstLine="720" w:firstLineChars="300"/>
              <w:outlineLvl w:val="1"/>
              <w:rPr>
                <w:rFonts w:ascii="宋体" w:hAnsi="宋体"/>
                <w:color w:val="auto"/>
                <w:sz w:val="24"/>
              </w:rPr>
            </w:pPr>
            <w:r>
              <w:rPr>
                <w:rFonts w:hint="eastAsia" w:ascii="宋体" w:hAnsi="宋体"/>
                <w:color w:val="auto"/>
                <w:sz w:val="24"/>
              </w:rPr>
              <w:t>谈判文件</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ascii="宋体" w:hAnsi="宋体"/>
                <w:color w:val="auto"/>
                <w:kern w:val="0"/>
                <w:sz w:val="24"/>
              </w:rPr>
              <w:t>按照</w:t>
            </w:r>
            <w:r>
              <w:rPr>
                <w:rFonts w:hint="eastAsia" w:ascii="宋体" w:hAnsi="宋体"/>
                <w:color w:val="auto"/>
                <w:kern w:val="0"/>
                <w:sz w:val="24"/>
              </w:rPr>
              <w:t>谈判</w:t>
            </w:r>
            <w:r>
              <w:rPr>
                <w:rFonts w:ascii="宋体" w:hAnsi="宋体"/>
                <w:color w:val="auto"/>
                <w:kern w:val="0"/>
                <w:sz w:val="24"/>
              </w:rPr>
              <w:t>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响应性谈判文件格式</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计划工期</w:t>
            </w:r>
          </w:p>
        </w:tc>
        <w:tc>
          <w:tcPr>
            <w:tcW w:w="5800" w:type="dxa"/>
            <w:tcBorders>
              <w:top w:val="single" w:color="auto" w:sz="4" w:space="0"/>
              <w:left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自签订合同之日起</w:t>
            </w:r>
            <w:r>
              <w:rPr>
                <w:rFonts w:hint="eastAsia" w:ascii="宋体" w:hAnsi="宋体"/>
                <w:color w:val="auto"/>
                <w:sz w:val="24"/>
                <w:lang w:val="en-US" w:eastAsia="zh-CN"/>
              </w:rPr>
              <w:t>30</w:t>
            </w:r>
            <w:r>
              <w:rPr>
                <w:rFonts w:hint="eastAsia" w:ascii="宋体" w:hAnsi="宋体"/>
                <w:color w:val="auto"/>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商务报价</w:t>
            </w:r>
          </w:p>
        </w:tc>
        <w:tc>
          <w:tcPr>
            <w:tcW w:w="5800" w:type="dxa"/>
            <w:tcBorders>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只能有一个有效报价，且不超过控制价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投标保证金</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color w:val="auto"/>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投标有效期</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谈判文件递交截止日起</w:t>
            </w:r>
            <w:r>
              <w:rPr>
                <w:rFonts w:hint="eastAsia" w:ascii="宋体" w:hAnsi="宋体"/>
                <w:color w:val="auto"/>
                <w:sz w:val="24"/>
                <w:u w:val="single"/>
              </w:rPr>
              <w:t xml:space="preserve">  60 </w:t>
            </w:r>
            <w:r>
              <w:rPr>
                <w:rFonts w:hint="eastAsia" w:ascii="宋体" w:hAnsi="宋体"/>
                <w:color w:val="auto"/>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color w:val="auto"/>
                <w:sz w:val="24"/>
              </w:rPr>
            </w:pPr>
          </w:p>
        </w:tc>
        <w:tc>
          <w:tcPr>
            <w:tcW w:w="2486" w:type="dxa"/>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color w:val="auto"/>
                <w:sz w:val="24"/>
              </w:rPr>
            </w:pPr>
            <w:r>
              <w:rPr>
                <w:rFonts w:hint="eastAsia" w:ascii="宋体" w:hAnsi="宋体"/>
                <w:color w:val="auto"/>
                <w:sz w:val="24"/>
              </w:rPr>
              <w:t>谈判文件的其他响应</w:t>
            </w:r>
          </w:p>
        </w:tc>
        <w:tc>
          <w:tcPr>
            <w:tcW w:w="5800" w:type="dxa"/>
            <w:tcBorders>
              <w:top w:val="single" w:color="auto" w:sz="4" w:space="0"/>
              <w:left w:val="single" w:color="auto" w:sz="4" w:space="0"/>
              <w:right w:val="single" w:color="auto" w:sz="4" w:space="0"/>
            </w:tcBorders>
            <w:vAlign w:val="center"/>
          </w:tcPr>
          <w:p>
            <w:pPr>
              <w:spacing w:line="520" w:lineRule="exact"/>
              <w:outlineLvl w:val="1"/>
              <w:rPr>
                <w:rFonts w:ascii="宋体" w:hAnsi="宋体"/>
                <w:color w:val="auto"/>
                <w:sz w:val="24"/>
              </w:rPr>
            </w:pPr>
            <w:r>
              <w:rPr>
                <w:rFonts w:hint="eastAsia" w:ascii="宋体" w:hAnsi="宋体"/>
                <w:color w:val="auto"/>
                <w:sz w:val="24"/>
              </w:rPr>
              <w:t>符合法律、法规和竞争性谈判文件中规定的其他实质性要求的</w:t>
            </w:r>
          </w:p>
        </w:tc>
      </w:tr>
    </w:tbl>
    <w:p>
      <w:pPr>
        <w:autoSpaceDE w:val="0"/>
        <w:autoSpaceDN w:val="0"/>
        <w:adjustRightInd w:val="0"/>
        <w:spacing w:line="520" w:lineRule="exact"/>
        <w:ind w:firstLine="480" w:firstLineChars="200"/>
        <w:outlineLvl w:val="1"/>
        <w:rPr>
          <w:rFonts w:ascii="宋体" w:hAnsi="宋体"/>
          <w:color w:val="auto"/>
          <w:kern w:val="0"/>
          <w:sz w:val="24"/>
        </w:rPr>
      </w:pPr>
      <w:r>
        <w:rPr>
          <w:rFonts w:hint="eastAsia" w:ascii="宋体" w:hAnsi="宋体"/>
          <w:color w:val="auto"/>
          <w:kern w:val="0"/>
          <w:sz w:val="24"/>
        </w:rPr>
        <w:t>谈判小组依据以上初步评审标准对谈判文件进行初步评审。有一项不符合评审标准的，作无效投标处理。</w:t>
      </w:r>
    </w:p>
    <w:p>
      <w:pPr>
        <w:spacing w:line="520" w:lineRule="exact"/>
        <w:ind w:firstLine="472" w:firstLineChars="196"/>
        <w:jc w:val="left"/>
        <w:rPr>
          <w:rFonts w:ascii="宋体" w:hAnsi="宋体"/>
          <w:b/>
          <w:color w:val="auto"/>
          <w:sz w:val="24"/>
        </w:rPr>
      </w:pPr>
      <w:r>
        <w:rPr>
          <w:rFonts w:hint="eastAsia" w:ascii="宋体" w:hAnsi="宋体"/>
          <w:b/>
          <w:color w:val="auto"/>
          <w:sz w:val="24"/>
        </w:rPr>
        <w:t>（七）谈   判</w:t>
      </w:r>
    </w:p>
    <w:p>
      <w:pPr>
        <w:spacing w:line="440" w:lineRule="exact"/>
        <w:ind w:firstLine="460" w:firstLineChars="192"/>
        <w:jc w:val="left"/>
        <w:rPr>
          <w:rFonts w:ascii="宋体" w:hAnsi="宋体"/>
          <w:color w:val="auto"/>
          <w:sz w:val="24"/>
        </w:rPr>
      </w:pPr>
      <w:r>
        <w:rPr>
          <w:rFonts w:hint="eastAsia" w:ascii="宋体" w:hAnsi="宋体"/>
          <w:color w:val="auto"/>
          <w:sz w:val="24"/>
        </w:rPr>
        <w:t>1、谈判小组所有成员集中与单一供应商分别进行谈判。谈判中,谈判的任何一方不得透漏与谈判有关的信息。谈判文件有实质性变动的，谈判小组应当以书面形式通知所有参加谈判的供应商。</w:t>
      </w:r>
    </w:p>
    <w:p>
      <w:pPr>
        <w:spacing w:line="440" w:lineRule="exact"/>
        <w:ind w:firstLine="460" w:firstLineChars="192"/>
        <w:jc w:val="left"/>
        <w:rPr>
          <w:rFonts w:ascii="宋体" w:hAnsi="宋体"/>
          <w:color w:val="auto"/>
          <w:sz w:val="24"/>
        </w:rPr>
      </w:pPr>
      <w:r>
        <w:rPr>
          <w:rFonts w:hint="eastAsia" w:ascii="宋体" w:hAnsi="宋体"/>
          <w:color w:val="auto"/>
          <w:sz w:val="24"/>
        </w:rPr>
        <w:t>2、</w:t>
      </w:r>
      <w:r>
        <w:rPr>
          <w:rFonts w:hint="eastAsia" w:ascii="宋体" w:hAnsi="宋体" w:cs="宋体"/>
          <w:color w:val="auto"/>
          <w:kern w:val="0"/>
          <w:sz w:val="24"/>
        </w:rPr>
        <w:t>在谈判过程中，</w:t>
      </w:r>
      <w:r>
        <w:rPr>
          <w:rFonts w:hint="eastAsia" w:ascii="宋体" w:hAnsi="宋体"/>
          <w:color w:val="auto"/>
          <w:kern w:val="0"/>
          <w:sz w:val="24"/>
        </w:rPr>
        <w:t>符合评审标准</w:t>
      </w:r>
      <w:r>
        <w:rPr>
          <w:rFonts w:hint="eastAsia" w:ascii="宋体" w:hAnsi="宋体" w:cs="宋体"/>
          <w:color w:val="auto"/>
          <w:kern w:val="0"/>
          <w:sz w:val="24"/>
        </w:rPr>
        <w:t>后，方可进行第二轮谈判。第二轮报价不得高于上一轮报价。若第二轮报价相同，则以技术部分优者优先考虑。</w:t>
      </w:r>
    </w:p>
    <w:p>
      <w:pPr>
        <w:spacing w:line="440" w:lineRule="exact"/>
        <w:ind w:firstLine="472" w:firstLineChars="196"/>
        <w:rPr>
          <w:rFonts w:ascii="宋体" w:hAnsi="宋体" w:cs="楷体_GB2312"/>
          <w:b/>
          <w:color w:val="auto"/>
          <w:sz w:val="24"/>
          <w:lang w:val="zh-CN"/>
        </w:rPr>
      </w:pPr>
      <w:r>
        <w:rPr>
          <w:rFonts w:hint="eastAsia" w:ascii="宋体" w:hAnsi="宋体"/>
          <w:b/>
          <w:color w:val="auto"/>
          <w:sz w:val="24"/>
        </w:rPr>
        <w:t>（八）</w:t>
      </w:r>
      <w:r>
        <w:rPr>
          <w:rFonts w:hint="eastAsia" w:ascii="宋体" w:hAnsi="宋体" w:cs="楷体_GB2312"/>
          <w:b/>
          <w:color w:val="auto"/>
          <w:sz w:val="24"/>
          <w:lang w:val="zh-CN"/>
        </w:rPr>
        <w:t>评审标准</w:t>
      </w:r>
    </w:p>
    <w:p>
      <w:pPr>
        <w:spacing w:line="440" w:lineRule="exact"/>
        <w:ind w:firstLine="472" w:firstLineChars="196"/>
        <w:rPr>
          <w:rFonts w:ascii="宋体" w:hAnsi="宋体" w:cs="楷体_GB2312"/>
          <w:b/>
          <w:color w:val="auto"/>
          <w:sz w:val="24"/>
          <w:lang w:val="zh-CN"/>
        </w:rPr>
      </w:pPr>
      <w:r>
        <w:rPr>
          <w:rFonts w:hint="eastAsia" w:ascii="宋体" w:hAnsi="宋体" w:cs="楷体_GB2312"/>
          <w:b/>
          <w:color w:val="auto"/>
          <w:sz w:val="24"/>
          <w:u w:val="single"/>
          <w:lang w:val="zh-CN"/>
        </w:rPr>
        <w:t xml:space="preserve">采用最低评标价法，即在全部满足谈判文件实质性要求的前提下，依据统一的价格要素评定最低报价，以提出最低报价的投标供应商作为成交候选供应商的评标方法。 </w:t>
      </w:r>
      <w:r>
        <w:rPr>
          <w:rFonts w:hint="eastAsia" w:ascii="宋体" w:hAnsi="宋体" w:cs="楷体_GB2312"/>
          <w:b/>
          <w:color w:val="auto"/>
          <w:sz w:val="24"/>
          <w:lang w:val="zh-CN"/>
        </w:rPr>
        <w:t xml:space="preserve">    </w:t>
      </w:r>
    </w:p>
    <w:p>
      <w:pPr>
        <w:spacing w:line="440" w:lineRule="exact"/>
        <w:ind w:firstLine="472" w:firstLineChars="196"/>
        <w:rPr>
          <w:rFonts w:ascii="宋体" w:hAnsi="宋体"/>
          <w:b/>
          <w:color w:val="auto"/>
          <w:kern w:val="0"/>
          <w:sz w:val="24"/>
        </w:rPr>
      </w:pPr>
      <w:r>
        <w:rPr>
          <w:rFonts w:hint="eastAsia" w:ascii="宋体" w:hAnsi="宋体"/>
          <w:b/>
          <w:color w:val="auto"/>
          <w:sz w:val="24"/>
        </w:rPr>
        <w:t>（九）</w:t>
      </w:r>
      <w:r>
        <w:rPr>
          <w:rFonts w:hint="eastAsia" w:ascii="宋体" w:hAnsi="宋体"/>
          <w:b/>
          <w:color w:val="auto"/>
          <w:kern w:val="0"/>
          <w:sz w:val="24"/>
        </w:rPr>
        <w:t>推荐和确定成交供应商</w:t>
      </w:r>
    </w:p>
    <w:p>
      <w:pPr>
        <w:spacing w:line="440" w:lineRule="exact"/>
        <w:ind w:firstLine="460" w:firstLineChars="192"/>
        <w:rPr>
          <w:rFonts w:ascii="宋体" w:hAnsi="宋体"/>
          <w:color w:val="auto"/>
          <w:kern w:val="0"/>
          <w:sz w:val="24"/>
        </w:rPr>
      </w:pPr>
      <w:r>
        <w:rPr>
          <w:rFonts w:hint="eastAsia" w:ascii="宋体" w:hAnsi="宋体"/>
          <w:color w:val="auto"/>
          <w:kern w:val="0"/>
          <w:sz w:val="24"/>
        </w:rPr>
        <w:t>根据评审标准，按有效投标报价由低到高顺序排列推荐1-3名成交候选供应商。谈判小组讨论通过评审，并编写评标报告。</w:t>
      </w:r>
    </w:p>
    <w:p>
      <w:pPr>
        <w:spacing w:line="440" w:lineRule="exact"/>
        <w:ind w:firstLine="359" w:firstLineChars="149"/>
        <w:rPr>
          <w:rFonts w:ascii="宋体" w:hAnsi="宋体"/>
          <w:b/>
          <w:color w:val="auto"/>
          <w:sz w:val="24"/>
        </w:rPr>
      </w:pPr>
      <w:r>
        <w:rPr>
          <w:rFonts w:hint="eastAsia" w:ascii="宋体" w:hAnsi="宋体"/>
          <w:b/>
          <w:color w:val="auto"/>
          <w:sz w:val="24"/>
        </w:rPr>
        <w:t>（十）谈判结果的公示</w:t>
      </w:r>
    </w:p>
    <w:p>
      <w:pPr>
        <w:spacing w:line="440" w:lineRule="exact"/>
        <w:ind w:firstLine="480" w:firstLineChars="200"/>
        <w:rPr>
          <w:rFonts w:ascii="宋体" w:hAnsi="宋体"/>
          <w:color w:val="auto"/>
          <w:sz w:val="24"/>
        </w:rPr>
      </w:pPr>
      <w:r>
        <w:rPr>
          <w:rFonts w:hint="eastAsia" w:ascii="宋体" w:hAnsi="宋体"/>
          <w:color w:val="auto"/>
          <w:sz w:val="24"/>
        </w:rPr>
        <w:t>谈判结束后，谈判结果将在《河南省政府采购网》、《温县公共资源交易中心网》上公示，同时向中标供应商发放成交通知书。</w:t>
      </w:r>
    </w:p>
    <w:p>
      <w:pPr>
        <w:spacing w:line="440" w:lineRule="exact"/>
        <w:ind w:firstLine="360" w:firstLineChars="150"/>
        <w:rPr>
          <w:rFonts w:ascii="宋体" w:hAnsi="宋体"/>
          <w:b/>
          <w:color w:val="auto"/>
          <w:sz w:val="24"/>
        </w:rPr>
      </w:pPr>
      <w:r>
        <w:rPr>
          <w:rFonts w:hint="eastAsia" w:ascii="方正小标宋简体" w:hAnsi="宋体" w:eastAsia="方正小标宋简体"/>
          <w:b/>
          <w:color w:val="auto"/>
          <w:sz w:val="24"/>
        </w:rPr>
        <w:t>（十一）</w:t>
      </w:r>
      <w:r>
        <w:rPr>
          <w:rFonts w:hint="eastAsia" w:ascii="宋体" w:hAnsi="宋体"/>
          <w:b/>
          <w:color w:val="auto"/>
          <w:sz w:val="24"/>
        </w:rPr>
        <w:t>成交合同的签订</w:t>
      </w:r>
    </w:p>
    <w:p>
      <w:pPr>
        <w:spacing w:line="440" w:lineRule="exact"/>
        <w:ind w:firstLine="360" w:firstLineChars="150"/>
        <w:rPr>
          <w:rFonts w:ascii="宋体" w:hAnsi="宋体"/>
          <w:color w:val="auto"/>
          <w:sz w:val="24"/>
        </w:rPr>
      </w:pPr>
      <w:r>
        <w:rPr>
          <w:rFonts w:hint="eastAsia" w:ascii="方正小标宋简体" w:hAnsi="宋体" w:eastAsia="方正小标宋简体"/>
          <w:b/>
          <w:color w:val="auto"/>
          <w:sz w:val="24"/>
        </w:rPr>
        <w:t xml:space="preserve"> </w:t>
      </w:r>
      <w:r>
        <w:rPr>
          <w:rFonts w:hint="eastAsia" w:ascii="宋体" w:hAnsi="宋体"/>
          <w:color w:val="auto"/>
          <w:sz w:val="24"/>
        </w:rPr>
        <w:t>采购人自成交通知书发出之日起30日内按谈判文件的要求与供应商递交谈判响应性文件的约定，与成交供应商签订供货合同。成交供应商因不可抗力或自身原因不能履行政府采购合同的，采购人可以与排位于成交供应商以后第一位的成交候选供应商签订政府采购合同，或者重新招标。</w:t>
      </w:r>
    </w:p>
    <w:p>
      <w:pPr>
        <w:autoSpaceDE w:val="0"/>
        <w:autoSpaceDN w:val="0"/>
        <w:adjustRightInd w:val="0"/>
        <w:spacing w:line="440" w:lineRule="exact"/>
        <w:rPr>
          <w:rFonts w:ascii="宋体" w:hAnsi="Times New Roman" w:cs="宋体"/>
          <w:b/>
          <w:bCs/>
          <w:color w:val="auto"/>
          <w:kern w:val="0"/>
          <w:sz w:val="24"/>
          <w:lang w:val="zh-CN"/>
        </w:rPr>
      </w:pPr>
      <w:r>
        <w:rPr>
          <w:rFonts w:hint="eastAsia" w:ascii="方正小标宋简体" w:hAnsi="宋体" w:eastAsia="方正小标宋简体"/>
          <w:b/>
          <w:color w:val="auto"/>
          <w:sz w:val="24"/>
        </w:rPr>
        <w:t xml:space="preserve">   （十二）</w:t>
      </w:r>
      <w:r>
        <w:rPr>
          <w:rFonts w:hint="eastAsia" w:ascii="宋体" w:hAnsi="Times New Roman" w:cs="宋体"/>
          <w:b/>
          <w:bCs/>
          <w:color w:val="auto"/>
          <w:kern w:val="0"/>
          <w:sz w:val="24"/>
          <w:lang w:val="zh-CN"/>
        </w:rPr>
        <w:t>争议的解决：</w:t>
      </w:r>
      <w:r>
        <w:rPr>
          <w:rFonts w:hint="eastAsia" w:ascii="宋体" w:hAnsi="Times New Roman" w:cs="宋体"/>
          <w:color w:val="auto"/>
          <w:sz w:val="24"/>
          <w:szCs w:val="21"/>
          <w:lang w:val="zh-CN"/>
        </w:rPr>
        <w:t>双方友好协商；提请主管部门进行调解；由需方所在地人民法院诉讼管辖。</w:t>
      </w:r>
    </w:p>
    <w:p>
      <w:pPr>
        <w:spacing w:line="440" w:lineRule="exact"/>
        <w:ind w:firstLine="360" w:firstLineChars="150"/>
        <w:rPr>
          <w:rFonts w:ascii="宋体" w:hAnsi="Times New Roman" w:cs="宋体"/>
          <w:color w:val="auto"/>
          <w:sz w:val="24"/>
          <w:lang w:val="zh-CN"/>
        </w:rPr>
      </w:pPr>
      <w:r>
        <w:rPr>
          <w:rFonts w:hint="eastAsia" w:ascii="方正小标宋简体" w:hAnsi="宋体" w:eastAsia="方正小标宋简体"/>
          <w:b/>
          <w:color w:val="auto"/>
          <w:sz w:val="24"/>
        </w:rPr>
        <w:t>（十三）</w:t>
      </w:r>
      <w:r>
        <w:rPr>
          <w:rFonts w:hint="eastAsia" w:ascii="宋体" w:hAnsi="Times New Roman" w:cs="宋体"/>
          <w:b/>
          <w:bCs/>
          <w:color w:val="auto"/>
          <w:sz w:val="24"/>
          <w:lang w:val="zh-CN"/>
        </w:rPr>
        <w:t>投标费用</w:t>
      </w:r>
      <w:r>
        <w:rPr>
          <w:rFonts w:hint="eastAsia" w:ascii="宋体" w:hAnsi="Times New Roman" w:cs="宋体"/>
          <w:color w:val="auto"/>
          <w:sz w:val="24"/>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40" w:lineRule="exact"/>
        <w:ind w:firstLine="471" w:firstLineChars="196"/>
        <w:rPr>
          <w:rFonts w:ascii="宋体" w:hAnsi="Times New Roman" w:cs="宋体"/>
          <w:color w:val="auto"/>
          <w:sz w:val="24"/>
          <w:lang w:val="zh-CN"/>
        </w:rPr>
      </w:pPr>
      <w:r>
        <w:rPr>
          <w:rFonts w:hint="eastAsia" w:ascii="方正小标宋简体" w:hAnsi="宋体" w:eastAsia="方正小标宋简体"/>
          <w:b/>
          <w:color w:val="auto"/>
          <w:sz w:val="24"/>
        </w:rPr>
        <w:t>（十四）</w:t>
      </w:r>
      <w:r>
        <w:rPr>
          <w:rFonts w:hint="eastAsia" w:ascii="宋体" w:hAnsi="Times New Roman" w:cs="宋体"/>
          <w:b/>
          <w:bCs/>
          <w:color w:val="auto"/>
          <w:kern w:val="0"/>
          <w:sz w:val="24"/>
          <w:lang w:val="zh-CN"/>
        </w:rPr>
        <w:t>质疑和投诉</w:t>
      </w:r>
    </w:p>
    <w:p>
      <w:pPr>
        <w:autoSpaceDE w:val="0"/>
        <w:autoSpaceDN w:val="0"/>
        <w:adjustRightInd w:val="0"/>
        <w:spacing w:line="440" w:lineRule="exact"/>
        <w:ind w:firstLine="480" w:firstLineChars="200"/>
        <w:rPr>
          <w:rFonts w:ascii="宋体" w:hAnsi="Times New Roman" w:cs="宋体"/>
          <w:color w:val="auto"/>
          <w:kern w:val="0"/>
          <w:sz w:val="24"/>
          <w:lang w:val="zh-CN"/>
        </w:rPr>
      </w:pPr>
      <w:r>
        <w:rPr>
          <w:rFonts w:hint="eastAsia" w:ascii="宋体" w:hAnsi="Times New Roman" w:cs="宋体"/>
          <w:color w:val="auto"/>
          <w:kern w:val="0"/>
          <w:sz w:val="24"/>
          <w:lang w:val="zh-CN"/>
        </w:rPr>
        <w:t>供应商认为采购文件、采购过程和中标、成交结果使自己的权益受到损害的，可以在知道或者应知其权益受到损害之日起七个工作日内，以书面形式向采购人或政府集中采购机构提出质疑，否则不予受理。</w:t>
      </w:r>
    </w:p>
    <w:p>
      <w:pPr>
        <w:autoSpaceDE w:val="0"/>
        <w:autoSpaceDN w:val="0"/>
        <w:adjustRightInd w:val="0"/>
        <w:spacing w:line="440" w:lineRule="exact"/>
        <w:ind w:firstLine="471" w:firstLineChars="196"/>
        <w:rPr>
          <w:rFonts w:ascii="方正小标宋简体" w:hAnsi="宋体" w:eastAsia="方正小标宋简体"/>
          <w:b/>
          <w:color w:val="auto"/>
          <w:sz w:val="24"/>
        </w:rPr>
      </w:pPr>
      <w:r>
        <w:rPr>
          <w:rFonts w:hint="eastAsia" w:ascii="方正小标宋简体" w:hAnsi="宋体" w:eastAsia="方正小标宋简体"/>
          <w:b/>
          <w:color w:val="auto"/>
          <w:sz w:val="24"/>
        </w:rPr>
        <w:t>（十五）其他补充内容</w:t>
      </w:r>
    </w:p>
    <w:p>
      <w:pPr>
        <w:autoSpaceDE w:val="0"/>
        <w:autoSpaceDN w:val="0"/>
        <w:adjustRightInd w:val="0"/>
        <w:spacing w:line="440" w:lineRule="exact"/>
        <w:ind w:firstLine="470" w:firstLineChars="196"/>
        <w:rPr>
          <w:rFonts w:ascii="方正小标宋简体" w:hAnsi="宋体" w:eastAsia="方正小标宋简体"/>
          <w:bCs/>
          <w:color w:val="auto"/>
          <w:sz w:val="24"/>
        </w:rPr>
      </w:pPr>
      <w:r>
        <w:rPr>
          <w:rFonts w:hint="eastAsia" w:ascii="方正小标宋简体" w:hAnsi="宋体" w:eastAsia="方正小标宋简体"/>
          <w:bCs/>
          <w:color w:val="auto"/>
          <w:sz w:val="24"/>
        </w:rPr>
        <w:t>其它未尽事宜，按国家有关法律、法规执行。</w:t>
      </w: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autoSpaceDE w:val="0"/>
        <w:autoSpaceDN w:val="0"/>
        <w:adjustRightInd w:val="0"/>
        <w:spacing w:line="440" w:lineRule="exact"/>
        <w:ind w:firstLine="470" w:firstLineChars="196"/>
        <w:rPr>
          <w:rFonts w:ascii="方正小标宋简体" w:hAnsi="宋体" w:eastAsia="方正小标宋简体"/>
          <w:bCs/>
          <w:color w:val="auto"/>
          <w:sz w:val="24"/>
        </w:rPr>
      </w:pPr>
    </w:p>
    <w:p>
      <w:pPr>
        <w:widowControl/>
        <w:spacing w:line="560" w:lineRule="atLeast"/>
        <w:jc w:val="both"/>
        <w:rPr>
          <w:rFonts w:hint="eastAsia" w:ascii="宋体" w:hAnsi="宋体" w:eastAsia="宋体" w:cs="宋体"/>
          <w:b/>
          <w:bCs/>
          <w:color w:val="auto"/>
          <w:kern w:val="0"/>
          <w:sz w:val="32"/>
          <w:szCs w:val="32"/>
        </w:rPr>
      </w:pPr>
    </w:p>
    <w:p>
      <w:pPr>
        <w:widowControl/>
        <w:spacing w:line="560" w:lineRule="atLeast"/>
        <w:jc w:val="both"/>
        <w:rPr>
          <w:rFonts w:hint="eastAsia" w:ascii="宋体" w:hAnsi="宋体" w:eastAsia="宋体" w:cs="宋体"/>
          <w:b/>
          <w:bCs/>
          <w:color w:val="auto"/>
          <w:kern w:val="0"/>
          <w:sz w:val="32"/>
          <w:szCs w:val="32"/>
        </w:rPr>
      </w:pPr>
    </w:p>
    <w:p>
      <w:pPr>
        <w:widowControl/>
        <w:spacing w:line="560" w:lineRule="atLeast"/>
        <w:jc w:val="both"/>
        <w:rPr>
          <w:rFonts w:hint="eastAsia" w:ascii="宋体" w:hAnsi="宋体" w:eastAsia="宋体" w:cs="宋体"/>
          <w:b/>
          <w:bCs/>
          <w:color w:val="auto"/>
          <w:kern w:val="0"/>
          <w:sz w:val="32"/>
          <w:szCs w:val="32"/>
        </w:rPr>
      </w:pPr>
    </w:p>
    <w:p>
      <w:pPr>
        <w:widowControl/>
        <w:spacing w:line="560" w:lineRule="atLeast"/>
        <w:jc w:val="both"/>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三、招标项目内容和参数及服务要求</w:t>
      </w:r>
    </w:p>
    <w:p>
      <w:pPr>
        <w:jc w:val="both"/>
        <w:rPr>
          <w:rFonts w:hint="eastAsia" w:ascii="宋体" w:hAnsi="宋体" w:eastAsia="宋体" w:cs="宋体"/>
          <w:b/>
          <w:bCs/>
          <w:color w:val="auto"/>
          <w:szCs w:val="21"/>
        </w:rPr>
      </w:pPr>
      <w:bookmarkStart w:id="1" w:name="_Toc23014"/>
      <w:bookmarkStart w:id="2" w:name="_Toc20580"/>
      <w:r>
        <w:rPr>
          <w:rFonts w:hint="eastAsia" w:ascii="宋体" w:hAnsi="宋体" w:eastAsia="宋体" w:cs="宋体"/>
          <w:b/>
          <w:bCs/>
          <w:color w:val="auto"/>
          <w:szCs w:val="21"/>
        </w:rPr>
        <w:t>2017年</w:t>
      </w:r>
      <w:r>
        <w:rPr>
          <w:rFonts w:hint="eastAsia" w:ascii="宋体" w:hAnsi="宋体" w:cs="宋体"/>
          <w:b/>
          <w:bCs/>
          <w:color w:val="auto"/>
          <w:szCs w:val="21"/>
          <w:lang w:eastAsia="zh-CN"/>
        </w:rPr>
        <w:t>太行路与古温大街交通标志牌、护栏</w:t>
      </w:r>
      <w:r>
        <w:rPr>
          <w:rFonts w:hint="eastAsia" w:ascii="宋体" w:hAnsi="宋体" w:eastAsia="宋体" w:cs="宋体"/>
          <w:b/>
          <w:bCs/>
          <w:color w:val="auto"/>
          <w:szCs w:val="21"/>
        </w:rPr>
        <w:t>预算清单</w:t>
      </w:r>
      <w:r>
        <w:rPr>
          <w:rFonts w:hint="eastAsia" w:ascii="宋体" w:hAnsi="宋体" w:cs="宋体"/>
          <w:b/>
          <w:bCs/>
          <w:color w:val="auto"/>
          <w:szCs w:val="21"/>
          <w:lang w:eastAsia="zh-CN"/>
        </w:rPr>
        <w:t>（原太极转盘）</w:t>
      </w:r>
      <w:r>
        <w:rPr>
          <w:rFonts w:hint="eastAsia" w:ascii="宋体" w:hAnsi="宋体" w:eastAsia="宋体" w:cs="宋体"/>
          <w:b/>
          <w:bCs/>
          <w:color w:val="auto"/>
          <w:szCs w:val="21"/>
        </w:rPr>
        <w:t>一标段  金额单位：元</w:t>
      </w: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tbl>
      <w:tblPr>
        <w:tblStyle w:val="23"/>
        <w:tblpPr w:leftFromText="180" w:rightFromText="180" w:vertAnchor="page" w:horzAnchor="page" w:tblpX="1375" w:tblpY="2660"/>
        <w:tblOverlap w:val="never"/>
        <w:tblW w:w="9560" w:type="dxa"/>
        <w:tblInd w:w="0" w:type="dxa"/>
        <w:tblLayout w:type="fixed"/>
        <w:tblCellMar>
          <w:top w:w="15" w:type="dxa"/>
          <w:left w:w="15" w:type="dxa"/>
          <w:bottom w:w="15" w:type="dxa"/>
          <w:right w:w="15" w:type="dxa"/>
        </w:tblCellMar>
      </w:tblPr>
      <w:tblGrid>
        <w:gridCol w:w="634"/>
        <w:gridCol w:w="1156"/>
        <w:gridCol w:w="4192"/>
        <w:gridCol w:w="443"/>
        <w:gridCol w:w="532"/>
        <w:gridCol w:w="603"/>
        <w:gridCol w:w="543"/>
        <w:gridCol w:w="1457"/>
      </w:tblGrid>
      <w:tr>
        <w:tblPrEx>
          <w:tblLayout w:type="fixed"/>
          <w:tblCellMar>
            <w:top w:w="15" w:type="dxa"/>
            <w:left w:w="15" w:type="dxa"/>
            <w:bottom w:w="15" w:type="dxa"/>
            <w:right w:w="15" w:type="dxa"/>
          </w:tblCellMar>
        </w:tblPrEx>
        <w:trPr>
          <w:trHeight w:val="630" w:hRule="atLeast"/>
        </w:trPr>
        <w:tc>
          <w:tcPr>
            <w:tcW w:w="6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Cs w:val="21"/>
                <w:lang w:eastAsia="zh-CN"/>
              </w:rPr>
            </w:pPr>
            <w:r>
              <w:rPr>
                <w:rFonts w:hint="eastAsia" w:ascii="宋体" w:hAnsi="宋体" w:cs="宋体"/>
                <w:color w:val="auto"/>
                <w:szCs w:val="21"/>
                <w:lang w:eastAsia="zh-CN"/>
              </w:rPr>
              <w:t>位置</w:t>
            </w:r>
          </w:p>
        </w:tc>
        <w:tc>
          <w:tcPr>
            <w:tcW w:w="11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Cs w:val="21"/>
                <w:lang w:eastAsia="zh-CN"/>
              </w:rPr>
            </w:pPr>
            <w:r>
              <w:rPr>
                <w:rFonts w:hint="eastAsia" w:ascii="宋体" w:hAnsi="宋体" w:cs="宋体"/>
                <w:color w:val="auto"/>
                <w:szCs w:val="21"/>
                <w:lang w:eastAsia="zh-CN"/>
              </w:rPr>
              <w:t>名称</w:t>
            </w:r>
          </w:p>
        </w:tc>
        <w:tc>
          <w:tcPr>
            <w:tcW w:w="41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color w:val="auto"/>
                <w:kern w:val="0"/>
                <w:szCs w:val="21"/>
              </w:rPr>
              <w:t>规格</w:t>
            </w:r>
          </w:p>
        </w:tc>
        <w:tc>
          <w:tcPr>
            <w:tcW w:w="4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color w:val="auto"/>
                <w:kern w:val="0"/>
                <w:szCs w:val="21"/>
              </w:rPr>
              <w:t>单位</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color w:val="auto"/>
                <w:kern w:val="0"/>
                <w:szCs w:val="21"/>
              </w:rPr>
              <w:t>数量</w:t>
            </w:r>
          </w:p>
        </w:tc>
        <w:tc>
          <w:tcPr>
            <w:tcW w:w="60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rPr>
            </w:pPr>
            <w:r>
              <w:rPr>
                <w:rFonts w:hint="eastAsia" w:ascii="宋体" w:hAnsi="宋体" w:eastAsia="宋体" w:cs="宋体"/>
                <w:color w:val="auto"/>
                <w:kern w:val="0"/>
                <w:szCs w:val="21"/>
              </w:rPr>
              <w:t>单价</w:t>
            </w:r>
          </w:p>
        </w:tc>
        <w:tc>
          <w:tcPr>
            <w:tcW w:w="5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rPr>
            </w:pPr>
            <w:r>
              <w:rPr>
                <w:rFonts w:hint="eastAsia" w:ascii="宋体" w:hAnsi="宋体" w:eastAsia="宋体" w:cs="宋体"/>
                <w:color w:val="auto"/>
                <w:kern w:val="0"/>
                <w:szCs w:val="21"/>
              </w:rPr>
              <w:t>合价</w:t>
            </w:r>
          </w:p>
        </w:tc>
        <w:tc>
          <w:tcPr>
            <w:tcW w:w="14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color w:val="auto"/>
                <w:kern w:val="0"/>
                <w:szCs w:val="21"/>
              </w:rPr>
              <w:t>备注</w:t>
            </w:r>
          </w:p>
        </w:tc>
      </w:tr>
      <w:tr>
        <w:tblPrEx>
          <w:tblLayout w:type="fixed"/>
          <w:tblCellMar>
            <w:top w:w="15" w:type="dxa"/>
            <w:left w:w="15" w:type="dxa"/>
            <w:bottom w:w="15" w:type="dxa"/>
            <w:right w:w="15" w:type="dxa"/>
          </w:tblCellMar>
        </w:tblPrEx>
        <w:trPr>
          <w:trHeight w:val="434" w:hRule="atLeast"/>
        </w:trPr>
        <w:tc>
          <w:tcPr>
            <w:tcW w:w="634"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太行路与古温大街</w:t>
            </w:r>
          </w:p>
        </w:tc>
        <w:tc>
          <w:tcPr>
            <w:tcW w:w="1156"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分道标志牌</w:t>
            </w:r>
          </w:p>
        </w:tc>
        <w:tc>
          <w:tcPr>
            <w:tcW w:w="4192"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szCs w:val="21"/>
                <w:lang w:eastAsia="zh-CN"/>
              </w:rPr>
            </w:pPr>
            <w:r>
              <w:rPr>
                <w:rFonts w:hint="eastAsia" w:ascii="宋体" w:hAnsi="宋体" w:eastAsia="宋体" w:cs="宋体"/>
                <w:sz w:val="24"/>
                <w:szCs w:val="32"/>
                <w:vertAlign w:val="baseline"/>
                <w:lang w:val="en-US" w:eastAsia="zh-CN"/>
              </w:rPr>
              <w:t>版面1200mm×2400mm×2.5mm</w:t>
            </w:r>
          </w:p>
        </w:tc>
        <w:tc>
          <w:tcPr>
            <w:tcW w:w="443"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szCs w:val="21"/>
                <w:lang w:eastAsia="zh-CN"/>
              </w:rPr>
            </w:pPr>
            <w:r>
              <w:rPr>
                <w:rFonts w:hint="eastAsia" w:ascii="宋体" w:hAnsi="宋体" w:cs="宋体"/>
                <w:color w:val="auto"/>
                <w:kern w:val="0"/>
                <w:szCs w:val="21"/>
                <w:lang w:eastAsia="zh-CN"/>
              </w:rPr>
              <w:t>块</w:t>
            </w:r>
          </w:p>
        </w:tc>
        <w:tc>
          <w:tcPr>
            <w:tcW w:w="532" w:type="dxa"/>
            <w:tcBorders>
              <w:top w:val="single" w:color="000000" w:sz="4" w:space="0"/>
              <w:left w:val="single" w:color="000000"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lang w:eastAsia="zh-CN"/>
              </w:rPr>
            </w:pPr>
            <w:r>
              <w:rPr>
                <w:rFonts w:hint="eastAsia" w:ascii="宋体" w:hAnsi="宋体" w:cs="宋体"/>
                <w:color w:val="auto"/>
                <w:kern w:val="0"/>
                <w:szCs w:val="21"/>
                <w:lang w:val="en-US" w:eastAsia="zh-CN"/>
              </w:rPr>
              <w:t>4</w:t>
            </w:r>
          </w:p>
        </w:tc>
        <w:tc>
          <w:tcPr>
            <w:tcW w:w="603"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kern w:val="0"/>
                <w:szCs w:val="21"/>
              </w:rPr>
            </w:pPr>
          </w:p>
        </w:tc>
        <w:tc>
          <w:tcPr>
            <w:tcW w:w="543"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kern w:val="0"/>
                <w:szCs w:val="21"/>
              </w:rPr>
            </w:pPr>
          </w:p>
        </w:tc>
        <w:tc>
          <w:tcPr>
            <w:tcW w:w="1457" w:type="dxa"/>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szCs w:val="21"/>
                <w:lang w:val="en-US" w:eastAsia="zh-CN"/>
              </w:rPr>
            </w:pPr>
            <w:r>
              <w:rPr>
                <w:rFonts w:hint="eastAsia" w:ascii="宋体" w:hAnsi="宋体" w:cs="宋体"/>
                <w:color w:val="auto"/>
                <w:kern w:val="0"/>
                <w:szCs w:val="21"/>
                <w:lang w:val="en-US" w:eastAsia="zh-CN"/>
              </w:rPr>
              <w:t>3m反光膜</w:t>
            </w:r>
          </w:p>
        </w:tc>
      </w:tr>
      <w:tr>
        <w:tblPrEx>
          <w:tblLayout w:type="fixed"/>
          <w:tblCellMar>
            <w:top w:w="15" w:type="dxa"/>
            <w:left w:w="15" w:type="dxa"/>
            <w:bottom w:w="15" w:type="dxa"/>
            <w:right w:w="15" w:type="dxa"/>
          </w:tblCellMar>
        </w:tblPrEx>
        <w:trPr>
          <w:trHeight w:val="320" w:hRule="atLeast"/>
        </w:trPr>
        <w:tc>
          <w:tcPr>
            <w:tcW w:w="634"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cs="宋体"/>
                <w:color w:val="auto"/>
                <w:kern w:val="0"/>
                <w:szCs w:val="21"/>
                <w:lang w:eastAsia="zh-CN"/>
              </w:rPr>
            </w:pPr>
          </w:p>
        </w:tc>
        <w:tc>
          <w:tcPr>
            <w:tcW w:w="1156"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kern w:val="0"/>
                <w:szCs w:val="21"/>
                <w:lang w:eastAsia="zh-CN"/>
              </w:rPr>
            </w:pPr>
          </w:p>
        </w:tc>
        <w:tc>
          <w:tcPr>
            <w:tcW w:w="4192"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宋体" w:hAnsi="宋体" w:eastAsia="宋体" w:cs="宋体"/>
                <w:color w:val="auto"/>
                <w:kern w:val="0"/>
                <w:szCs w:val="21"/>
              </w:rPr>
            </w:pPr>
            <w:r>
              <w:rPr>
                <w:rFonts w:hint="eastAsia" w:ascii="宋体" w:hAnsi="宋体" w:eastAsia="宋体" w:cs="宋体"/>
                <w:sz w:val="24"/>
                <w:szCs w:val="32"/>
                <w:vertAlign w:val="baseline"/>
                <w:lang w:val="en-US" w:eastAsia="zh-CN"/>
              </w:rPr>
              <w:t xml:space="preserve">    立柱￠140×3mm×7000mm</w:t>
            </w:r>
          </w:p>
        </w:tc>
        <w:tc>
          <w:tcPr>
            <w:tcW w:w="443" w:type="dxa"/>
            <w:vMerge w:val="restart"/>
            <w:tcBorders>
              <w:top w:val="single" w:color="auto"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根</w:t>
            </w:r>
          </w:p>
        </w:tc>
        <w:tc>
          <w:tcPr>
            <w:tcW w:w="532" w:type="dxa"/>
            <w:vMerge w:val="restart"/>
            <w:tcBorders>
              <w:top w:val="single" w:color="auto" w:sz="4" w:space="0"/>
              <w:left w:val="single" w:color="000000" w:sz="4" w:space="0"/>
              <w:right w:val="single" w:color="auto" w:sz="4" w:space="0"/>
            </w:tcBorders>
            <w:vAlign w:val="center"/>
          </w:tcPr>
          <w:p>
            <w:pPr>
              <w:widowControl/>
              <w:jc w:val="center"/>
              <w:textAlignment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4</w:t>
            </w:r>
          </w:p>
        </w:tc>
        <w:tc>
          <w:tcPr>
            <w:tcW w:w="603"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eastAsia="宋体" w:cs="宋体"/>
                <w:color w:val="auto"/>
                <w:kern w:val="0"/>
                <w:szCs w:val="21"/>
              </w:rPr>
            </w:pPr>
          </w:p>
        </w:tc>
        <w:tc>
          <w:tcPr>
            <w:tcW w:w="543"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eastAsia="宋体" w:cs="宋体"/>
                <w:color w:val="auto"/>
                <w:kern w:val="0"/>
                <w:szCs w:val="21"/>
              </w:rPr>
            </w:pPr>
          </w:p>
        </w:tc>
        <w:tc>
          <w:tcPr>
            <w:tcW w:w="1457"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热镀锌</w:t>
            </w:r>
          </w:p>
        </w:tc>
      </w:tr>
      <w:tr>
        <w:tblPrEx>
          <w:tblLayout w:type="fixed"/>
          <w:tblCellMar>
            <w:top w:w="15" w:type="dxa"/>
            <w:left w:w="15" w:type="dxa"/>
            <w:bottom w:w="15" w:type="dxa"/>
            <w:right w:w="15" w:type="dxa"/>
          </w:tblCellMar>
        </w:tblPrEx>
        <w:trPr>
          <w:trHeight w:val="410" w:hRule="atLeast"/>
        </w:trPr>
        <w:tc>
          <w:tcPr>
            <w:tcW w:w="634"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cs="宋体"/>
                <w:color w:val="auto"/>
                <w:kern w:val="0"/>
                <w:szCs w:val="21"/>
                <w:lang w:eastAsia="zh-CN"/>
              </w:rPr>
            </w:pPr>
          </w:p>
        </w:tc>
        <w:tc>
          <w:tcPr>
            <w:tcW w:w="1156"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kern w:val="0"/>
                <w:szCs w:val="21"/>
                <w:lang w:eastAsia="zh-CN"/>
              </w:rPr>
            </w:pPr>
          </w:p>
        </w:tc>
        <w:tc>
          <w:tcPr>
            <w:tcW w:w="4192"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宋体" w:hAnsi="宋体" w:eastAsia="宋体" w:cs="宋体"/>
                <w:color w:val="auto"/>
                <w:kern w:val="0"/>
                <w:szCs w:val="21"/>
              </w:rPr>
            </w:pPr>
            <w:r>
              <w:rPr>
                <w:rFonts w:hint="eastAsia" w:ascii="宋体" w:hAnsi="宋体" w:eastAsia="宋体" w:cs="宋体"/>
                <w:sz w:val="24"/>
                <w:szCs w:val="32"/>
                <w:vertAlign w:val="baseline"/>
                <w:lang w:val="en-US" w:eastAsia="zh-CN"/>
              </w:rPr>
              <w:t xml:space="preserve">    双悬臂￠75×2.5mm×4000mm</w:t>
            </w:r>
          </w:p>
        </w:tc>
        <w:tc>
          <w:tcPr>
            <w:tcW w:w="443"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rPr>
            </w:pPr>
          </w:p>
        </w:tc>
        <w:tc>
          <w:tcPr>
            <w:tcW w:w="532" w:type="dxa"/>
            <w:vMerge w:val="continue"/>
            <w:tcBorders>
              <w:left w:val="single" w:color="000000" w:sz="4" w:space="0"/>
              <w:right w:val="single" w:color="auto" w:sz="4" w:space="0"/>
            </w:tcBorders>
            <w:vAlign w:val="center"/>
          </w:tcPr>
          <w:p>
            <w:pPr>
              <w:widowControl/>
              <w:jc w:val="center"/>
              <w:textAlignment w:val="center"/>
              <w:rPr>
                <w:rFonts w:hint="eastAsia" w:ascii="宋体" w:hAnsi="宋体" w:eastAsia="宋体" w:cs="宋体"/>
                <w:color w:val="auto"/>
                <w:kern w:val="0"/>
                <w:szCs w:val="21"/>
              </w:rPr>
            </w:pPr>
          </w:p>
        </w:tc>
        <w:tc>
          <w:tcPr>
            <w:tcW w:w="603" w:type="dxa"/>
            <w:vMerge w:val="continue"/>
            <w:tcBorders>
              <w:left w:val="single" w:color="auto" w:sz="4" w:space="0"/>
              <w:right w:val="single" w:color="auto" w:sz="4" w:space="0"/>
            </w:tcBorders>
            <w:vAlign w:val="center"/>
          </w:tcPr>
          <w:p>
            <w:pPr>
              <w:widowControl/>
              <w:jc w:val="center"/>
              <w:textAlignment w:val="center"/>
              <w:rPr>
                <w:rFonts w:hint="eastAsia" w:ascii="宋体" w:hAnsi="宋体" w:eastAsia="宋体" w:cs="宋体"/>
                <w:color w:val="auto"/>
                <w:kern w:val="0"/>
                <w:szCs w:val="21"/>
              </w:rPr>
            </w:pPr>
          </w:p>
        </w:tc>
        <w:tc>
          <w:tcPr>
            <w:tcW w:w="543" w:type="dxa"/>
            <w:vMerge w:val="continue"/>
            <w:tcBorders>
              <w:left w:val="single" w:color="auto" w:sz="4" w:space="0"/>
              <w:right w:val="single" w:color="auto" w:sz="4" w:space="0"/>
            </w:tcBorders>
            <w:vAlign w:val="center"/>
          </w:tcPr>
          <w:p>
            <w:pPr>
              <w:widowControl/>
              <w:jc w:val="center"/>
              <w:textAlignment w:val="center"/>
              <w:rPr>
                <w:rFonts w:hint="eastAsia" w:ascii="宋体" w:hAnsi="宋体" w:eastAsia="宋体" w:cs="宋体"/>
                <w:color w:val="auto"/>
                <w:kern w:val="0"/>
                <w:szCs w:val="21"/>
              </w:rPr>
            </w:pPr>
          </w:p>
        </w:tc>
        <w:tc>
          <w:tcPr>
            <w:tcW w:w="1457"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auto"/>
                <w:kern w:val="0"/>
                <w:szCs w:val="21"/>
                <w:lang w:eastAsia="zh-CN"/>
              </w:rPr>
              <w:t>热镀锌</w:t>
            </w:r>
          </w:p>
        </w:tc>
      </w:tr>
      <w:tr>
        <w:tblPrEx>
          <w:tblLayout w:type="fixed"/>
          <w:tblCellMar>
            <w:top w:w="15" w:type="dxa"/>
            <w:left w:w="15" w:type="dxa"/>
            <w:bottom w:w="15" w:type="dxa"/>
            <w:right w:w="15" w:type="dxa"/>
          </w:tblCellMar>
        </w:tblPrEx>
        <w:trPr>
          <w:trHeight w:val="246" w:hRule="atLeast"/>
        </w:trPr>
        <w:tc>
          <w:tcPr>
            <w:tcW w:w="634"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cs="宋体"/>
                <w:color w:val="auto"/>
                <w:kern w:val="0"/>
                <w:szCs w:val="21"/>
                <w:lang w:eastAsia="zh-CN"/>
              </w:rPr>
            </w:pPr>
          </w:p>
        </w:tc>
        <w:tc>
          <w:tcPr>
            <w:tcW w:w="1156"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kern w:val="0"/>
                <w:szCs w:val="21"/>
                <w:lang w:eastAsia="zh-CN"/>
              </w:rPr>
            </w:pPr>
          </w:p>
        </w:tc>
        <w:tc>
          <w:tcPr>
            <w:tcW w:w="4192"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宋体" w:hAnsi="宋体" w:eastAsia="宋体" w:cs="宋体"/>
                <w:color w:val="auto"/>
                <w:kern w:val="0"/>
                <w:szCs w:val="21"/>
              </w:rPr>
            </w:pPr>
            <w:r>
              <w:rPr>
                <w:rFonts w:hint="eastAsia" w:ascii="宋体" w:hAnsi="宋体" w:eastAsia="宋体" w:cs="宋体"/>
                <w:sz w:val="24"/>
                <w:szCs w:val="32"/>
                <w:vertAlign w:val="baseline"/>
                <w:lang w:val="en-US" w:eastAsia="zh-CN"/>
              </w:rPr>
              <w:t>预埋基础800mm×800mm×1200mm</w:t>
            </w:r>
          </w:p>
        </w:tc>
        <w:tc>
          <w:tcPr>
            <w:tcW w:w="443"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kern w:val="0"/>
                <w:szCs w:val="21"/>
              </w:rPr>
            </w:pPr>
          </w:p>
        </w:tc>
        <w:tc>
          <w:tcPr>
            <w:tcW w:w="532" w:type="dxa"/>
            <w:vMerge w:val="continue"/>
            <w:tcBorders>
              <w:left w:val="single" w:color="000000"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kern w:val="0"/>
                <w:szCs w:val="21"/>
              </w:rPr>
            </w:pPr>
          </w:p>
        </w:tc>
        <w:tc>
          <w:tcPr>
            <w:tcW w:w="603"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kern w:val="0"/>
                <w:szCs w:val="21"/>
              </w:rPr>
            </w:pPr>
          </w:p>
        </w:tc>
        <w:tc>
          <w:tcPr>
            <w:tcW w:w="543"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kern w:val="0"/>
                <w:szCs w:val="21"/>
              </w:rPr>
            </w:pPr>
          </w:p>
        </w:tc>
        <w:tc>
          <w:tcPr>
            <w:tcW w:w="1457"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混凝土预制</w:t>
            </w:r>
          </w:p>
        </w:tc>
      </w:tr>
      <w:tr>
        <w:tblPrEx>
          <w:tblLayout w:type="fixed"/>
          <w:tblCellMar>
            <w:top w:w="15" w:type="dxa"/>
            <w:left w:w="15" w:type="dxa"/>
            <w:bottom w:w="15" w:type="dxa"/>
            <w:right w:w="15" w:type="dxa"/>
          </w:tblCellMar>
        </w:tblPrEx>
        <w:trPr>
          <w:trHeight w:val="69" w:hRule="atLeast"/>
        </w:trPr>
        <w:tc>
          <w:tcPr>
            <w:tcW w:w="634"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color w:val="auto"/>
                <w:szCs w:val="21"/>
              </w:rPr>
            </w:pPr>
          </w:p>
        </w:tc>
        <w:tc>
          <w:tcPr>
            <w:tcW w:w="1156"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注意行人标志牌</w:t>
            </w:r>
          </w:p>
        </w:tc>
        <w:tc>
          <w:tcPr>
            <w:tcW w:w="4192" w:type="dxa"/>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sz w:val="24"/>
                <w:szCs w:val="32"/>
                <w:vertAlign w:val="baseline"/>
                <w:lang w:val="en-US" w:eastAsia="zh-CN"/>
              </w:rPr>
              <w:t>版面△600mm</w:t>
            </w:r>
          </w:p>
        </w:tc>
        <w:tc>
          <w:tcPr>
            <w:tcW w:w="443" w:type="dxa"/>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szCs w:val="21"/>
                <w:lang w:eastAsia="zh-CN"/>
              </w:rPr>
            </w:pPr>
            <w:r>
              <w:rPr>
                <w:rFonts w:hint="eastAsia" w:ascii="宋体" w:hAnsi="宋体" w:cs="宋体"/>
                <w:color w:val="auto"/>
                <w:szCs w:val="21"/>
                <w:lang w:eastAsia="zh-CN"/>
              </w:rPr>
              <w:t>块</w:t>
            </w:r>
          </w:p>
        </w:tc>
        <w:tc>
          <w:tcPr>
            <w:tcW w:w="532"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4</w:t>
            </w:r>
          </w:p>
        </w:tc>
        <w:tc>
          <w:tcPr>
            <w:tcW w:w="60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rPr>
            </w:pPr>
          </w:p>
        </w:tc>
        <w:tc>
          <w:tcPr>
            <w:tcW w:w="5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rPr>
            </w:pPr>
          </w:p>
        </w:tc>
        <w:tc>
          <w:tcPr>
            <w:tcW w:w="1457"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auto"/>
                <w:kern w:val="0"/>
                <w:szCs w:val="21"/>
                <w:lang w:val="en-US" w:eastAsia="zh-CN"/>
              </w:rPr>
              <w:t>3m反光膜</w:t>
            </w:r>
          </w:p>
        </w:tc>
      </w:tr>
      <w:tr>
        <w:tblPrEx>
          <w:tblLayout w:type="fixed"/>
          <w:tblCellMar>
            <w:top w:w="15" w:type="dxa"/>
            <w:left w:w="15" w:type="dxa"/>
            <w:bottom w:w="15" w:type="dxa"/>
            <w:right w:w="15" w:type="dxa"/>
          </w:tblCellMar>
        </w:tblPrEx>
        <w:trPr>
          <w:trHeight w:val="1298" w:hRule="atLeast"/>
        </w:trPr>
        <w:tc>
          <w:tcPr>
            <w:tcW w:w="634"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color w:val="auto"/>
                <w:szCs w:val="21"/>
              </w:rPr>
            </w:pPr>
          </w:p>
        </w:tc>
        <w:tc>
          <w:tcPr>
            <w:tcW w:w="1156"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rPr>
            </w:pPr>
          </w:p>
        </w:tc>
        <w:tc>
          <w:tcPr>
            <w:tcW w:w="4192"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rPr>
            </w:pPr>
            <w:r>
              <w:rPr>
                <w:rFonts w:hint="eastAsia" w:ascii="宋体" w:hAnsi="宋体" w:eastAsia="宋体" w:cs="宋体"/>
                <w:sz w:val="24"/>
                <w:szCs w:val="32"/>
                <w:vertAlign w:val="baseline"/>
                <w:lang w:val="en-US" w:eastAsia="zh-CN"/>
              </w:rPr>
              <w:t xml:space="preserve"> 立柱￠75×2.5mm×4000mm</w:t>
            </w:r>
          </w:p>
        </w:tc>
        <w:tc>
          <w:tcPr>
            <w:tcW w:w="443" w:type="dxa"/>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szCs w:val="21"/>
                <w:lang w:eastAsia="zh-CN"/>
              </w:rPr>
            </w:pPr>
            <w:r>
              <w:rPr>
                <w:rFonts w:hint="eastAsia" w:ascii="宋体" w:hAnsi="宋体" w:cs="宋体"/>
                <w:color w:val="auto"/>
                <w:szCs w:val="21"/>
                <w:lang w:eastAsia="zh-CN"/>
              </w:rPr>
              <w:t>根</w:t>
            </w:r>
          </w:p>
        </w:tc>
        <w:tc>
          <w:tcPr>
            <w:tcW w:w="532"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4</w:t>
            </w:r>
          </w:p>
        </w:tc>
        <w:tc>
          <w:tcPr>
            <w:tcW w:w="60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rPr>
            </w:pPr>
          </w:p>
        </w:tc>
        <w:tc>
          <w:tcPr>
            <w:tcW w:w="5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rPr>
            </w:pPr>
          </w:p>
        </w:tc>
        <w:tc>
          <w:tcPr>
            <w:tcW w:w="1457"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auto"/>
                <w:kern w:val="0"/>
                <w:szCs w:val="21"/>
                <w:lang w:eastAsia="zh-CN"/>
              </w:rPr>
              <w:t>热镀锌</w:t>
            </w:r>
          </w:p>
        </w:tc>
      </w:tr>
      <w:tr>
        <w:tblPrEx>
          <w:tblLayout w:type="fixed"/>
          <w:tblCellMar>
            <w:top w:w="15" w:type="dxa"/>
            <w:left w:w="15" w:type="dxa"/>
            <w:bottom w:w="15" w:type="dxa"/>
            <w:right w:w="15" w:type="dxa"/>
          </w:tblCellMar>
        </w:tblPrEx>
        <w:trPr>
          <w:trHeight w:val="521" w:hRule="atLeast"/>
        </w:trPr>
        <w:tc>
          <w:tcPr>
            <w:tcW w:w="634"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rPr>
            </w:pPr>
          </w:p>
        </w:tc>
        <w:tc>
          <w:tcPr>
            <w:tcW w:w="1156"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隔离护栏</w:t>
            </w:r>
          </w:p>
        </w:tc>
        <w:tc>
          <w:tcPr>
            <w:tcW w:w="4192"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rPr>
            </w:pPr>
            <w:r>
              <w:rPr>
                <w:rFonts w:hint="eastAsia" w:asciiTheme="minorEastAsia" w:hAnsiTheme="minorEastAsia" w:eastAsiaTheme="minorEastAsia" w:cstheme="minorEastAsia"/>
                <w:sz w:val="24"/>
                <w:szCs w:val="32"/>
                <w:vertAlign w:val="baseline"/>
                <w:lang w:val="en-US" w:eastAsia="zh-CN"/>
              </w:rPr>
              <w:t>护栏：1100×3000mm,立柱：80×80×2.0mm，槽钢：63×40×4.8，连接片：68×50×5mm,底座：400×300×170mm</w:t>
            </w:r>
          </w:p>
        </w:tc>
        <w:tc>
          <w:tcPr>
            <w:tcW w:w="443"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lang w:eastAsia="zh-CN"/>
              </w:rPr>
            </w:pPr>
            <w:r>
              <w:rPr>
                <w:rFonts w:hint="eastAsia" w:ascii="宋体" w:hAnsi="宋体" w:cs="宋体"/>
                <w:color w:val="auto"/>
                <w:szCs w:val="21"/>
                <w:lang w:eastAsia="zh-CN"/>
              </w:rPr>
              <w:t>米</w:t>
            </w:r>
          </w:p>
        </w:tc>
        <w:tc>
          <w:tcPr>
            <w:tcW w:w="5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500</w:t>
            </w:r>
          </w:p>
        </w:tc>
        <w:tc>
          <w:tcPr>
            <w:tcW w:w="60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rPr>
            </w:pPr>
          </w:p>
        </w:tc>
        <w:tc>
          <w:tcPr>
            <w:tcW w:w="5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auto"/>
                <w:szCs w:val="21"/>
              </w:rPr>
            </w:pPr>
          </w:p>
        </w:tc>
        <w:tc>
          <w:tcPr>
            <w:tcW w:w="1457"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szCs w:val="21"/>
              </w:rPr>
            </w:pPr>
          </w:p>
        </w:tc>
      </w:tr>
      <w:tr>
        <w:tblPrEx>
          <w:tblLayout w:type="fixed"/>
          <w:tblCellMar>
            <w:top w:w="15" w:type="dxa"/>
            <w:left w:w="15" w:type="dxa"/>
            <w:bottom w:w="15" w:type="dxa"/>
            <w:right w:w="15" w:type="dxa"/>
          </w:tblCellMar>
        </w:tblPrEx>
        <w:trPr>
          <w:trHeight w:val="521" w:hRule="atLeast"/>
        </w:trPr>
        <w:tc>
          <w:tcPr>
            <w:tcW w:w="179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0"/>
                <w:szCs w:val="21"/>
              </w:rPr>
            </w:pPr>
            <w:r>
              <w:rPr>
                <w:rFonts w:hint="eastAsia" w:ascii="宋体" w:hAnsi="宋体" w:eastAsia="宋体" w:cs="宋体"/>
                <w:color w:val="auto"/>
                <w:kern w:val="0"/>
                <w:szCs w:val="21"/>
              </w:rPr>
              <w:t>合计</w:t>
            </w:r>
          </w:p>
        </w:tc>
        <w:tc>
          <w:tcPr>
            <w:tcW w:w="7770" w:type="dxa"/>
            <w:gridSpan w:val="6"/>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color w:val="auto"/>
                <w:szCs w:val="21"/>
              </w:rPr>
            </w:pPr>
          </w:p>
        </w:tc>
      </w:tr>
    </w:tbl>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r>
        <w:rPr>
          <w:rFonts w:hint="eastAsia" w:ascii="宋体" w:hAnsi="宋体" w:eastAsia="宋体" w:cs="宋体"/>
          <w:b/>
          <w:bCs/>
          <w:color w:val="auto"/>
          <w:szCs w:val="21"/>
        </w:rPr>
        <w:t>2017年</w:t>
      </w:r>
      <w:r>
        <w:rPr>
          <w:rFonts w:hint="eastAsia" w:ascii="宋体" w:hAnsi="宋体" w:cs="宋体"/>
          <w:b/>
          <w:bCs/>
          <w:color w:val="auto"/>
          <w:szCs w:val="21"/>
          <w:lang w:eastAsia="zh-CN"/>
        </w:rPr>
        <w:t>太行路与古温大街交叉口</w:t>
      </w:r>
      <w:r>
        <w:rPr>
          <w:rFonts w:hint="eastAsia" w:ascii="宋体" w:hAnsi="宋体" w:eastAsia="宋体" w:cs="宋体"/>
          <w:b/>
          <w:bCs/>
          <w:color w:val="auto"/>
          <w:szCs w:val="21"/>
        </w:rPr>
        <w:t>路口标线预算</w:t>
      </w:r>
      <w:r>
        <w:rPr>
          <w:rFonts w:hint="eastAsia" w:ascii="宋体" w:hAnsi="宋体" w:cs="宋体"/>
          <w:b/>
          <w:bCs/>
          <w:color w:val="auto"/>
          <w:szCs w:val="21"/>
          <w:lang w:eastAsia="zh-CN"/>
        </w:rPr>
        <w:t>（原太极转盘）</w:t>
      </w:r>
      <w:r>
        <w:rPr>
          <w:rFonts w:hint="eastAsia" w:ascii="宋体" w:hAnsi="宋体" w:eastAsia="宋体" w:cs="宋体"/>
          <w:b/>
          <w:bCs/>
          <w:color w:val="auto"/>
          <w:szCs w:val="21"/>
        </w:rPr>
        <w:t>一标段   金额单位：元</w:t>
      </w:r>
    </w:p>
    <w:tbl>
      <w:tblPr>
        <w:tblStyle w:val="23"/>
        <w:tblpPr w:leftFromText="180" w:rightFromText="180" w:vertAnchor="page" w:horzAnchor="page" w:tblpX="1613" w:tblpY="1497"/>
        <w:tblW w:w="84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8"/>
        <w:gridCol w:w="1689"/>
        <w:gridCol w:w="1155"/>
        <w:gridCol w:w="870"/>
        <w:gridCol w:w="764"/>
        <w:gridCol w:w="840"/>
        <w:gridCol w:w="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exact"/>
        </w:trPr>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施工路段</w:t>
            </w:r>
          </w:p>
        </w:tc>
        <w:tc>
          <w:tcPr>
            <w:tcW w:w="1238" w:type="dxa"/>
            <w:vAlign w:val="center"/>
          </w:tcPr>
          <w:p>
            <w:pPr>
              <w:jc w:val="center"/>
              <w:rPr>
                <w:rFonts w:hint="eastAsia" w:ascii="宋体" w:hAnsi="宋体" w:eastAsia="宋体" w:cs="宋体"/>
                <w:color w:val="auto"/>
                <w:szCs w:val="21"/>
                <w:lang w:eastAsia="zh-CN"/>
              </w:rPr>
            </w:pPr>
            <w:r>
              <w:rPr>
                <w:rFonts w:hint="eastAsia" w:ascii="宋体" w:hAnsi="宋体" w:cs="宋体"/>
                <w:color w:val="auto"/>
                <w:szCs w:val="21"/>
                <w:lang w:eastAsia="zh-CN"/>
              </w:rPr>
              <w:t>标线名称</w:t>
            </w:r>
          </w:p>
        </w:tc>
        <w:tc>
          <w:tcPr>
            <w:tcW w:w="1689" w:type="dxa"/>
            <w:vAlign w:val="center"/>
          </w:tcPr>
          <w:p>
            <w:pPr>
              <w:jc w:val="center"/>
              <w:rPr>
                <w:rFonts w:hint="eastAsia" w:ascii="宋体" w:hAnsi="宋体" w:cs="宋体"/>
                <w:color w:val="auto"/>
                <w:szCs w:val="21"/>
                <w:lang w:eastAsia="zh-CN"/>
              </w:rPr>
            </w:pPr>
            <w:r>
              <w:rPr>
                <w:rFonts w:hint="eastAsia"/>
                <w:vertAlign w:val="baseline"/>
                <w:lang w:eastAsia="zh-CN"/>
              </w:rPr>
              <w:t>标线长度</w:t>
            </w:r>
            <w:r>
              <w:rPr>
                <w:rFonts w:hint="eastAsia"/>
                <w:vertAlign w:val="baseline"/>
                <w:lang w:val="en-US" w:eastAsia="zh-CN"/>
              </w:rPr>
              <w:t>/规计算</w:t>
            </w:r>
          </w:p>
        </w:tc>
        <w:tc>
          <w:tcPr>
            <w:tcW w:w="1155" w:type="dxa"/>
            <w:vAlign w:val="center"/>
          </w:tcPr>
          <w:p>
            <w:pPr>
              <w:tabs>
                <w:tab w:val="left" w:pos="357"/>
              </w:tabs>
              <w:jc w:val="center"/>
              <w:rPr>
                <w:rFonts w:hint="eastAsia"/>
                <w:vertAlign w:val="baseline"/>
                <w:lang w:eastAsia="zh-CN"/>
              </w:rPr>
            </w:pPr>
            <w:r>
              <w:rPr>
                <w:rFonts w:hint="eastAsia"/>
                <w:vertAlign w:val="baseline"/>
                <w:lang w:eastAsia="zh-CN"/>
              </w:rPr>
              <w:t>数量</w:t>
            </w:r>
          </w:p>
        </w:tc>
        <w:tc>
          <w:tcPr>
            <w:tcW w:w="870" w:type="dxa"/>
            <w:vAlign w:val="center"/>
          </w:tcPr>
          <w:p>
            <w:pPr>
              <w:jc w:val="center"/>
              <w:rPr>
                <w:rFonts w:hint="eastAsia"/>
                <w:vertAlign w:val="baseline"/>
                <w:lang w:eastAsia="zh-CN"/>
              </w:rPr>
            </w:pPr>
            <w:r>
              <w:rPr>
                <w:rFonts w:hint="eastAsia"/>
                <w:vertAlign w:val="baseline"/>
                <w:lang w:eastAsia="zh-CN"/>
              </w:rPr>
              <w:t>工程量</w:t>
            </w:r>
          </w:p>
        </w:tc>
        <w:tc>
          <w:tcPr>
            <w:tcW w:w="764" w:type="dxa"/>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单价</w:t>
            </w:r>
          </w:p>
        </w:tc>
        <w:tc>
          <w:tcPr>
            <w:tcW w:w="840" w:type="dxa"/>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合价</w:t>
            </w:r>
          </w:p>
        </w:tc>
        <w:tc>
          <w:tcPr>
            <w:tcW w:w="652" w:type="dxa"/>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restart"/>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太行路与古温大街</w:t>
            </w:r>
            <w:r>
              <w:rPr>
                <w:rFonts w:hint="eastAsia" w:ascii="宋体" w:hAnsi="宋体" w:eastAsia="宋体" w:cs="宋体"/>
                <w:vertAlign w:val="baseline"/>
                <w:lang w:eastAsia="zh-CN"/>
              </w:rPr>
              <w:t>东口</w:t>
            </w: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分道线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70×0.15</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52.5</w:t>
            </w:r>
          </w:p>
        </w:tc>
        <w:tc>
          <w:tcPr>
            <w:tcW w:w="764" w:type="dxa"/>
            <w:vAlign w:val="center"/>
          </w:tcPr>
          <w:p>
            <w:pPr>
              <w:jc w:val="center"/>
              <w:rPr>
                <w:rFonts w:hint="eastAsia" w:ascii="宋体" w:hAnsi="宋体" w:eastAsia="宋体" w:cs="宋体"/>
                <w:color w:val="auto"/>
                <w:szCs w:val="21"/>
              </w:rPr>
            </w:pPr>
          </w:p>
        </w:tc>
        <w:tc>
          <w:tcPr>
            <w:tcW w:w="840" w:type="dxa"/>
            <w:vAlign w:val="center"/>
          </w:tcPr>
          <w:p>
            <w:pPr>
              <w:jc w:val="center"/>
              <w:rPr>
                <w:rFonts w:hint="eastAsia" w:ascii="宋体" w:hAnsi="宋体" w:eastAsia="宋体" w:cs="宋体"/>
                <w:color w:val="auto"/>
                <w:szCs w:val="21"/>
              </w:rPr>
            </w:pPr>
          </w:p>
        </w:tc>
        <w:tc>
          <w:tcPr>
            <w:tcW w:w="652" w:type="dxa"/>
            <w:vMerge w:val="restart"/>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热熔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Merge w:val="restart"/>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箭头</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6直行</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32.5</w:t>
            </w:r>
          </w:p>
        </w:tc>
        <w:tc>
          <w:tcPr>
            <w:tcW w:w="764" w:type="dxa"/>
            <w:vAlign w:val="center"/>
          </w:tcPr>
          <w:p>
            <w:pPr>
              <w:jc w:val="center"/>
              <w:rPr>
                <w:rFonts w:hint="eastAsia" w:ascii="宋体" w:hAnsi="宋体" w:eastAsia="宋体" w:cs="宋体"/>
                <w:color w:val="auto"/>
                <w:szCs w:val="21"/>
              </w:rPr>
            </w:pPr>
          </w:p>
        </w:tc>
        <w:tc>
          <w:tcPr>
            <w:tcW w:w="840" w:type="dxa"/>
            <w:vAlign w:val="center"/>
          </w:tcPr>
          <w:p>
            <w:pPr>
              <w:jc w:val="center"/>
              <w:rPr>
                <w:rFonts w:hint="eastAsia" w:ascii="宋体" w:hAnsi="宋体" w:eastAsia="宋体" w:cs="宋体"/>
                <w:color w:val="auto"/>
                <w:szCs w:val="21"/>
              </w:rPr>
            </w:pPr>
          </w:p>
        </w:tc>
        <w:tc>
          <w:tcPr>
            <w:tcW w:w="652" w:type="dxa"/>
            <w:vMerge w:val="continue"/>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Merge w:val="continue"/>
            <w:vAlign w:val="center"/>
          </w:tcPr>
          <w:p>
            <w:pPr>
              <w:jc w:val="center"/>
              <w:rPr>
                <w:rFonts w:hint="eastAsia" w:ascii="宋体" w:hAnsi="宋体" w:eastAsia="宋体" w:cs="宋体"/>
                <w:color w:val="auto"/>
                <w:szCs w:val="21"/>
              </w:rPr>
            </w:pP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9</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6转弯</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54</w:t>
            </w:r>
          </w:p>
        </w:tc>
        <w:tc>
          <w:tcPr>
            <w:tcW w:w="764" w:type="dxa"/>
            <w:vAlign w:val="center"/>
          </w:tcPr>
          <w:p>
            <w:pPr>
              <w:jc w:val="center"/>
              <w:rPr>
                <w:rFonts w:hint="eastAsia" w:ascii="宋体" w:hAnsi="宋体" w:eastAsia="宋体" w:cs="宋体"/>
                <w:color w:val="auto"/>
                <w:szCs w:val="21"/>
              </w:rPr>
            </w:pPr>
          </w:p>
        </w:tc>
        <w:tc>
          <w:tcPr>
            <w:tcW w:w="840" w:type="dxa"/>
            <w:vAlign w:val="center"/>
          </w:tcPr>
          <w:p>
            <w:pPr>
              <w:jc w:val="center"/>
              <w:rPr>
                <w:rFonts w:hint="eastAsia" w:ascii="宋体" w:hAnsi="宋体" w:eastAsia="宋体" w:cs="宋体"/>
                <w:color w:val="auto"/>
                <w:szCs w:val="21"/>
              </w:rPr>
            </w:pPr>
          </w:p>
        </w:tc>
        <w:tc>
          <w:tcPr>
            <w:tcW w:w="652" w:type="dxa"/>
            <w:vMerge w:val="continue"/>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Merge w:val="continue"/>
            <w:vAlign w:val="center"/>
          </w:tcPr>
          <w:p>
            <w:pPr>
              <w:jc w:val="center"/>
              <w:rPr>
                <w:rFonts w:hint="eastAsia" w:ascii="宋体" w:hAnsi="宋体" w:eastAsia="宋体" w:cs="宋体"/>
                <w:color w:val="auto"/>
                <w:szCs w:val="21"/>
              </w:rPr>
            </w:pP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11</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1复合</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11</w:t>
            </w:r>
          </w:p>
        </w:tc>
        <w:tc>
          <w:tcPr>
            <w:tcW w:w="764" w:type="dxa"/>
            <w:vAlign w:val="center"/>
          </w:tcPr>
          <w:p>
            <w:pPr>
              <w:jc w:val="center"/>
              <w:rPr>
                <w:rFonts w:hint="eastAsia" w:ascii="宋体" w:hAnsi="宋体" w:eastAsia="宋体" w:cs="宋体"/>
                <w:color w:val="auto"/>
                <w:szCs w:val="21"/>
              </w:rPr>
            </w:pPr>
          </w:p>
        </w:tc>
        <w:tc>
          <w:tcPr>
            <w:tcW w:w="840" w:type="dxa"/>
            <w:vAlign w:val="center"/>
          </w:tcPr>
          <w:p>
            <w:pPr>
              <w:jc w:val="center"/>
              <w:rPr>
                <w:rFonts w:hint="eastAsia" w:ascii="宋体" w:hAnsi="宋体" w:eastAsia="宋体" w:cs="宋体"/>
                <w:color w:val="auto"/>
                <w:szCs w:val="21"/>
              </w:rPr>
            </w:pPr>
          </w:p>
        </w:tc>
        <w:tc>
          <w:tcPr>
            <w:tcW w:w="652" w:type="dxa"/>
            <w:vMerge w:val="continue"/>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停止线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15×0.4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764" w:type="dxa"/>
            <w:vAlign w:val="center"/>
          </w:tcPr>
          <w:p>
            <w:pPr>
              <w:jc w:val="center"/>
              <w:rPr>
                <w:rFonts w:hint="eastAsia" w:ascii="宋体" w:hAnsi="宋体" w:eastAsia="宋体" w:cs="宋体"/>
                <w:color w:val="auto"/>
                <w:szCs w:val="21"/>
              </w:rPr>
            </w:pPr>
          </w:p>
        </w:tc>
        <w:tc>
          <w:tcPr>
            <w:tcW w:w="840" w:type="dxa"/>
            <w:vAlign w:val="center"/>
          </w:tcPr>
          <w:p>
            <w:pPr>
              <w:jc w:val="center"/>
              <w:rPr>
                <w:rFonts w:hint="eastAsia" w:ascii="宋体" w:hAnsi="宋体" w:eastAsia="宋体" w:cs="宋体"/>
                <w:color w:val="auto"/>
                <w:szCs w:val="21"/>
              </w:rPr>
            </w:pPr>
          </w:p>
        </w:tc>
        <w:tc>
          <w:tcPr>
            <w:tcW w:w="652" w:type="dxa"/>
            <w:vMerge w:val="continue"/>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白虚线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70×2÷6×0.15</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3.5</w:t>
            </w:r>
          </w:p>
        </w:tc>
        <w:tc>
          <w:tcPr>
            <w:tcW w:w="764" w:type="dxa"/>
            <w:vAlign w:val="center"/>
          </w:tcPr>
          <w:p>
            <w:pPr>
              <w:jc w:val="center"/>
              <w:rPr>
                <w:rFonts w:hint="eastAsia" w:ascii="宋体" w:hAnsi="宋体" w:eastAsia="宋体" w:cs="宋体"/>
                <w:color w:val="auto"/>
                <w:szCs w:val="21"/>
              </w:rPr>
            </w:pPr>
          </w:p>
        </w:tc>
        <w:tc>
          <w:tcPr>
            <w:tcW w:w="840" w:type="dxa"/>
            <w:vAlign w:val="center"/>
          </w:tcPr>
          <w:p>
            <w:pPr>
              <w:jc w:val="center"/>
              <w:rPr>
                <w:rFonts w:hint="eastAsia" w:ascii="宋体" w:hAnsi="宋体" w:eastAsia="宋体" w:cs="宋体"/>
                <w:color w:val="auto"/>
                <w:szCs w:val="21"/>
              </w:rPr>
            </w:pPr>
          </w:p>
        </w:tc>
        <w:tc>
          <w:tcPr>
            <w:tcW w:w="652" w:type="dxa"/>
            <w:vMerge w:val="continue"/>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斑马线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5×0.4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40</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80</w:t>
            </w:r>
          </w:p>
        </w:tc>
        <w:tc>
          <w:tcPr>
            <w:tcW w:w="764" w:type="dxa"/>
            <w:vAlign w:val="center"/>
          </w:tcPr>
          <w:p>
            <w:pPr>
              <w:jc w:val="center"/>
              <w:rPr>
                <w:rFonts w:hint="eastAsia" w:ascii="宋体" w:hAnsi="宋体" w:eastAsia="宋体" w:cs="宋体"/>
                <w:color w:val="auto"/>
                <w:szCs w:val="21"/>
              </w:rPr>
            </w:pPr>
          </w:p>
        </w:tc>
        <w:tc>
          <w:tcPr>
            <w:tcW w:w="840" w:type="dxa"/>
            <w:vAlign w:val="center"/>
          </w:tcPr>
          <w:p>
            <w:pPr>
              <w:jc w:val="center"/>
              <w:rPr>
                <w:rFonts w:hint="eastAsia" w:ascii="宋体" w:hAnsi="宋体" w:eastAsia="宋体" w:cs="宋体"/>
                <w:color w:val="auto"/>
                <w:szCs w:val="21"/>
              </w:rPr>
            </w:pPr>
          </w:p>
        </w:tc>
        <w:tc>
          <w:tcPr>
            <w:tcW w:w="652" w:type="dxa"/>
            <w:vMerge w:val="continue"/>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减让行线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764" w:type="dxa"/>
            <w:vAlign w:val="center"/>
          </w:tcPr>
          <w:p>
            <w:pPr>
              <w:jc w:val="center"/>
              <w:rPr>
                <w:rFonts w:hint="eastAsia" w:ascii="宋体" w:hAnsi="宋体" w:eastAsia="宋体" w:cs="宋体"/>
                <w:color w:val="auto"/>
                <w:szCs w:val="21"/>
              </w:rPr>
            </w:pPr>
          </w:p>
        </w:tc>
        <w:tc>
          <w:tcPr>
            <w:tcW w:w="840" w:type="dxa"/>
            <w:vAlign w:val="center"/>
          </w:tcPr>
          <w:p>
            <w:pPr>
              <w:jc w:val="center"/>
              <w:rPr>
                <w:rFonts w:hint="eastAsia" w:ascii="宋体" w:hAnsi="宋体" w:eastAsia="宋体" w:cs="宋体"/>
                <w:color w:val="auto"/>
                <w:szCs w:val="21"/>
              </w:rPr>
            </w:pPr>
          </w:p>
        </w:tc>
        <w:tc>
          <w:tcPr>
            <w:tcW w:w="652" w:type="dxa"/>
            <w:vMerge w:val="continue"/>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restart"/>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太行路与古温大街</w:t>
            </w:r>
            <w:r>
              <w:rPr>
                <w:rFonts w:hint="eastAsia" w:ascii="宋体" w:hAnsi="宋体" w:eastAsia="宋体" w:cs="宋体"/>
                <w:vertAlign w:val="baseline"/>
                <w:lang w:eastAsia="zh-CN"/>
              </w:rPr>
              <w:t>南口</w:t>
            </w: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分道线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70×0.15</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52.5</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Merge w:val="restart"/>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箭头</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11</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1复合</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11</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Merge w:val="continue"/>
            <w:vAlign w:val="center"/>
          </w:tcPr>
          <w:p>
            <w:pPr>
              <w:jc w:val="center"/>
              <w:rPr>
                <w:rFonts w:hint="eastAsia" w:ascii="宋体" w:hAnsi="宋体" w:eastAsia="宋体" w:cs="宋体"/>
                <w:color w:val="auto"/>
                <w:szCs w:val="21"/>
              </w:rPr>
            </w:pP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6直</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32.5</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Merge w:val="continue"/>
            <w:vAlign w:val="center"/>
          </w:tcPr>
          <w:p>
            <w:pPr>
              <w:jc w:val="center"/>
              <w:rPr>
                <w:rFonts w:hint="eastAsia" w:ascii="宋体" w:hAnsi="宋体" w:eastAsia="宋体" w:cs="宋体"/>
                <w:color w:val="auto"/>
                <w:szCs w:val="21"/>
              </w:rPr>
            </w:pP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9</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6左转</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54</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停止线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15×0.4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白虚线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70×2÷6×0.15</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2</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3.5</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斑马线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5×0.4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40</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80</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减让行线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restart"/>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太行路与古温大街</w:t>
            </w:r>
            <w:r>
              <w:rPr>
                <w:rFonts w:hint="eastAsia" w:ascii="宋体" w:hAnsi="宋体" w:eastAsia="宋体" w:cs="宋体"/>
                <w:vertAlign w:val="baseline"/>
                <w:lang w:eastAsia="zh-CN"/>
              </w:rPr>
              <w:t>西口</w:t>
            </w: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分道线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70×0.15</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52.5</w:t>
            </w:r>
          </w:p>
        </w:tc>
        <w:tc>
          <w:tcPr>
            <w:tcW w:w="764" w:type="dxa"/>
            <w:vMerge w:val="restart"/>
          </w:tcPr>
          <w:p>
            <w:pPr>
              <w:jc w:val="center"/>
              <w:rPr>
                <w:rFonts w:hint="eastAsia" w:ascii="宋体" w:hAnsi="宋体" w:eastAsia="宋体" w:cs="宋体"/>
                <w:color w:val="auto"/>
                <w:szCs w:val="21"/>
              </w:rPr>
            </w:pPr>
          </w:p>
        </w:tc>
        <w:tc>
          <w:tcPr>
            <w:tcW w:w="840" w:type="dxa"/>
            <w:vMerge w:val="restart"/>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Merge w:val="restart"/>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箭头</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11</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1复合</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11</w:t>
            </w:r>
          </w:p>
        </w:tc>
        <w:tc>
          <w:tcPr>
            <w:tcW w:w="764" w:type="dxa"/>
            <w:vMerge w:val="continue"/>
          </w:tcPr>
          <w:p>
            <w:pPr>
              <w:jc w:val="center"/>
              <w:rPr>
                <w:rFonts w:hint="eastAsia" w:ascii="宋体" w:hAnsi="宋体" w:eastAsia="宋体" w:cs="宋体"/>
                <w:color w:val="auto"/>
                <w:szCs w:val="21"/>
              </w:rPr>
            </w:pPr>
          </w:p>
        </w:tc>
        <w:tc>
          <w:tcPr>
            <w:tcW w:w="840" w:type="dxa"/>
            <w:vMerge w:val="continue"/>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Merge w:val="continue"/>
            <w:vAlign w:val="center"/>
          </w:tcPr>
          <w:p>
            <w:pPr>
              <w:jc w:val="center"/>
              <w:rPr>
                <w:rFonts w:hint="eastAsia" w:ascii="宋体" w:hAnsi="宋体" w:eastAsia="宋体" w:cs="宋体"/>
                <w:color w:val="auto"/>
                <w:szCs w:val="21"/>
              </w:rPr>
            </w:pP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6直</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32.5</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Merge w:val="continue"/>
            <w:vAlign w:val="center"/>
          </w:tcPr>
          <w:p>
            <w:pPr>
              <w:jc w:val="center"/>
              <w:rPr>
                <w:rFonts w:hint="eastAsia" w:ascii="宋体" w:hAnsi="宋体" w:eastAsia="宋体" w:cs="宋体"/>
                <w:color w:val="auto"/>
                <w:szCs w:val="21"/>
              </w:rPr>
            </w:pP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9</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6左转</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54</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停止线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15×0.4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center"/>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白虚线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70×2÷6×0.15</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2</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3.5</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both"/>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斑马线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5×0.4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40</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80</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both"/>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减让行线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restart"/>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太行路与古温大街</w:t>
            </w:r>
            <w:r>
              <w:rPr>
                <w:rFonts w:hint="eastAsia" w:ascii="宋体" w:hAnsi="宋体" w:eastAsia="宋体" w:cs="宋体"/>
                <w:vertAlign w:val="baseline"/>
                <w:lang w:eastAsia="zh-CN"/>
              </w:rPr>
              <w:t>北口</w:t>
            </w: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分道线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70×0.15</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52.5</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both"/>
              <w:rPr>
                <w:rFonts w:hint="eastAsia" w:ascii="宋体" w:hAnsi="宋体" w:eastAsia="宋体" w:cs="宋体"/>
                <w:color w:val="auto"/>
                <w:szCs w:val="21"/>
              </w:rPr>
            </w:pPr>
          </w:p>
        </w:tc>
        <w:tc>
          <w:tcPr>
            <w:tcW w:w="1238" w:type="dxa"/>
            <w:vMerge w:val="restart"/>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箭头</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11</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1复合</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11</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both"/>
              <w:rPr>
                <w:rFonts w:hint="eastAsia" w:ascii="宋体" w:hAnsi="宋体" w:eastAsia="宋体" w:cs="宋体"/>
                <w:color w:val="auto"/>
                <w:szCs w:val="21"/>
              </w:rPr>
            </w:pPr>
          </w:p>
        </w:tc>
        <w:tc>
          <w:tcPr>
            <w:tcW w:w="1238" w:type="dxa"/>
            <w:vMerge w:val="continue"/>
            <w:vAlign w:val="center"/>
          </w:tcPr>
          <w:p>
            <w:pPr>
              <w:jc w:val="center"/>
              <w:rPr>
                <w:rFonts w:hint="eastAsia" w:ascii="宋体" w:hAnsi="宋体" w:eastAsia="宋体" w:cs="宋体"/>
                <w:color w:val="auto"/>
                <w:szCs w:val="21"/>
              </w:rPr>
            </w:pP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6直</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32.5</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both"/>
              <w:rPr>
                <w:rFonts w:hint="eastAsia" w:ascii="宋体" w:hAnsi="宋体" w:eastAsia="宋体" w:cs="宋体"/>
                <w:color w:val="auto"/>
                <w:szCs w:val="21"/>
              </w:rPr>
            </w:pPr>
          </w:p>
        </w:tc>
        <w:tc>
          <w:tcPr>
            <w:tcW w:w="1238" w:type="dxa"/>
            <w:vMerge w:val="continue"/>
            <w:vAlign w:val="center"/>
          </w:tcPr>
          <w:p>
            <w:pPr>
              <w:jc w:val="center"/>
              <w:rPr>
                <w:rFonts w:hint="eastAsia" w:ascii="宋体" w:hAnsi="宋体" w:eastAsia="宋体" w:cs="宋体"/>
                <w:color w:val="auto"/>
                <w:szCs w:val="21"/>
              </w:rPr>
            </w:pP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9</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6左转</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54</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both"/>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停止线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15×0.4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both"/>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白虚线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70×2÷6×0.15</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2</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3.5</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both"/>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斑马线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5×0.4</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40</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80</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238" w:type="dxa"/>
            <w:vMerge w:val="continue"/>
            <w:vAlign w:val="center"/>
          </w:tcPr>
          <w:p>
            <w:pPr>
              <w:jc w:val="both"/>
              <w:rPr>
                <w:rFonts w:hint="eastAsia" w:ascii="宋体" w:hAnsi="宋体" w:eastAsia="宋体" w:cs="宋体"/>
                <w:color w:val="auto"/>
                <w:szCs w:val="21"/>
              </w:rPr>
            </w:pPr>
          </w:p>
        </w:tc>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eastAsia="zh-CN"/>
              </w:rPr>
              <w:t>减让行线</w:t>
            </w:r>
          </w:p>
        </w:tc>
        <w:tc>
          <w:tcPr>
            <w:tcW w:w="1689"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1155"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1</w:t>
            </w:r>
          </w:p>
        </w:tc>
        <w:tc>
          <w:tcPr>
            <w:tcW w:w="870" w:type="dxa"/>
            <w:vAlign w:val="center"/>
          </w:tcPr>
          <w:p>
            <w:pPr>
              <w:jc w:val="center"/>
              <w:rPr>
                <w:rFonts w:hint="eastAsia" w:ascii="宋体" w:hAnsi="宋体" w:eastAsia="宋体" w:cs="宋体"/>
                <w:color w:val="auto"/>
                <w:szCs w:val="21"/>
              </w:rPr>
            </w:pPr>
            <w:r>
              <w:rPr>
                <w:rFonts w:hint="eastAsia" w:ascii="宋体" w:hAnsi="宋体" w:eastAsia="宋体" w:cs="宋体"/>
                <w:vertAlign w:val="baseline"/>
                <w:lang w:val="en-US" w:eastAsia="zh-CN"/>
              </w:rPr>
              <w:t>6</w:t>
            </w:r>
          </w:p>
        </w:tc>
        <w:tc>
          <w:tcPr>
            <w:tcW w:w="764" w:type="dxa"/>
          </w:tcPr>
          <w:p>
            <w:pPr>
              <w:jc w:val="center"/>
              <w:rPr>
                <w:rFonts w:hint="eastAsia" w:ascii="宋体" w:hAnsi="宋体" w:eastAsia="宋体" w:cs="宋体"/>
                <w:color w:val="auto"/>
                <w:szCs w:val="21"/>
              </w:rPr>
            </w:pPr>
          </w:p>
        </w:tc>
        <w:tc>
          <w:tcPr>
            <w:tcW w:w="840" w:type="dxa"/>
          </w:tcPr>
          <w:p>
            <w:pPr>
              <w:jc w:val="center"/>
              <w:rPr>
                <w:rFonts w:hint="eastAsia" w:ascii="宋体" w:hAnsi="宋体" w:eastAsia="宋体" w:cs="宋体"/>
                <w:color w:val="auto"/>
                <w:szCs w:val="21"/>
              </w:rPr>
            </w:pPr>
          </w:p>
        </w:tc>
        <w:tc>
          <w:tcPr>
            <w:tcW w:w="652" w:type="dxa"/>
            <w:vMerge w:val="continue"/>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exact"/>
        </w:trPr>
        <w:tc>
          <w:tcPr>
            <w:tcW w:w="1238" w:type="dxa"/>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合计</w:t>
            </w:r>
          </w:p>
        </w:tc>
        <w:tc>
          <w:tcPr>
            <w:tcW w:w="7208" w:type="dxa"/>
            <w:gridSpan w:val="7"/>
            <w:vAlign w:val="center"/>
          </w:tcPr>
          <w:p>
            <w:pPr>
              <w:jc w:val="center"/>
              <w:rPr>
                <w:rFonts w:hint="eastAsia" w:ascii="宋体" w:hAnsi="宋体" w:eastAsia="宋体" w:cs="宋体"/>
                <w:color w:val="auto"/>
                <w:szCs w:val="21"/>
              </w:rPr>
            </w:pPr>
          </w:p>
        </w:tc>
      </w:tr>
    </w:tbl>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center"/>
        <w:rPr>
          <w:rFonts w:hint="eastAsia" w:ascii="宋体" w:hAnsi="宋体" w:eastAsia="宋体" w:cs="宋体"/>
          <w:b/>
          <w:bCs/>
          <w:color w:val="auto"/>
          <w:szCs w:val="21"/>
        </w:rPr>
      </w:pPr>
    </w:p>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p>
    <w:p>
      <w:pPr>
        <w:jc w:val="both"/>
        <w:rPr>
          <w:rFonts w:hint="eastAsia" w:ascii="宋体" w:hAnsi="宋体" w:eastAsia="宋体" w:cs="宋体"/>
          <w:b/>
          <w:bCs/>
          <w:color w:val="auto"/>
          <w:szCs w:val="21"/>
        </w:rPr>
      </w:pPr>
      <w:r>
        <w:rPr>
          <w:rFonts w:hint="eastAsia" w:ascii="宋体" w:hAnsi="宋体" w:eastAsia="宋体" w:cs="宋体"/>
          <w:b/>
          <w:bCs/>
          <w:color w:val="auto"/>
          <w:szCs w:val="21"/>
        </w:rPr>
        <w:t>2017年</w:t>
      </w:r>
      <w:r>
        <w:rPr>
          <w:rFonts w:hint="eastAsia" w:ascii="宋体" w:hAnsi="宋体" w:cs="宋体"/>
          <w:b/>
          <w:bCs/>
          <w:color w:val="auto"/>
          <w:szCs w:val="21"/>
          <w:lang w:eastAsia="zh-CN"/>
        </w:rPr>
        <w:t>温县太行路与古温大街路口交通信号灯预算（原太极转盘）一标段</w:t>
      </w:r>
      <w:r>
        <w:rPr>
          <w:rFonts w:hint="eastAsia" w:ascii="宋体" w:hAnsi="宋体" w:cs="宋体"/>
          <w:b/>
          <w:bCs/>
          <w:color w:val="auto"/>
          <w:szCs w:val="21"/>
          <w:lang w:val="en-US" w:eastAsia="zh-CN"/>
        </w:rPr>
        <w:t xml:space="preserve">   </w:t>
      </w:r>
      <w:r>
        <w:rPr>
          <w:rFonts w:hint="eastAsia" w:ascii="宋体" w:hAnsi="宋体" w:eastAsia="宋体" w:cs="宋体"/>
          <w:b/>
          <w:bCs/>
          <w:color w:val="auto"/>
          <w:szCs w:val="21"/>
        </w:rPr>
        <w:t>金额单位：元</w:t>
      </w:r>
    </w:p>
    <w:p>
      <w:pPr>
        <w:jc w:val="both"/>
        <w:rPr>
          <w:rFonts w:hint="eastAsia" w:ascii="宋体" w:hAnsi="宋体" w:eastAsia="宋体" w:cs="宋体"/>
          <w:b/>
          <w:bCs/>
          <w:color w:val="auto"/>
          <w:szCs w:val="21"/>
        </w:rPr>
      </w:pPr>
    </w:p>
    <w:tbl>
      <w:tblPr>
        <w:tblStyle w:val="23"/>
        <w:tblW w:w="88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1260"/>
        <w:gridCol w:w="3669"/>
        <w:gridCol w:w="610"/>
        <w:gridCol w:w="660"/>
        <w:gridCol w:w="560"/>
        <w:gridCol w:w="560"/>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570" w:type="dxa"/>
            <w:vAlign w:val="center"/>
          </w:tcPr>
          <w:p>
            <w:pPr>
              <w:jc w:val="center"/>
              <w:rPr>
                <w:rFonts w:hint="eastAsia" w:ascii="宋体" w:hAnsi="宋体" w:eastAsia="宋体" w:cs="宋体"/>
                <w:color w:val="auto"/>
                <w:szCs w:val="21"/>
              </w:rPr>
            </w:pPr>
          </w:p>
        </w:tc>
        <w:tc>
          <w:tcPr>
            <w:tcW w:w="1260" w:type="dxa"/>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b/>
                <w:color w:val="auto"/>
                <w:kern w:val="0"/>
                <w:szCs w:val="21"/>
              </w:rPr>
              <w:t>项目名称</w:t>
            </w:r>
          </w:p>
        </w:tc>
        <w:tc>
          <w:tcPr>
            <w:tcW w:w="3669" w:type="dxa"/>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b/>
                <w:color w:val="auto"/>
                <w:kern w:val="0"/>
                <w:szCs w:val="21"/>
              </w:rPr>
              <w:t>参数</w:t>
            </w:r>
          </w:p>
        </w:tc>
        <w:tc>
          <w:tcPr>
            <w:tcW w:w="610" w:type="dxa"/>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b/>
                <w:color w:val="auto"/>
                <w:kern w:val="0"/>
                <w:szCs w:val="21"/>
              </w:rPr>
              <w:t>单位</w:t>
            </w:r>
          </w:p>
        </w:tc>
        <w:tc>
          <w:tcPr>
            <w:tcW w:w="660" w:type="dxa"/>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b/>
                <w:color w:val="auto"/>
                <w:kern w:val="0"/>
                <w:szCs w:val="21"/>
              </w:rPr>
              <w:t>数量</w:t>
            </w:r>
          </w:p>
        </w:tc>
        <w:tc>
          <w:tcPr>
            <w:tcW w:w="560" w:type="dxa"/>
            <w:vAlign w:val="center"/>
          </w:tcPr>
          <w:p>
            <w:pPr>
              <w:widowControl/>
              <w:jc w:val="center"/>
              <w:textAlignment w:val="center"/>
              <w:rPr>
                <w:rFonts w:hint="eastAsia" w:ascii="宋体" w:hAnsi="宋体" w:eastAsia="宋体" w:cs="宋体"/>
                <w:b/>
                <w:color w:val="auto"/>
                <w:kern w:val="0"/>
                <w:szCs w:val="21"/>
              </w:rPr>
            </w:pPr>
            <w:r>
              <w:rPr>
                <w:rFonts w:hint="eastAsia" w:ascii="宋体" w:hAnsi="宋体" w:eastAsia="宋体" w:cs="宋体"/>
                <w:b/>
                <w:color w:val="auto"/>
                <w:kern w:val="0"/>
                <w:szCs w:val="21"/>
              </w:rPr>
              <w:t>单价</w:t>
            </w:r>
          </w:p>
        </w:tc>
        <w:tc>
          <w:tcPr>
            <w:tcW w:w="560" w:type="dxa"/>
            <w:vAlign w:val="center"/>
          </w:tcPr>
          <w:p>
            <w:pPr>
              <w:widowControl/>
              <w:jc w:val="center"/>
              <w:textAlignment w:val="center"/>
              <w:rPr>
                <w:rFonts w:hint="eastAsia" w:ascii="宋体" w:hAnsi="宋体" w:eastAsia="宋体" w:cs="宋体"/>
                <w:b/>
                <w:color w:val="auto"/>
                <w:kern w:val="0"/>
                <w:szCs w:val="21"/>
              </w:rPr>
            </w:pPr>
            <w:r>
              <w:rPr>
                <w:rFonts w:hint="eastAsia" w:ascii="宋体" w:hAnsi="宋体" w:eastAsia="宋体" w:cs="宋体"/>
                <w:b/>
                <w:color w:val="auto"/>
                <w:kern w:val="0"/>
                <w:szCs w:val="21"/>
              </w:rPr>
              <w:t>合价</w:t>
            </w:r>
          </w:p>
        </w:tc>
        <w:tc>
          <w:tcPr>
            <w:tcW w:w="931" w:type="dxa"/>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b/>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jc w:val="center"/>
        </w:trPr>
        <w:tc>
          <w:tcPr>
            <w:tcW w:w="570" w:type="dxa"/>
            <w:vMerge w:val="restart"/>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color w:val="auto"/>
                <w:kern w:val="0"/>
                <w:szCs w:val="21"/>
              </w:rPr>
              <w:t>灯具</w:t>
            </w:r>
          </w:p>
        </w:tc>
        <w:tc>
          <w:tcPr>
            <w:tcW w:w="12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三联体箭头灯</w:t>
            </w:r>
          </w:p>
        </w:tc>
        <w:tc>
          <w:tcPr>
            <w:tcW w:w="3669"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0"/>
                <w:szCs w:val="20"/>
                <w:lang w:bidi="ar"/>
              </w:rPr>
              <w:t>信号灯采用三联体结构，发光单元直径为Φ400mm，进口芯片，红、黄、绿灯管数分别不少于117颗，压铸铝外壳体，每单元内壳体及面罩必须完全密封，可整体更换。</w:t>
            </w:r>
          </w:p>
        </w:tc>
        <w:tc>
          <w:tcPr>
            <w:tcW w:w="61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组</w:t>
            </w:r>
          </w:p>
        </w:tc>
        <w:tc>
          <w:tcPr>
            <w:tcW w:w="6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4</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Merge w:val="restart"/>
            <w:vAlign w:val="center"/>
          </w:tcPr>
          <w:p>
            <w:pPr>
              <w:jc w:val="center"/>
              <w:rPr>
                <w:rFonts w:hint="eastAsia" w:ascii="宋体" w:hAnsi="宋体" w:eastAsia="宋体" w:cs="宋体"/>
                <w:color w:val="auto"/>
                <w:szCs w:val="21"/>
              </w:rPr>
            </w:pPr>
            <w:r>
              <w:rPr>
                <w:rFonts w:hint="eastAsia"/>
              </w:rPr>
              <w:t>不含信号灯杆、基础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jc w:val="center"/>
        </w:trPr>
        <w:tc>
          <w:tcPr>
            <w:tcW w:w="570" w:type="dxa"/>
            <w:vMerge w:val="continue"/>
            <w:vAlign w:val="center"/>
          </w:tcPr>
          <w:p>
            <w:pPr>
              <w:jc w:val="center"/>
              <w:rPr>
                <w:rFonts w:hint="eastAsia" w:ascii="宋体" w:hAnsi="宋体" w:eastAsia="宋体" w:cs="宋体"/>
                <w:color w:val="auto"/>
                <w:szCs w:val="21"/>
              </w:rPr>
            </w:pPr>
          </w:p>
        </w:tc>
        <w:tc>
          <w:tcPr>
            <w:tcW w:w="12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三联体满屏灯</w:t>
            </w:r>
          </w:p>
        </w:tc>
        <w:tc>
          <w:tcPr>
            <w:tcW w:w="3669"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0"/>
                <w:szCs w:val="20"/>
                <w:lang w:bidi="ar"/>
              </w:rPr>
              <w:t>信号灯采用三联体结构，发光单元直径为Φ400mm，进口芯片，红、黄、绿灯管数分别不于186颗，压铸铝外壳体，每单元内壳体及面罩必须完全密封，可整体更换。</w:t>
            </w:r>
          </w:p>
        </w:tc>
        <w:tc>
          <w:tcPr>
            <w:tcW w:w="61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组</w:t>
            </w:r>
          </w:p>
        </w:tc>
        <w:tc>
          <w:tcPr>
            <w:tcW w:w="6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4</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Merge w:val="continue"/>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jc w:val="center"/>
        </w:trPr>
        <w:tc>
          <w:tcPr>
            <w:tcW w:w="570" w:type="dxa"/>
            <w:vMerge w:val="continue"/>
            <w:vAlign w:val="center"/>
          </w:tcPr>
          <w:p>
            <w:pPr>
              <w:jc w:val="center"/>
              <w:rPr>
                <w:rFonts w:hint="eastAsia" w:ascii="宋体" w:hAnsi="宋体" w:eastAsia="宋体" w:cs="宋体"/>
                <w:color w:val="auto"/>
                <w:szCs w:val="21"/>
              </w:rPr>
            </w:pP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三联体非机动灯</w:t>
            </w:r>
          </w:p>
        </w:tc>
        <w:tc>
          <w:tcPr>
            <w:tcW w:w="3669"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0"/>
                <w:szCs w:val="20"/>
                <w:lang w:bidi="ar"/>
              </w:rPr>
              <w:t>信号灯采用三联体结构，发光单元直径为Φ400mm，进口芯片，红、黄、绿灯管数分别不少于95颗，压铸铝外壳体，每单元内壳体及面罩必须完全密封，可整体更换。</w:t>
            </w: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组</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4</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Merge w:val="continue"/>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jc w:val="center"/>
        </w:trPr>
        <w:tc>
          <w:tcPr>
            <w:tcW w:w="570" w:type="dxa"/>
            <w:vMerge w:val="continue"/>
            <w:vAlign w:val="center"/>
          </w:tcPr>
          <w:p>
            <w:pPr>
              <w:jc w:val="center"/>
              <w:rPr>
                <w:rFonts w:hint="eastAsia" w:ascii="宋体" w:hAnsi="宋体" w:eastAsia="宋体" w:cs="宋体"/>
                <w:color w:val="auto"/>
                <w:szCs w:val="21"/>
              </w:rPr>
            </w:pP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800*600两位倒计时灯</w:t>
            </w:r>
          </w:p>
        </w:tc>
        <w:tc>
          <w:tcPr>
            <w:tcW w:w="3669"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0"/>
                <w:szCs w:val="20"/>
                <w:lang w:bidi="ar"/>
              </w:rPr>
              <w:t>应采用超高亮度LED半导体发光管，应能接入九路信号灯信号，分别正确显示红灯、黄灯时间和左转、直行、右转绿灯时间，显示颜色与交通信号灯颜色同色同步；红倒计时：≥546个LED，绿倒计时：≥336个LED。灯组尺寸(mm)：800*600*70</w:t>
            </w: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组</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4</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Merge w:val="continue"/>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570" w:type="dxa"/>
            <w:vMerge w:val="continue"/>
            <w:vAlign w:val="center"/>
          </w:tcPr>
          <w:p>
            <w:pPr>
              <w:jc w:val="center"/>
              <w:rPr>
                <w:rFonts w:hint="eastAsia" w:ascii="宋体" w:hAnsi="宋体" w:eastAsia="宋体" w:cs="宋体"/>
                <w:color w:val="auto"/>
                <w:szCs w:val="21"/>
              </w:rPr>
            </w:pPr>
          </w:p>
        </w:tc>
        <w:tc>
          <w:tcPr>
            <w:tcW w:w="12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两联体动态人行灯</w:t>
            </w:r>
          </w:p>
        </w:tc>
        <w:tc>
          <w:tcPr>
            <w:tcW w:w="3669"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0"/>
                <w:szCs w:val="20"/>
                <w:lang w:bidi="ar"/>
              </w:rPr>
              <w:t>信号灯采用三联体结构，发光单元直径为Φ400mm，进口芯片，红灯管数不于87颗，动态绿灯管数不于126颗，压铸铝外壳体，每单元内壳体及面罩必须完全密封，可整体更换。</w:t>
            </w:r>
          </w:p>
        </w:tc>
        <w:tc>
          <w:tcPr>
            <w:tcW w:w="61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组</w:t>
            </w:r>
          </w:p>
        </w:tc>
        <w:tc>
          <w:tcPr>
            <w:tcW w:w="6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8</w:t>
            </w:r>
          </w:p>
        </w:tc>
        <w:tc>
          <w:tcPr>
            <w:tcW w:w="560" w:type="dxa"/>
            <w:vAlign w:val="center"/>
          </w:tcPr>
          <w:p>
            <w:pPr>
              <w:widowControl/>
              <w:jc w:val="center"/>
              <w:textAlignment w:val="center"/>
              <w:rPr>
                <w:rFonts w:hint="eastAsia" w:ascii="宋体" w:hAnsi="宋体" w:eastAsia="宋体" w:cs="宋体"/>
                <w:color w:val="auto"/>
                <w:kern w:val="0"/>
                <w:szCs w:val="21"/>
              </w:rPr>
            </w:pPr>
          </w:p>
        </w:tc>
        <w:tc>
          <w:tcPr>
            <w:tcW w:w="560" w:type="dxa"/>
            <w:vAlign w:val="center"/>
          </w:tcPr>
          <w:p>
            <w:pPr>
              <w:widowControl/>
              <w:jc w:val="center"/>
              <w:textAlignment w:val="center"/>
              <w:rPr>
                <w:rFonts w:hint="eastAsia" w:ascii="宋体" w:hAnsi="宋体" w:eastAsia="宋体" w:cs="宋体"/>
                <w:color w:val="auto"/>
                <w:kern w:val="0"/>
                <w:szCs w:val="21"/>
              </w:rPr>
            </w:pPr>
          </w:p>
        </w:tc>
        <w:tc>
          <w:tcPr>
            <w:tcW w:w="931" w:type="dxa"/>
            <w:vMerge w:val="continue"/>
            <w:vAlign w:val="center"/>
          </w:tcPr>
          <w:p>
            <w:pPr>
              <w:widowControl/>
              <w:jc w:val="center"/>
              <w:textAlignment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570" w:type="dxa"/>
            <w:vMerge w:val="continue"/>
            <w:vAlign w:val="center"/>
          </w:tcPr>
          <w:p>
            <w:pPr>
              <w:jc w:val="center"/>
              <w:rPr>
                <w:rFonts w:hint="eastAsia" w:ascii="宋体" w:hAnsi="宋体" w:eastAsia="宋体" w:cs="宋体"/>
                <w:color w:val="auto"/>
                <w:szCs w:val="21"/>
              </w:rPr>
            </w:pPr>
          </w:p>
        </w:tc>
        <w:tc>
          <w:tcPr>
            <w:tcW w:w="1260" w:type="dxa"/>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24相位智能联网信号机</w:t>
            </w:r>
          </w:p>
        </w:tc>
        <w:tc>
          <w:tcPr>
            <w:tcW w:w="3669" w:type="dxa"/>
            <w:vAlign w:val="center"/>
          </w:tcPr>
          <w:p>
            <w:pP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嵌入式中央控制系统，工作更加稳定可靠；整机标配4块驱动输出板卡，可支持24相位控制，48路信号输出，可扩展为32相位控制、96路信号输出。可扩展16组人行过街控制功能。采用RJ45接口或串口与上位机通讯；可设置平常日和节假日运行方案，每种运行方案可设置48个工作时段设置；支持32个工作菜单（其中1～30号客户可以自行设置），可在任意时段多次调用；有全红、黄闪、步进手动，跳相手动，四方向手动左转、直行直接通行控制、无线遥控手动功能；信号机一体化操作面板，无需外部设备即可对信号机进行方案、时段、过渡参数等进行新建、更改、删除等操作。信号机前面板有路口的模拟显示图，便于查看信号机的运行状态。外机箱与主机为一体化装配，有前后三防门、照明灯、防雷器、外接电插座，布线整洁。智能联网交通信号机要具有特勤控制功能、绿波控制功能等功能，控制方式可由指挥中心中央控制服务器实现。</w:t>
            </w:r>
          </w:p>
          <w:p>
            <w:pPr>
              <w:widowControl/>
              <w:jc w:val="center"/>
              <w:textAlignment w:val="center"/>
              <w:rPr>
                <w:rFonts w:hint="eastAsia" w:ascii="宋体" w:hAnsi="宋体" w:cs="宋体"/>
                <w:color w:val="000000"/>
                <w:kern w:val="0"/>
                <w:sz w:val="20"/>
                <w:szCs w:val="20"/>
                <w:lang w:bidi="ar"/>
              </w:rPr>
            </w:pPr>
          </w:p>
        </w:tc>
        <w:tc>
          <w:tcPr>
            <w:tcW w:w="610" w:type="dxa"/>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台</w:t>
            </w:r>
          </w:p>
        </w:tc>
        <w:tc>
          <w:tcPr>
            <w:tcW w:w="660" w:type="dxa"/>
            <w:vAlign w:val="center"/>
          </w:tcPr>
          <w:p>
            <w:pPr>
              <w:widowControl/>
              <w:jc w:val="center"/>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1</w:t>
            </w:r>
          </w:p>
        </w:tc>
        <w:tc>
          <w:tcPr>
            <w:tcW w:w="560" w:type="dxa"/>
            <w:vAlign w:val="center"/>
          </w:tcPr>
          <w:p>
            <w:pPr>
              <w:widowControl/>
              <w:jc w:val="center"/>
              <w:textAlignment w:val="center"/>
              <w:rPr>
                <w:rFonts w:hint="eastAsia" w:ascii="宋体" w:hAnsi="宋体" w:eastAsia="宋体" w:cs="宋体"/>
                <w:color w:val="auto"/>
                <w:kern w:val="0"/>
                <w:szCs w:val="21"/>
              </w:rPr>
            </w:pPr>
          </w:p>
        </w:tc>
        <w:tc>
          <w:tcPr>
            <w:tcW w:w="560" w:type="dxa"/>
            <w:vAlign w:val="center"/>
          </w:tcPr>
          <w:p>
            <w:pPr>
              <w:widowControl/>
              <w:jc w:val="center"/>
              <w:textAlignment w:val="center"/>
              <w:rPr>
                <w:rFonts w:hint="eastAsia" w:ascii="宋体" w:hAnsi="宋体" w:eastAsia="宋体" w:cs="宋体"/>
                <w:color w:val="auto"/>
                <w:kern w:val="0"/>
                <w:szCs w:val="21"/>
              </w:rPr>
            </w:pPr>
          </w:p>
        </w:tc>
        <w:tc>
          <w:tcPr>
            <w:tcW w:w="931"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eastAsia="宋体" w:cs="宋体"/>
                <w:color w:val="auto"/>
                <w:kern w:val="0"/>
                <w:szCs w:val="21"/>
              </w:rPr>
              <w:t>含机柜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570" w:type="dxa"/>
            <w:vMerge w:val="restart"/>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color w:val="auto"/>
                <w:kern w:val="0"/>
                <w:szCs w:val="21"/>
              </w:rPr>
              <w:t>线缆</w:t>
            </w:r>
          </w:p>
        </w:tc>
        <w:tc>
          <w:tcPr>
            <w:tcW w:w="12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KVV控制电缆（主灯地埋用）</w:t>
            </w:r>
          </w:p>
        </w:tc>
        <w:tc>
          <w:tcPr>
            <w:tcW w:w="3669"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0"/>
                <w:szCs w:val="20"/>
                <w:lang w:bidi="ar"/>
              </w:rPr>
              <w:t>KVV16*1.5mm</w:t>
            </w:r>
            <w:r>
              <w:rPr>
                <w:rFonts w:hint="eastAsia" w:ascii="宋体" w:hAnsi="宋体" w:cs="宋体"/>
                <w:color w:val="000000"/>
                <w:kern w:val="0"/>
                <w:sz w:val="20"/>
                <w:szCs w:val="20"/>
                <w:vertAlign w:val="superscript"/>
                <w:lang w:bidi="ar"/>
              </w:rPr>
              <w:t>2</w:t>
            </w:r>
          </w:p>
        </w:tc>
        <w:tc>
          <w:tcPr>
            <w:tcW w:w="61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米</w:t>
            </w:r>
          </w:p>
        </w:tc>
        <w:tc>
          <w:tcPr>
            <w:tcW w:w="6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350</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570" w:type="dxa"/>
            <w:vMerge w:val="continue"/>
            <w:vAlign w:val="center"/>
          </w:tcPr>
          <w:p>
            <w:pPr>
              <w:widowControl/>
              <w:jc w:val="center"/>
              <w:textAlignment w:val="center"/>
              <w:rPr>
                <w:rFonts w:hint="eastAsia" w:ascii="宋体" w:hAnsi="宋体" w:eastAsia="宋体" w:cs="宋体"/>
                <w:color w:val="auto"/>
                <w:kern w:val="0"/>
                <w:szCs w:val="21"/>
              </w:rPr>
            </w:pP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KVV控制电缆（人行地埋用）</w:t>
            </w:r>
          </w:p>
        </w:tc>
        <w:tc>
          <w:tcPr>
            <w:tcW w:w="3669"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0"/>
                <w:szCs w:val="20"/>
                <w:lang w:bidi="ar"/>
              </w:rPr>
              <w:t>KVV5*1.5mm</w:t>
            </w:r>
            <w:r>
              <w:rPr>
                <w:rFonts w:hint="eastAsia" w:ascii="宋体" w:hAnsi="宋体" w:cs="宋体"/>
                <w:color w:val="000000"/>
                <w:kern w:val="0"/>
                <w:sz w:val="20"/>
                <w:szCs w:val="20"/>
                <w:vertAlign w:val="superscript"/>
                <w:lang w:bidi="ar"/>
              </w:rPr>
              <w:t>2</w:t>
            </w: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米</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300</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570" w:type="dxa"/>
            <w:vMerge w:val="continue"/>
            <w:vAlign w:val="center"/>
          </w:tcPr>
          <w:p>
            <w:pPr>
              <w:widowControl/>
              <w:jc w:val="center"/>
              <w:textAlignment w:val="center"/>
              <w:rPr>
                <w:rFonts w:hint="eastAsia" w:ascii="宋体" w:hAnsi="宋体" w:eastAsia="宋体" w:cs="宋体"/>
                <w:color w:val="auto"/>
                <w:kern w:val="0"/>
                <w:szCs w:val="21"/>
              </w:rPr>
            </w:pP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RVV2*4</w:t>
            </w:r>
            <w:r>
              <w:rPr>
                <w:rFonts w:hint="eastAsia" w:ascii="宋体" w:hAnsi="宋体" w:cs="宋体"/>
                <w:color w:val="000000"/>
                <w:kern w:val="0"/>
                <w:sz w:val="20"/>
                <w:szCs w:val="20"/>
                <w:lang w:bidi="ar"/>
              </w:rPr>
              <w:t>mm</w:t>
            </w:r>
            <w:r>
              <w:rPr>
                <w:rFonts w:hint="eastAsia" w:ascii="宋体" w:hAnsi="宋体" w:cs="宋体"/>
                <w:color w:val="000000"/>
                <w:kern w:val="0"/>
                <w:sz w:val="20"/>
                <w:szCs w:val="20"/>
                <w:vertAlign w:val="superscript"/>
                <w:lang w:bidi="ar"/>
              </w:rPr>
              <w:t>2</w:t>
            </w:r>
            <w:r>
              <w:rPr>
                <w:rFonts w:hint="eastAsia" w:ascii="宋体" w:hAnsi="宋体" w:cs="宋体"/>
                <w:color w:val="000000"/>
                <w:kern w:val="0"/>
                <w:sz w:val="24"/>
                <w:lang w:bidi="ar"/>
              </w:rPr>
              <w:t>电缆(电源线)</w:t>
            </w:r>
          </w:p>
        </w:tc>
        <w:tc>
          <w:tcPr>
            <w:tcW w:w="3669"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0"/>
                <w:szCs w:val="20"/>
                <w:lang w:bidi="ar"/>
              </w:rPr>
              <w:t>RVV2*2.5mm</w:t>
            </w:r>
            <w:r>
              <w:rPr>
                <w:rFonts w:hint="eastAsia" w:ascii="宋体" w:hAnsi="宋体" w:cs="宋体"/>
                <w:color w:val="000000"/>
                <w:kern w:val="0"/>
                <w:sz w:val="20"/>
                <w:szCs w:val="20"/>
                <w:vertAlign w:val="superscript"/>
                <w:lang w:bidi="ar"/>
              </w:rPr>
              <w:t>2</w:t>
            </w: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米</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100</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570" w:type="dxa"/>
            <w:vMerge w:val="continue"/>
            <w:vAlign w:val="center"/>
          </w:tcPr>
          <w:p>
            <w:pPr>
              <w:widowControl/>
              <w:jc w:val="center"/>
              <w:textAlignment w:val="center"/>
              <w:rPr>
                <w:rFonts w:hint="eastAsia" w:ascii="宋体" w:hAnsi="宋体" w:eastAsia="宋体" w:cs="宋体"/>
                <w:color w:val="auto"/>
                <w:kern w:val="0"/>
                <w:szCs w:val="21"/>
              </w:rPr>
            </w:pP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RVV4*1.0</w:t>
            </w:r>
            <w:r>
              <w:rPr>
                <w:rFonts w:hint="eastAsia" w:ascii="宋体" w:hAnsi="宋体" w:cs="宋体"/>
                <w:color w:val="000000"/>
                <w:kern w:val="0"/>
                <w:sz w:val="20"/>
                <w:szCs w:val="20"/>
                <w:lang w:bidi="ar"/>
              </w:rPr>
              <w:t>mm</w:t>
            </w:r>
            <w:r>
              <w:rPr>
                <w:rFonts w:hint="eastAsia" w:ascii="宋体" w:hAnsi="宋体" w:cs="宋体"/>
                <w:color w:val="000000"/>
                <w:kern w:val="0"/>
                <w:sz w:val="20"/>
                <w:szCs w:val="20"/>
                <w:vertAlign w:val="superscript"/>
                <w:lang w:bidi="ar"/>
              </w:rPr>
              <w:t>2</w:t>
            </w:r>
            <w:r>
              <w:rPr>
                <w:rFonts w:hint="eastAsia" w:ascii="宋体" w:hAnsi="宋体" w:cs="宋体"/>
                <w:color w:val="000000"/>
                <w:kern w:val="0"/>
                <w:sz w:val="24"/>
                <w:lang w:bidi="ar"/>
              </w:rPr>
              <w:t>电缆(灯用)</w:t>
            </w:r>
          </w:p>
        </w:tc>
        <w:tc>
          <w:tcPr>
            <w:tcW w:w="3669"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0"/>
                <w:szCs w:val="20"/>
                <w:lang w:bidi="ar"/>
              </w:rPr>
              <w:t>RVV4*1.0mm</w:t>
            </w:r>
            <w:r>
              <w:rPr>
                <w:rFonts w:hint="eastAsia" w:ascii="宋体" w:hAnsi="宋体" w:cs="宋体"/>
                <w:color w:val="000000"/>
                <w:kern w:val="0"/>
                <w:sz w:val="20"/>
                <w:szCs w:val="20"/>
                <w:vertAlign w:val="superscript"/>
                <w:lang w:bidi="ar"/>
              </w:rPr>
              <w:t>2</w:t>
            </w: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米</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200</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jc w:val="center"/>
        </w:trPr>
        <w:tc>
          <w:tcPr>
            <w:tcW w:w="570" w:type="dxa"/>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color w:val="auto"/>
                <w:kern w:val="0"/>
                <w:szCs w:val="21"/>
              </w:rPr>
              <w:t>基础施工</w:t>
            </w: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信号机基础筑建</w:t>
            </w:r>
          </w:p>
        </w:tc>
        <w:tc>
          <w:tcPr>
            <w:tcW w:w="3669" w:type="dxa"/>
            <w:vMerge w:val="restart"/>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0"/>
                <w:szCs w:val="20"/>
                <w:lang w:bidi="ar"/>
              </w:rPr>
              <w:t>0.6*0.6*0.4m</w:t>
            </w: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座</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1</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restart"/>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color w:val="auto"/>
                <w:kern w:val="0"/>
                <w:szCs w:val="21"/>
              </w:rPr>
              <w:t>地下施工</w:t>
            </w: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主路面过路顶管</w:t>
            </w:r>
          </w:p>
        </w:tc>
        <w:tc>
          <w:tcPr>
            <w:tcW w:w="3669"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0"/>
                <w:szCs w:val="20"/>
                <w:lang w:bidi="ar"/>
              </w:rPr>
              <w:t>含管材</w:t>
            </w: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米</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350</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widowControl/>
              <w:jc w:val="center"/>
              <w:textAlignment w:val="center"/>
              <w:rPr>
                <w:rFonts w:hint="eastAsia" w:ascii="宋体" w:hAnsi="宋体" w:eastAsia="宋体" w:cs="宋体"/>
                <w:color w:val="auto"/>
                <w:kern w:val="0"/>
                <w:szCs w:val="21"/>
              </w:rPr>
            </w:pP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人行道开挖及修复</w:t>
            </w:r>
          </w:p>
        </w:tc>
        <w:tc>
          <w:tcPr>
            <w:tcW w:w="3669"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0"/>
                <w:szCs w:val="20"/>
                <w:lang w:bidi="ar"/>
              </w:rPr>
              <w:t>300mm*500mm</w:t>
            </w: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米</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100</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570" w:type="dxa"/>
            <w:vMerge w:val="continue"/>
            <w:vAlign w:val="center"/>
          </w:tcPr>
          <w:p>
            <w:pPr>
              <w:widowControl/>
              <w:jc w:val="center"/>
              <w:textAlignment w:val="center"/>
              <w:rPr>
                <w:rFonts w:hint="eastAsia" w:ascii="宋体" w:hAnsi="宋体" w:eastAsia="宋体" w:cs="宋体"/>
                <w:color w:val="auto"/>
                <w:szCs w:val="21"/>
              </w:rPr>
            </w:pPr>
          </w:p>
        </w:tc>
        <w:tc>
          <w:tcPr>
            <w:tcW w:w="12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碳素波纹管</w:t>
            </w:r>
          </w:p>
        </w:tc>
        <w:tc>
          <w:tcPr>
            <w:tcW w:w="3669"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0"/>
                <w:szCs w:val="20"/>
                <w:lang w:bidi="ar"/>
              </w:rPr>
              <w:t>φ75mm</w:t>
            </w:r>
          </w:p>
        </w:tc>
        <w:tc>
          <w:tcPr>
            <w:tcW w:w="61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米</w:t>
            </w:r>
          </w:p>
        </w:tc>
        <w:tc>
          <w:tcPr>
            <w:tcW w:w="6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100</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jc w:val="center"/>
              <w:rPr>
                <w:rFonts w:hint="eastAsia" w:ascii="宋体" w:hAnsi="宋体" w:eastAsia="宋体" w:cs="宋体"/>
                <w:color w:val="auto"/>
                <w:szCs w:val="21"/>
              </w:rPr>
            </w:pPr>
          </w:p>
        </w:tc>
        <w:tc>
          <w:tcPr>
            <w:tcW w:w="12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检查井及井盖</w:t>
            </w:r>
          </w:p>
        </w:tc>
        <w:tc>
          <w:tcPr>
            <w:tcW w:w="3669"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0"/>
                <w:szCs w:val="20"/>
                <w:lang w:bidi="ar"/>
              </w:rPr>
              <w:t>500mm*500mm</w:t>
            </w:r>
          </w:p>
        </w:tc>
        <w:tc>
          <w:tcPr>
            <w:tcW w:w="61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个</w:t>
            </w:r>
          </w:p>
        </w:tc>
        <w:tc>
          <w:tcPr>
            <w:tcW w:w="6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8</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lang w:eastAsia="zh-CN"/>
              </w:rPr>
            </w:pPr>
            <w:r>
              <w:rPr>
                <w:rFonts w:hint="eastAsia" w:ascii="宋体" w:hAnsi="宋体" w:cs="宋体"/>
                <w:color w:val="auto"/>
                <w:szCs w:val="21"/>
                <w:lang w:eastAsia="zh-CN"/>
              </w:rPr>
              <w:t>含井盖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restart"/>
            <w:vAlign w:val="center"/>
          </w:tcPr>
          <w:p>
            <w:pPr>
              <w:widowControl/>
              <w:jc w:val="center"/>
              <w:textAlignment w:val="center"/>
              <w:rPr>
                <w:rFonts w:hint="eastAsia" w:ascii="宋体" w:hAnsi="宋体" w:eastAsia="宋体" w:cs="宋体"/>
                <w:color w:val="auto"/>
                <w:szCs w:val="21"/>
              </w:rPr>
            </w:pPr>
            <w:r>
              <w:rPr>
                <w:rFonts w:hint="eastAsia" w:ascii="宋体" w:hAnsi="宋体" w:eastAsia="宋体" w:cs="宋体"/>
                <w:color w:val="auto"/>
                <w:kern w:val="0"/>
                <w:szCs w:val="21"/>
              </w:rPr>
              <w:t>其它</w:t>
            </w: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胶布扎带等安装耗材</w:t>
            </w:r>
          </w:p>
        </w:tc>
        <w:tc>
          <w:tcPr>
            <w:tcW w:w="3669" w:type="dxa"/>
            <w:vAlign w:val="center"/>
          </w:tcPr>
          <w:p>
            <w:pPr>
              <w:jc w:val="center"/>
              <w:rPr>
                <w:rFonts w:hint="eastAsia" w:ascii="宋体" w:hAnsi="宋体" w:eastAsia="宋体" w:cs="宋体"/>
                <w:color w:val="auto"/>
                <w:szCs w:val="21"/>
              </w:rPr>
            </w:pP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批</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1</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570" w:type="dxa"/>
            <w:vMerge w:val="continue"/>
            <w:vAlign w:val="center"/>
          </w:tcPr>
          <w:p>
            <w:pPr>
              <w:widowControl/>
              <w:jc w:val="center"/>
              <w:textAlignment w:val="center"/>
              <w:rPr>
                <w:rFonts w:hint="eastAsia" w:ascii="宋体" w:hAnsi="宋体" w:eastAsia="宋体" w:cs="宋体"/>
                <w:color w:val="auto"/>
                <w:kern w:val="0"/>
                <w:szCs w:val="21"/>
              </w:rPr>
            </w:pP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螺丝抱箍等安装附件</w:t>
            </w:r>
          </w:p>
        </w:tc>
        <w:tc>
          <w:tcPr>
            <w:tcW w:w="3669" w:type="dxa"/>
            <w:vAlign w:val="center"/>
          </w:tcPr>
          <w:p>
            <w:pPr>
              <w:jc w:val="center"/>
              <w:rPr>
                <w:rFonts w:hint="eastAsia" w:ascii="宋体" w:hAnsi="宋体" w:eastAsia="宋体" w:cs="宋体"/>
                <w:color w:val="auto"/>
                <w:szCs w:val="21"/>
              </w:rPr>
            </w:pP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路口</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1</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widowControl/>
              <w:jc w:val="center"/>
              <w:textAlignment w:val="center"/>
              <w:rPr>
                <w:rFonts w:hint="eastAsia" w:ascii="宋体" w:hAnsi="宋体" w:eastAsia="宋体" w:cs="宋体"/>
                <w:color w:val="auto"/>
                <w:kern w:val="0"/>
                <w:szCs w:val="21"/>
              </w:rPr>
            </w:pP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地下电缆穿线</w:t>
            </w:r>
          </w:p>
        </w:tc>
        <w:tc>
          <w:tcPr>
            <w:tcW w:w="3669" w:type="dxa"/>
            <w:vAlign w:val="center"/>
          </w:tcPr>
          <w:p>
            <w:pPr>
              <w:jc w:val="center"/>
              <w:rPr>
                <w:rFonts w:hint="eastAsia" w:ascii="宋体" w:hAnsi="宋体" w:eastAsia="宋体" w:cs="宋体"/>
                <w:color w:val="auto"/>
                <w:szCs w:val="21"/>
              </w:rPr>
            </w:pP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路口</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1</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widowControl/>
              <w:jc w:val="center"/>
              <w:textAlignment w:val="center"/>
              <w:rPr>
                <w:rFonts w:hint="eastAsia" w:ascii="宋体" w:hAnsi="宋体" w:eastAsia="宋体" w:cs="宋体"/>
                <w:color w:val="auto"/>
                <w:kern w:val="0"/>
                <w:szCs w:val="21"/>
              </w:rPr>
            </w:pPr>
          </w:p>
        </w:tc>
        <w:tc>
          <w:tcPr>
            <w:tcW w:w="12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信号机安装与接线调试</w:t>
            </w:r>
          </w:p>
        </w:tc>
        <w:tc>
          <w:tcPr>
            <w:tcW w:w="3669" w:type="dxa"/>
            <w:vAlign w:val="center"/>
          </w:tcPr>
          <w:p>
            <w:pPr>
              <w:jc w:val="center"/>
              <w:rPr>
                <w:rFonts w:hint="eastAsia" w:ascii="宋体" w:hAnsi="宋体" w:eastAsia="宋体" w:cs="宋体"/>
                <w:color w:val="auto"/>
                <w:szCs w:val="21"/>
              </w:rPr>
            </w:pPr>
          </w:p>
        </w:tc>
        <w:tc>
          <w:tcPr>
            <w:tcW w:w="61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路口</w:t>
            </w:r>
          </w:p>
        </w:tc>
        <w:tc>
          <w:tcPr>
            <w:tcW w:w="660" w:type="dxa"/>
            <w:vAlign w:val="center"/>
          </w:tcPr>
          <w:p>
            <w:pPr>
              <w:widowControl/>
              <w:jc w:val="center"/>
              <w:textAlignment w:val="center"/>
              <w:rPr>
                <w:rFonts w:hint="eastAsia" w:ascii="宋体" w:hAnsi="宋体" w:eastAsia="宋体" w:cs="宋体"/>
                <w:color w:val="auto"/>
                <w:kern w:val="0"/>
                <w:szCs w:val="21"/>
              </w:rPr>
            </w:pPr>
            <w:r>
              <w:rPr>
                <w:rFonts w:hint="eastAsia" w:ascii="宋体" w:hAnsi="宋体" w:cs="宋体"/>
                <w:color w:val="000000"/>
                <w:kern w:val="0"/>
                <w:sz w:val="24"/>
                <w:lang w:bidi="ar"/>
              </w:rPr>
              <w:t>1</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widowControl/>
              <w:jc w:val="center"/>
              <w:textAlignment w:val="center"/>
              <w:rPr>
                <w:rFonts w:hint="eastAsia" w:ascii="宋体" w:hAnsi="宋体" w:eastAsia="宋体" w:cs="宋体"/>
                <w:color w:val="auto"/>
                <w:szCs w:val="21"/>
              </w:rPr>
            </w:pPr>
          </w:p>
        </w:tc>
        <w:tc>
          <w:tcPr>
            <w:tcW w:w="12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运输费用</w:t>
            </w:r>
          </w:p>
        </w:tc>
        <w:tc>
          <w:tcPr>
            <w:tcW w:w="3669" w:type="dxa"/>
            <w:vAlign w:val="center"/>
          </w:tcPr>
          <w:p>
            <w:pPr>
              <w:jc w:val="center"/>
              <w:rPr>
                <w:rFonts w:hint="eastAsia" w:ascii="宋体" w:hAnsi="宋体" w:eastAsia="宋体" w:cs="宋体"/>
                <w:color w:val="auto"/>
                <w:szCs w:val="21"/>
              </w:rPr>
            </w:pPr>
          </w:p>
        </w:tc>
        <w:tc>
          <w:tcPr>
            <w:tcW w:w="61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路口</w:t>
            </w:r>
          </w:p>
        </w:tc>
        <w:tc>
          <w:tcPr>
            <w:tcW w:w="6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1</w:t>
            </w: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570" w:type="dxa"/>
            <w:vMerge w:val="continue"/>
            <w:vAlign w:val="center"/>
          </w:tcPr>
          <w:p>
            <w:pPr>
              <w:jc w:val="center"/>
              <w:rPr>
                <w:rFonts w:hint="eastAsia" w:ascii="宋体" w:hAnsi="宋体" w:eastAsia="宋体" w:cs="宋体"/>
                <w:color w:val="auto"/>
                <w:szCs w:val="21"/>
              </w:rPr>
            </w:pPr>
          </w:p>
        </w:tc>
        <w:tc>
          <w:tcPr>
            <w:tcW w:w="1260" w:type="dxa"/>
            <w:vAlign w:val="center"/>
          </w:tcPr>
          <w:p>
            <w:pPr>
              <w:widowControl/>
              <w:jc w:val="center"/>
              <w:textAlignment w:val="center"/>
              <w:rPr>
                <w:rFonts w:hint="eastAsia" w:ascii="宋体" w:hAnsi="宋体" w:eastAsia="宋体" w:cs="宋体"/>
                <w:color w:val="auto"/>
                <w:szCs w:val="21"/>
              </w:rPr>
            </w:pPr>
            <w:r>
              <w:rPr>
                <w:rFonts w:hint="eastAsia" w:ascii="宋体" w:hAnsi="宋体" w:cs="宋体"/>
                <w:color w:val="000000"/>
                <w:kern w:val="0"/>
                <w:sz w:val="24"/>
                <w:lang w:bidi="ar"/>
              </w:rPr>
              <w:t>税费</w:t>
            </w:r>
          </w:p>
        </w:tc>
        <w:tc>
          <w:tcPr>
            <w:tcW w:w="3669" w:type="dxa"/>
            <w:vAlign w:val="center"/>
          </w:tcPr>
          <w:p>
            <w:pPr>
              <w:jc w:val="center"/>
              <w:rPr>
                <w:rFonts w:hint="eastAsia" w:ascii="宋体" w:hAnsi="宋体" w:eastAsia="宋体" w:cs="宋体"/>
                <w:color w:val="auto"/>
                <w:szCs w:val="21"/>
              </w:rPr>
            </w:pPr>
          </w:p>
        </w:tc>
        <w:tc>
          <w:tcPr>
            <w:tcW w:w="610" w:type="dxa"/>
            <w:vAlign w:val="center"/>
          </w:tcPr>
          <w:p>
            <w:pPr>
              <w:widowControl/>
              <w:jc w:val="center"/>
              <w:textAlignment w:val="center"/>
              <w:rPr>
                <w:rFonts w:hint="eastAsia" w:ascii="宋体" w:hAnsi="宋体" w:eastAsia="宋体" w:cs="宋体"/>
                <w:color w:val="auto"/>
                <w:szCs w:val="21"/>
              </w:rPr>
            </w:pPr>
          </w:p>
        </w:tc>
        <w:tc>
          <w:tcPr>
            <w:tcW w:w="660" w:type="dxa"/>
            <w:vAlign w:val="center"/>
          </w:tcPr>
          <w:p>
            <w:pPr>
              <w:widowControl/>
              <w:jc w:val="center"/>
              <w:textAlignment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560" w:type="dxa"/>
            <w:vAlign w:val="center"/>
          </w:tcPr>
          <w:p>
            <w:pPr>
              <w:jc w:val="center"/>
              <w:rPr>
                <w:rFonts w:hint="eastAsia" w:ascii="宋体" w:hAnsi="宋体" w:eastAsia="宋体" w:cs="宋体"/>
                <w:color w:val="auto"/>
                <w:szCs w:val="21"/>
              </w:rPr>
            </w:pPr>
          </w:p>
        </w:tc>
        <w:tc>
          <w:tcPr>
            <w:tcW w:w="931" w:type="dxa"/>
            <w:vAlign w:val="center"/>
          </w:tcPr>
          <w:p>
            <w:pPr>
              <w:jc w:val="center"/>
              <w:rPr>
                <w:rFonts w:hint="eastAsia" w:ascii="宋体" w:hAnsi="宋体" w:eastAsia="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jc w:val="center"/>
        </w:trPr>
        <w:tc>
          <w:tcPr>
            <w:tcW w:w="1830" w:type="dxa"/>
            <w:gridSpan w:val="2"/>
            <w:vAlign w:val="center"/>
          </w:tcPr>
          <w:p>
            <w:pPr>
              <w:widowControl/>
              <w:jc w:val="center"/>
              <w:textAlignment w:val="center"/>
              <w:rPr>
                <w:rFonts w:hint="eastAsia" w:ascii="宋体" w:hAnsi="宋体" w:eastAsia="宋体" w:cs="宋体"/>
                <w:color w:val="auto"/>
                <w:kern w:val="0"/>
                <w:szCs w:val="21"/>
              </w:rPr>
            </w:pPr>
            <w:r>
              <w:rPr>
                <w:rFonts w:hint="eastAsia" w:ascii="宋体" w:hAnsi="宋体" w:eastAsia="宋体" w:cs="宋体"/>
                <w:color w:val="auto"/>
                <w:kern w:val="0"/>
                <w:szCs w:val="21"/>
              </w:rPr>
              <w:t>合计</w:t>
            </w:r>
          </w:p>
        </w:tc>
        <w:tc>
          <w:tcPr>
            <w:tcW w:w="6990" w:type="dxa"/>
            <w:gridSpan w:val="6"/>
            <w:vAlign w:val="center"/>
          </w:tcPr>
          <w:p>
            <w:pPr>
              <w:widowControl/>
              <w:jc w:val="center"/>
              <w:textAlignment w:val="center"/>
              <w:rPr>
                <w:rFonts w:hint="eastAsia" w:ascii="宋体" w:hAnsi="宋体" w:eastAsia="宋体" w:cs="宋体"/>
                <w:color w:val="auto"/>
                <w:kern w:val="0"/>
                <w:szCs w:val="21"/>
              </w:rPr>
            </w:pPr>
          </w:p>
        </w:tc>
      </w:tr>
    </w:tbl>
    <w:p>
      <w:pPr>
        <w:autoSpaceDE w:val="0"/>
        <w:autoSpaceDN w:val="0"/>
        <w:adjustRightInd w:val="0"/>
        <w:jc w:val="left"/>
        <w:rPr>
          <w:rFonts w:hint="eastAsia" w:ascii="宋体" w:hAnsi="宋体" w:eastAsia="宋体" w:cs="宋体"/>
          <w:color w:val="auto"/>
          <w:szCs w:val="21"/>
        </w:rPr>
      </w:pPr>
    </w:p>
    <w:p>
      <w:pPr>
        <w:rPr>
          <w:rFonts w:hint="eastAsia" w:ascii="宋体" w:hAnsi="宋体" w:eastAsia="宋体" w:cs="宋体"/>
          <w:bCs/>
          <w:color w:val="auto"/>
        </w:rPr>
      </w:pPr>
    </w:p>
    <w:p>
      <w:pPr>
        <w:widowControl/>
        <w:spacing w:line="500" w:lineRule="exact"/>
        <w:jc w:val="both"/>
        <w:rPr>
          <w:rFonts w:hint="eastAsia" w:ascii="黑体" w:hAnsi="Times New Roman" w:eastAsia="黑体" w:cs="宋体"/>
          <w:b/>
          <w:bCs/>
          <w:color w:val="auto"/>
          <w:kern w:val="0"/>
          <w:sz w:val="32"/>
          <w:szCs w:val="32"/>
        </w:rPr>
      </w:pPr>
    </w:p>
    <w:p>
      <w:pPr>
        <w:widowControl/>
        <w:spacing w:line="500" w:lineRule="exact"/>
        <w:jc w:val="both"/>
        <w:rPr>
          <w:rFonts w:hint="eastAsia" w:ascii="黑体" w:hAnsi="Times New Roman" w:eastAsia="黑体" w:cs="宋体"/>
          <w:b/>
          <w:bCs/>
          <w:color w:val="auto"/>
          <w:kern w:val="0"/>
          <w:sz w:val="32"/>
          <w:szCs w:val="32"/>
        </w:rPr>
      </w:pPr>
    </w:p>
    <w:p>
      <w:pPr>
        <w:widowControl/>
        <w:spacing w:line="500" w:lineRule="exact"/>
        <w:jc w:val="both"/>
        <w:rPr>
          <w:rFonts w:hint="eastAsia" w:ascii="黑体" w:hAnsi="Times New Roman" w:eastAsia="黑体" w:cs="宋体"/>
          <w:b/>
          <w:bCs/>
          <w:color w:val="auto"/>
          <w:kern w:val="0"/>
          <w:sz w:val="32"/>
          <w:szCs w:val="32"/>
        </w:rPr>
      </w:pPr>
    </w:p>
    <w:p>
      <w:pPr>
        <w:widowControl/>
        <w:spacing w:line="500" w:lineRule="exact"/>
        <w:jc w:val="both"/>
        <w:rPr>
          <w:rFonts w:hint="eastAsia" w:ascii="黑体" w:hAnsi="Times New Roman" w:eastAsia="黑体" w:cs="宋体"/>
          <w:b/>
          <w:bCs/>
          <w:color w:val="auto"/>
          <w:kern w:val="0"/>
          <w:sz w:val="32"/>
          <w:szCs w:val="32"/>
        </w:rPr>
      </w:pPr>
    </w:p>
    <w:p>
      <w:pPr>
        <w:widowControl/>
        <w:spacing w:line="500" w:lineRule="exact"/>
        <w:jc w:val="both"/>
        <w:rPr>
          <w:rFonts w:hint="eastAsia" w:ascii="黑体" w:hAnsi="Times New Roman" w:eastAsia="黑体" w:cs="宋体"/>
          <w:b/>
          <w:bCs/>
          <w:color w:val="auto"/>
          <w:kern w:val="0"/>
          <w:sz w:val="32"/>
          <w:szCs w:val="32"/>
        </w:rPr>
      </w:pPr>
    </w:p>
    <w:p>
      <w:pPr>
        <w:widowControl/>
        <w:spacing w:line="500" w:lineRule="exact"/>
        <w:jc w:val="both"/>
        <w:rPr>
          <w:rFonts w:hint="eastAsia" w:ascii="黑体" w:hAnsi="Times New Roman" w:eastAsia="黑体" w:cs="宋体"/>
          <w:b/>
          <w:bCs/>
          <w:color w:val="auto"/>
          <w:kern w:val="0"/>
          <w:sz w:val="32"/>
          <w:szCs w:val="32"/>
        </w:rPr>
      </w:pPr>
    </w:p>
    <w:p>
      <w:pPr>
        <w:widowControl/>
        <w:spacing w:line="500" w:lineRule="exact"/>
        <w:jc w:val="both"/>
        <w:rPr>
          <w:rFonts w:hint="eastAsia" w:ascii="黑体" w:hAnsi="Times New Roman" w:eastAsia="黑体" w:cs="宋体"/>
          <w:b/>
          <w:bCs/>
          <w:color w:val="auto"/>
          <w:kern w:val="0"/>
          <w:sz w:val="32"/>
          <w:szCs w:val="32"/>
        </w:rPr>
      </w:pPr>
    </w:p>
    <w:p>
      <w:pPr>
        <w:widowControl/>
        <w:spacing w:line="500" w:lineRule="exact"/>
        <w:jc w:val="both"/>
        <w:rPr>
          <w:rFonts w:hint="eastAsia" w:ascii="黑体" w:hAnsi="Times New Roman" w:eastAsia="黑体" w:cs="宋体"/>
          <w:b/>
          <w:bCs/>
          <w:color w:val="auto"/>
          <w:kern w:val="0"/>
          <w:sz w:val="32"/>
          <w:szCs w:val="32"/>
        </w:rPr>
      </w:pPr>
    </w:p>
    <w:p>
      <w:pPr>
        <w:widowControl/>
        <w:spacing w:line="500" w:lineRule="exact"/>
        <w:jc w:val="center"/>
        <w:rPr>
          <w:rFonts w:hint="eastAsia" w:ascii="黑体" w:hAnsi="Times New Roman" w:eastAsia="黑体" w:cs="宋体"/>
          <w:b/>
          <w:bCs/>
          <w:color w:val="auto"/>
          <w:kern w:val="0"/>
          <w:sz w:val="32"/>
          <w:szCs w:val="32"/>
        </w:rPr>
      </w:pPr>
    </w:p>
    <w:p>
      <w:pPr>
        <w:widowControl/>
        <w:spacing w:line="500" w:lineRule="exact"/>
        <w:jc w:val="center"/>
        <w:rPr>
          <w:rFonts w:hint="eastAsia" w:ascii="黑体" w:hAnsi="Times New Roman" w:eastAsia="黑体" w:cs="宋体"/>
          <w:b/>
          <w:bCs/>
          <w:color w:val="auto"/>
          <w:kern w:val="0"/>
          <w:sz w:val="32"/>
          <w:szCs w:val="32"/>
        </w:rPr>
      </w:pPr>
    </w:p>
    <w:p>
      <w:pPr>
        <w:widowControl/>
        <w:spacing w:line="500" w:lineRule="exact"/>
        <w:jc w:val="center"/>
        <w:rPr>
          <w:rFonts w:hint="eastAsia" w:ascii="黑体" w:hAnsi="Times New Roman" w:eastAsia="黑体" w:cs="宋体"/>
          <w:b/>
          <w:bCs/>
          <w:color w:val="auto"/>
          <w:kern w:val="0"/>
          <w:sz w:val="32"/>
          <w:szCs w:val="32"/>
        </w:rPr>
      </w:pPr>
    </w:p>
    <w:p>
      <w:pPr>
        <w:widowControl/>
        <w:spacing w:line="500" w:lineRule="exact"/>
        <w:jc w:val="center"/>
        <w:rPr>
          <w:rFonts w:hint="eastAsia" w:ascii="黑体" w:hAnsi="Times New Roman" w:eastAsia="黑体" w:cs="宋体"/>
          <w:b/>
          <w:bCs/>
          <w:color w:val="auto"/>
          <w:kern w:val="0"/>
          <w:sz w:val="32"/>
          <w:szCs w:val="32"/>
        </w:rPr>
      </w:pPr>
    </w:p>
    <w:p>
      <w:pPr>
        <w:widowControl/>
        <w:spacing w:line="500" w:lineRule="exact"/>
        <w:jc w:val="center"/>
        <w:rPr>
          <w:rFonts w:ascii="黑体" w:hAnsi="Times New Roman" w:eastAsia="黑体" w:cs="宋体"/>
          <w:b/>
          <w:bCs/>
          <w:color w:val="auto"/>
          <w:kern w:val="0"/>
          <w:sz w:val="32"/>
          <w:szCs w:val="32"/>
        </w:rPr>
      </w:pPr>
      <w:r>
        <w:rPr>
          <w:rFonts w:hint="eastAsia" w:ascii="黑体" w:hAnsi="Times New Roman" w:eastAsia="黑体" w:cs="宋体"/>
          <w:b/>
          <w:bCs/>
          <w:color w:val="auto"/>
          <w:kern w:val="0"/>
          <w:sz w:val="32"/>
          <w:szCs w:val="32"/>
        </w:rPr>
        <w:t>第四章   合同</w:t>
      </w:r>
      <w:bookmarkEnd w:id="1"/>
      <w:bookmarkStart w:id="3" w:name="_Toc11326"/>
      <w:r>
        <w:rPr>
          <w:rFonts w:hint="eastAsia" w:ascii="黑体" w:hAnsi="Times New Roman" w:eastAsia="黑体" w:cs="宋体"/>
          <w:b/>
          <w:bCs/>
          <w:color w:val="auto"/>
          <w:kern w:val="0"/>
          <w:sz w:val="32"/>
          <w:szCs w:val="32"/>
        </w:rPr>
        <w:t>签订及条款</w:t>
      </w:r>
      <w:bookmarkEnd w:id="2"/>
    </w:p>
    <w:p>
      <w:pPr>
        <w:pStyle w:val="3"/>
        <w:spacing w:line="360" w:lineRule="exact"/>
        <w:jc w:val="both"/>
        <w:rPr>
          <w:rFonts w:ascii="Times New Roman" w:hAnsi="Times New Roman" w:eastAsia="宋体"/>
          <w:b w:val="0"/>
          <w:color w:val="auto"/>
          <w:sz w:val="21"/>
          <w:szCs w:val="21"/>
        </w:rPr>
      </w:pPr>
    </w:p>
    <w:p>
      <w:pPr>
        <w:pStyle w:val="3"/>
        <w:rPr>
          <w:rFonts w:ascii="方正黑体简体" w:eastAsia="方正黑体简体"/>
          <w:color w:val="auto"/>
          <w:sz w:val="30"/>
          <w:szCs w:val="30"/>
        </w:rPr>
      </w:pPr>
      <w:bookmarkStart w:id="4" w:name="_Toc13860"/>
      <w:r>
        <w:rPr>
          <w:rFonts w:hint="eastAsia" w:hAnsi="Times New Roman"/>
          <w:color w:val="auto"/>
        </w:rPr>
        <w:t>1.</w:t>
      </w:r>
      <w:r>
        <w:rPr>
          <w:rFonts w:hint="eastAsia"/>
          <w:color w:val="auto"/>
        </w:rPr>
        <w:t>合同</w:t>
      </w:r>
      <w:bookmarkEnd w:id="3"/>
      <w:r>
        <w:rPr>
          <w:rFonts w:hint="eastAsia"/>
          <w:color w:val="auto"/>
        </w:rPr>
        <w:t>签订</w:t>
      </w:r>
      <w:bookmarkEnd w:id="4"/>
    </w:p>
    <w:p>
      <w:pPr>
        <w:spacing w:line="360" w:lineRule="exact"/>
        <w:outlineLvl w:val="1"/>
        <w:rPr>
          <w:rFonts w:ascii="宋体" w:hAnsi="宋体"/>
          <w:color w:val="auto"/>
          <w:szCs w:val="21"/>
        </w:rPr>
      </w:pPr>
    </w:p>
    <w:p>
      <w:pPr>
        <w:spacing w:line="420" w:lineRule="exact"/>
        <w:rPr>
          <w:rFonts w:ascii="宋体" w:hAnsi="宋体"/>
          <w:color w:val="auto"/>
          <w:szCs w:val="21"/>
        </w:rPr>
      </w:pPr>
      <w:r>
        <w:rPr>
          <w:rFonts w:hint="eastAsia" w:ascii="宋体" w:hAnsi="宋体"/>
          <w:color w:val="auto"/>
          <w:kern w:val="0"/>
          <w:szCs w:val="21"/>
        </w:rPr>
        <w:t>1.1</w:t>
      </w:r>
      <w:r>
        <w:rPr>
          <w:rFonts w:hint="eastAsia" w:ascii="宋体" w:hAnsi="宋体"/>
          <w:color w:val="auto"/>
          <w:szCs w:val="21"/>
        </w:rPr>
        <w:t>中标人应按中标通知书指定的时间、地点，与采购人签订合同。中标人与采购人不得签订背离谈判文件实质性内容的合同，否则合同无效。</w:t>
      </w:r>
    </w:p>
    <w:p>
      <w:pPr>
        <w:spacing w:line="420" w:lineRule="exact"/>
        <w:rPr>
          <w:rFonts w:ascii="宋体" w:hAnsi="宋体"/>
          <w:color w:val="auto"/>
          <w:szCs w:val="21"/>
        </w:rPr>
      </w:pPr>
      <w:r>
        <w:rPr>
          <w:rFonts w:hint="eastAsia" w:ascii="宋体" w:hAnsi="宋体"/>
          <w:color w:val="auto"/>
          <w:kern w:val="0"/>
          <w:szCs w:val="21"/>
        </w:rPr>
        <w:t xml:space="preserve">1.2 </w:t>
      </w:r>
      <w:r>
        <w:rPr>
          <w:rFonts w:hint="eastAsia" w:ascii="宋体" w:hAnsi="宋体"/>
          <w:color w:val="auto"/>
          <w:szCs w:val="21"/>
        </w:rPr>
        <w:t>如采购人或中标人拒签合同，则按违约处理。</w:t>
      </w:r>
    </w:p>
    <w:p>
      <w:pPr>
        <w:spacing w:line="420" w:lineRule="exact"/>
        <w:rPr>
          <w:rFonts w:ascii="宋体" w:hAnsi="宋体"/>
          <w:color w:val="auto"/>
          <w:szCs w:val="21"/>
        </w:rPr>
      </w:pPr>
      <w:r>
        <w:rPr>
          <w:rFonts w:hint="eastAsia" w:ascii="宋体" w:hAnsi="宋体"/>
          <w:color w:val="auto"/>
          <w:kern w:val="0"/>
          <w:szCs w:val="21"/>
        </w:rPr>
        <w:t>1.3</w:t>
      </w:r>
      <w:r>
        <w:rPr>
          <w:rFonts w:hint="eastAsia" w:ascii="宋体" w:hAnsi="宋体"/>
          <w:color w:val="auto"/>
          <w:szCs w:val="21"/>
        </w:rPr>
        <w:t>如中标人不按本谈判文件要求签订合同，则取消其中标资格，所交纳的投标保证金不予退还。采购人并依法追究中标人的缔约过失责任及其他法律责任。</w:t>
      </w:r>
    </w:p>
    <w:p>
      <w:pPr>
        <w:spacing w:line="420" w:lineRule="exact"/>
        <w:rPr>
          <w:rFonts w:ascii="宋体" w:hAnsi="宋体"/>
          <w:color w:val="auto"/>
          <w:szCs w:val="21"/>
        </w:rPr>
      </w:pPr>
      <w:r>
        <w:rPr>
          <w:rFonts w:hint="eastAsia" w:ascii="宋体" w:hAnsi="宋体"/>
          <w:color w:val="auto"/>
          <w:szCs w:val="21"/>
        </w:rPr>
        <w:t>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p>
    <w:p>
      <w:pPr>
        <w:tabs>
          <w:tab w:val="left" w:pos="2730"/>
        </w:tabs>
        <w:spacing w:line="400" w:lineRule="exact"/>
        <w:ind w:firstLine="420" w:firstLineChars="200"/>
        <w:rPr>
          <w:rFonts w:ascii="宋体" w:hAnsi="宋体"/>
          <w:color w:val="auto"/>
          <w:szCs w:val="21"/>
        </w:rPr>
      </w:pPr>
      <w:r>
        <w:rPr>
          <w:rFonts w:ascii="宋体" w:hAnsi="宋体"/>
          <w:color w:val="auto"/>
          <w:szCs w:val="21"/>
        </w:rPr>
        <w:tab/>
      </w:r>
    </w:p>
    <w:p>
      <w:pPr>
        <w:pStyle w:val="3"/>
        <w:rPr>
          <w:rFonts w:ascii="方正黑体简体" w:eastAsia="方正黑体简体"/>
          <w:color w:val="auto"/>
          <w:sz w:val="28"/>
          <w:szCs w:val="28"/>
        </w:rPr>
      </w:pPr>
      <w:bookmarkStart w:id="5" w:name="_Toc9992"/>
      <w:bookmarkStart w:id="6" w:name="_Toc19323"/>
      <w:r>
        <w:rPr>
          <w:rFonts w:hint="eastAsia" w:ascii="方正黑体简体" w:eastAsia="方正黑体简体"/>
          <w:color w:val="auto"/>
          <w:sz w:val="28"/>
          <w:szCs w:val="28"/>
        </w:rPr>
        <w:t>2.合同一般条款</w:t>
      </w:r>
      <w:bookmarkEnd w:id="5"/>
    </w:p>
    <w:p>
      <w:pPr>
        <w:snapToGrid w:val="0"/>
        <w:spacing w:line="400" w:lineRule="exact"/>
        <w:rPr>
          <w:rFonts w:ascii="宋体" w:hAnsi="宋体"/>
          <w:bCs/>
          <w:color w:val="auto"/>
          <w:szCs w:val="21"/>
        </w:rPr>
      </w:pPr>
      <w:r>
        <w:rPr>
          <w:rFonts w:hint="eastAsia" w:ascii="宋体" w:hAnsi="宋体"/>
          <w:bCs/>
          <w:color w:val="auto"/>
          <w:szCs w:val="21"/>
        </w:rPr>
        <w:t>2.1、定义</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（1）甲方（需方）即采购人，是指通过招标采购，接受合同货物及服务的各级国家机关、事业单位和团体组织。</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（2）乙方（供方）即中标供应商，是指中标后提供合同货物和服务的自然人、法人及其他组织。</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（3）合同是指由甲乙双方按照谈判文件和响应文件的实质性内容，通过协商一致达成的书面协议。</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（4）合同价格指以中标价格为依据，在供方全面履行合同义务后，需方应支付给供方的金额。</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（5）技术资料是指合同货物及其相关的设计、制造、监造、检验、验收等文件（包括图纸、各种文字说明、标准）。</w:t>
      </w:r>
    </w:p>
    <w:p>
      <w:pPr>
        <w:snapToGrid w:val="0"/>
        <w:spacing w:line="380" w:lineRule="exact"/>
        <w:rPr>
          <w:rFonts w:ascii="宋体" w:hAnsi="宋体"/>
          <w:bCs/>
          <w:color w:val="auto"/>
          <w:szCs w:val="21"/>
        </w:rPr>
      </w:pPr>
      <w:r>
        <w:rPr>
          <w:rFonts w:hint="eastAsia" w:ascii="宋体" w:hAnsi="宋体"/>
          <w:bCs/>
          <w:color w:val="auto"/>
          <w:szCs w:val="21"/>
        </w:rPr>
        <w:t>2.2、货物内容</w:t>
      </w:r>
    </w:p>
    <w:p>
      <w:pPr>
        <w:snapToGrid w:val="0"/>
        <w:spacing w:line="380" w:lineRule="exact"/>
        <w:ind w:firstLine="420" w:firstLineChars="200"/>
        <w:rPr>
          <w:rFonts w:ascii="宋体" w:hAnsi="宋体"/>
          <w:color w:val="auto"/>
          <w:szCs w:val="21"/>
        </w:rPr>
      </w:pPr>
      <w:r>
        <w:rPr>
          <w:rFonts w:hint="eastAsia" w:ascii="宋体" w:hAnsi="宋体"/>
          <w:color w:val="auto"/>
          <w:szCs w:val="21"/>
        </w:rPr>
        <w:t>合同包括以下内容：</w:t>
      </w:r>
      <w:r>
        <w:rPr>
          <w:rFonts w:ascii="宋体" w:hAnsi="宋体"/>
          <w:color w:val="auto"/>
          <w:szCs w:val="21"/>
        </w:rPr>
        <w:t>货物名称</w:t>
      </w:r>
      <w:r>
        <w:rPr>
          <w:rFonts w:hint="eastAsia" w:ascii="宋体" w:hAnsi="宋体"/>
          <w:color w:val="auto"/>
          <w:szCs w:val="21"/>
        </w:rPr>
        <w:t>、</w:t>
      </w:r>
      <w:r>
        <w:rPr>
          <w:rFonts w:ascii="宋体" w:hAnsi="宋体"/>
          <w:color w:val="auto"/>
          <w:szCs w:val="21"/>
        </w:rPr>
        <w:t>规格型号</w:t>
      </w:r>
      <w:r>
        <w:rPr>
          <w:rFonts w:hint="eastAsia" w:ascii="宋体" w:hAnsi="宋体"/>
          <w:color w:val="auto"/>
          <w:szCs w:val="21"/>
        </w:rPr>
        <w:t>、</w:t>
      </w:r>
      <w:r>
        <w:rPr>
          <w:rFonts w:ascii="宋体" w:hAnsi="宋体"/>
          <w:color w:val="auto"/>
          <w:szCs w:val="21"/>
        </w:rPr>
        <w:t>技术参数</w:t>
      </w:r>
      <w:r>
        <w:rPr>
          <w:rFonts w:hint="eastAsia" w:ascii="宋体" w:hAnsi="宋体"/>
          <w:color w:val="auto"/>
          <w:szCs w:val="21"/>
        </w:rPr>
        <w:t>、</w:t>
      </w:r>
      <w:r>
        <w:rPr>
          <w:rFonts w:ascii="宋体" w:hAnsi="宋体"/>
          <w:color w:val="auto"/>
          <w:szCs w:val="21"/>
        </w:rPr>
        <w:t>数量（单位）</w:t>
      </w:r>
      <w:r>
        <w:rPr>
          <w:rFonts w:hint="eastAsia" w:ascii="宋体" w:hAnsi="宋体"/>
          <w:color w:val="auto"/>
          <w:szCs w:val="21"/>
        </w:rPr>
        <w:t>等内容。</w:t>
      </w:r>
    </w:p>
    <w:p>
      <w:pPr>
        <w:snapToGrid w:val="0"/>
        <w:spacing w:line="380" w:lineRule="exact"/>
        <w:rPr>
          <w:rFonts w:ascii="宋体" w:hAnsi="宋体"/>
          <w:bCs/>
          <w:color w:val="auto"/>
          <w:szCs w:val="21"/>
        </w:rPr>
      </w:pPr>
      <w:r>
        <w:rPr>
          <w:rFonts w:hint="eastAsia" w:ascii="宋体" w:hAnsi="宋体"/>
          <w:bCs/>
          <w:color w:val="auto"/>
          <w:szCs w:val="21"/>
        </w:rPr>
        <w:t>2.3、合同价格</w:t>
      </w:r>
    </w:p>
    <w:p>
      <w:pPr>
        <w:snapToGrid w:val="0"/>
        <w:spacing w:line="380" w:lineRule="exact"/>
        <w:ind w:firstLine="210" w:firstLineChars="100"/>
        <w:rPr>
          <w:rFonts w:ascii="宋体" w:hAnsi="宋体"/>
          <w:bCs/>
          <w:color w:val="auto"/>
          <w:szCs w:val="21"/>
        </w:rPr>
      </w:pPr>
      <w:r>
        <w:rPr>
          <w:rFonts w:hint="eastAsia" w:ascii="宋体" w:hAnsi="宋体"/>
          <w:bCs/>
          <w:color w:val="auto"/>
          <w:szCs w:val="21"/>
        </w:rPr>
        <w:t>（1）合同价格即合同总价。</w:t>
      </w:r>
    </w:p>
    <w:p>
      <w:pPr>
        <w:snapToGrid w:val="0"/>
        <w:spacing w:line="38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2</w:t>
      </w:r>
      <w:r>
        <w:rPr>
          <w:rFonts w:hint="eastAsia" w:ascii="宋体" w:hAnsi="宋体"/>
          <w:bCs/>
          <w:color w:val="auto"/>
          <w:szCs w:val="21"/>
        </w:rPr>
        <w:t>）合同价格包括合同货物、技术资料、合同货物的税费、运杂费、保险费、包装费、装卸费及与货物有关的供方应纳的税费等，所有税费由乙方负担。</w:t>
      </w:r>
    </w:p>
    <w:p>
      <w:pPr>
        <w:snapToGrid w:val="0"/>
        <w:spacing w:line="420" w:lineRule="exact"/>
        <w:rPr>
          <w:rFonts w:ascii="宋体" w:hAnsi="宋体"/>
          <w:bCs/>
          <w:color w:val="auto"/>
          <w:szCs w:val="21"/>
        </w:rPr>
      </w:pPr>
      <w:r>
        <w:rPr>
          <w:rFonts w:hint="eastAsia" w:ascii="宋体" w:hAnsi="宋体"/>
          <w:bCs/>
          <w:color w:val="auto"/>
          <w:szCs w:val="21"/>
        </w:rPr>
        <w:t>2.4</w:t>
      </w:r>
      <w:r>
        <w:rPr>
          <w:rFonts w:hint="eastAsia" w:ascii="黑体" w:hAnsi="宋体" w:eastAsia="黑体"/>
          <w:bCs/>
          <w:color w:val="auto"/>
          <w:szCs w:val="21"/>
        </w:rPr>
        <w:t>、</w:t>
      </w:r>
      <w:r>
        <w:rPr>
          <w:rFonts w:hint="eastAsia" w:ascii="宋体" w:hAnsi="宋体"/>
          <w:bCs/>
          <w:color w:val="auto"/>
          <w:szCs w:val="21"/>
        </w:rPr>
        <w:t>转包或分包</w:t>
      </w:r>
    </w:p>
    <w:p>
      <w:pPr>
        <w:snapToGrid w:val="0"/>
        <w:spacing w:line="420" w:lineRule="exact"/>
        <w:ind w:firstLine="210" w:firstLineChars="100"/>
        <w:rPr>
          <w:rFonts w:ascii="宋体" w:hAnsi="宋体"/>
          <w:bCs/>
          <w:color w:val="auto"/>
          <w:szCs w:val="21"/>
        </w:rPr>
      </w:pPr>
      <w:r>
        <w:rPr>
          <w:rFonts w:hint="eastAsia" w:ascii="宋体" w:hAnsi="宋体"/>
          <w:bCs/>
          <w:color w:val="auto"/>
          <w:szCs w:val="21"/>
        </w:rPr>
        <w:t>（1）本合同范围的货物，应由</w:t>
      </w:r>
      <w:r>
        <w:rPr>
          <w:rFonts w:ascii="宋体" w:hAnsi="宋体"/>
          <w:bCs/>
          <w:color w:val="auto"/>
          <w:szCs w:val="21"/>
        </w:rPr>
        <w:t>乙</w:t>
      </w:r>
      <w:r>
        <w:rPr>
          <w:rFonts w:hint="eastAsia" w:ascii="宋体" w:hAnsi="宋体"/>
          <w:bCs/>
          <w:color w:val="auto"/>
          <w:szCs w:val="21"/>
        </w:rPr>
        <w:t>方直接供应，不得转让他人供应；</w:t>
      </w:r>
    </w:p>
    <w:p>
      <w:pPr>
        <w:snapToGrid w:val="0"/>
        <w:spacing w:line="420" w:lineRule="exact"/>
        <w:ind w:firstLine="210" w:firstLineChars="100"/>
        <w:rPr>
          <w:rFonts w:ascii="宋体" w:hAnsi="宋体"/>
          <w:bCs/>
          <w:color w:val="auto"/>
          <w:szCs w:val="21"/>
        </w:rPr>
      </w:pPr>
      <w:r>
        <w:rPr>
          <w:rFonts w:hint="eastAsia" w:ascii="宋体" w:hAnsi="宋体"/>
          <w:bCs/>
          <w:color w:val="auto"/>
          <w:szCs w:val="21"/>
        </w:rPr>
        <w:t>（2）非经</w:t>
      </w:r>
      <w:r>
        <w:rPr>
          <w:rFonts w:ascii="宋体" w:hAnsi="宋体"/>
          <w:bCs/>
          <w:color w:val="auto"/>
          <w:szCs w:val="21"/>
        </w:rPr>
        <w:t>甲</w:t>
      </w:r>
      <w:r>
        <w:rPr>
          <w:rFonts w:hint="eastAsia" w:ascii="宋体" w:hAnsi="宋体"/>
          <w:bCs/>
          <w:color w:val="auto"/>
          <w:szCs w:val="21"/>
        </w:rPr>
        <w:t>方书面同意，</w:t>
      </w:r>
      <w:r>
        <w:rPr>
          <w:rFonts w:ascii="宋体" w:hAnsi="宋体"/>
          <w:bCs/>
          <w:color w:val="auto"/>
          <w:szCs w:val="21"/>
        </w:rPr>
        <w:t>乙</w:t>
      </w:r>
      <w:r>
        <w:rPr>
          <w:rFonts w:hint="eastAsia" w:ascii="宋体" w:hAnsi="宋体"/>
          <w:bCs/>
          <w:color w:val="auto"/>
          <w:szCs w:val="21"/>
        </w:rPr>
        <w:t>方不得将本合同范围的货物全部或部分分包给他人供应；</w:t>
      </w:r>
    </w:p>
    <w:p>
      <w:pPr>
        <w:snapToGrid w:val="0"/>
        <w:spacing w:line="420" w:lineRule="exact"/>
        <w:ind w:firstLine="210" w:firstLineChars="100"/>
        <w:rPr>
          <w:rFonts w:ascii="宋体" w:hAnsi="宋体"/>
          <w:bCs/>
          <w:color w:val="auto"/>
          <w:szCs w:val="21"/>
        </w:rPr>
      </w:pPr>
      <w:r>
        <w:rPr>
          <w:rFonts w:hint="eastAsia" w:ascii="宋体" w:hAnsi="宋体"/>
          <w:bCs/>
          <w:color w:val="auto"/>
          <w:szCs w:val="21"/>
        </w:rPr>
        <w:t>（3）如有转让和未经</w:t>
      </w:r>
      <w:r>
        <w:rPr>
          <w:rFonts w:ascii="宋体" w:hAnsi="宋体"/>
          <w:bCs/>
          <w:color w:val="auto"/>
          <w:szCs w:val="21"/>
        </w:rPr>
        <w:t>甲</w:t>
      </w:r>
      <w:r>
        <w:rPr>
          <w:rFonts w:hint="eastAsia" w:ascii="宋体" w:hAnsi="宋体"/>
          <w:bCs/>
          <w:color w:val="auto"/>
          <w:szCs w:val="21"/>
        </w:rPr>
        <w:t>方同意的分包行为，</w:t>
      </w:r>
      <w:r>
        <w:rPr>
          <w:rFonts w:ascii="宋体" w:hAnsi="宋体"/>
          <w:bCs/>
          <w:color w:val="auto"/>
          <w:szCs w:val="21"/>
        </w:rPr>
        <w:t>甲</w:t>
      </w:r>
      <w:r>
        <w:rPr>
          <w:rFonts w:hint="eastAsia" w:ascii="宋体" w:hAnsi="宋体"/>
          <w:bCs/>
          <w:color w:val="auto"/>
          <w:szCs w:val="21"/>
        </w:rPr>
        <w:t>方有权解除合同，履约保证金不予退还并追究乙方的违约责任。</w:t>
      </w:r>
    </w:p>
    <w:p>
      <w:pPr>
        <w:pStyle w:val="11"/>
        <w:spacing w:line="420" w:lineRule="exact"/>
        <w:rPr>
          <w:rFonts w:hAnsi="宋体"/>
          <w:color w:val="auto"/>
        </w:rPr>
      </w:pPr>
      <w:r>
        <w:rPr>
          <w:rFonts w:hint="eastAsia" w:hAnsi="宋体"/>
          <w:bCs/>
          <w:color w:val="auto"/>
        </w:rPr>
        <w:t>2.5、</w:t>
      </w:r>
      <w:r>
        <w:rPr>
          <w:rFonts w:hAnsi="宋体"/>
          <w:bCs/>
          <w:color w:val="auto"/>
        </w:rPr>
        <w:t>质量保证及售后服务</w:t>
      </w:r>
    </w:p>
    <w:p>
      <w:pPr>
        <w:pStyle w:val="11"/>
        <w:spacing w:line="420" w:lineRule="exact"/>
        <w:ind w:firstLine="420" w:firstLineChars="200"/>
        <w:rPr>
          <w:rFonts w:hAnsi="宋体"/>
          <w:color w:val="auto"/>
        </w:rPr>
      </w:pPr>
      <w:r>
        <w:rPr>
          <w:rFonts w:hint="eastAsia" w:hAnsi="宋体"/>
          <w:color w:val="auto"/>
        </w:rPr>
        <w:t>（1）</w:t>
      </w:r>
      <w:r>
        <w:rPr>
          <w:rFonts w:hAnsi="宋体"/>
          <w:color w:val="auto"/>
        </w:rPr>
        <w:t>乙方应按</w:t>
      </w:r>
      <w:r>
        <w:rPr>
          <w:rFonts w:hint="eastAsia" w:hAnsi="宋体"/>
          <w:color w:val="auto"/>
        </w:rPr>
        <w:t>谈判</w:t>
      </w:r>
      <w:r>
        <w:rPr>
          <w:rFonts w:hAnsi="宋体"/>
          <w:color w:val="auto"/>
        </w:rPr>
        <w:t>文件规定的货物性能、技术要求、质量标准向甲方提供未经使用的全新产品。</w:t>
      </w:r>
    </w:p>
    <w:p>
      <w:pPr>
        <w:pStyle w:val="11"/>
        <w:spacing w:line="400" w:lineRule="exact"/>
        <w:ind w:firstLine="420" w:firstLineChars="200"/>
        <w:rPr>
          <w:rFonts w:hAnsi="宋体"/>
          <w:color w:val="auto"/>
        </w:rPr>
      </w:pPr>
      <w:r>
        <w:rPr>
          <w:rFonts w:hint="eastAsia" w:hAnsi="宋体"/>
          <w:color w:val="auto"/>
        </w:rPr>
        <w:t>（2）</w:t>
      </w:r>
      <w:r>
        <w:rPr>
          <w:rFonts w:hAnsi="宋体"/>
          <w:color w:val="auto"/>
        </w:rPr>
        <w:t>乙方提供的货物在质</w:t>
      </w:r>
      <w:r>
        <w:rPr>
          <w:rFonts w:hint="eastAsia" w:hAnsi="宋体"/>
          <w:color w:val="auto"/>
        </w:rPr>
        <w:t>保</w:t>
      </w:r>
      <w:r>
        <w:rPr>
          <w:rFonts w:hAnsi="宋体"/>
          <w:color w:val="auto"/>
        </w:rPr>
        <w:t>期内因货物本身的质量问题发生故障，乙方应负责免费更换。对达不到技术要求者，根据实际情况，经双方协商，可按以下办法处理：</w:t>
      </w:r>
    </w:p>
    <w:p>
      <w:pPr>
        <w:pStyle w:val="11"/>
        <w:spacing w:line="400" w:lineRule="exact"/>
        <w:ind w:firstLine="420" w:firstLineChars="200"/>
        <w:rPr>
          <w:rFonts w:hAnsi="宋体"/>
          <w:color w:val="auto"/>
        </w:rPr>
      </w:pPr>
      <w:r>
        <w:rPr>
          <w:rFonts w:hint="eastAsia" w:hAnsi="宋体"/>
          <w:color w:val="auto"/>
        </w:rPr>
        <w:t>A、</w:t>
      </w:r>
      <w:r>
        <w:rPr>
          <w:rFonts w:hAnsi="宋体"/>
          <w:color w:val="auto"/>
        </w:rPr>
        <w:t>更换：由乙方承担所发生的全部费用。</w:t>
      </w:r>
    </w:p>
    <w:p>
      <w:pPr>
        <w:pStyle w:val="11"/>
        <w:spacing w:line="400" w:lineRule="exact"/>
        <w:ind w:firstLine="420" w:firstLineChars="200"/>
        <w:rPr>
          <w:rFonts w:hAnsi="宋体"/>
          <w:color w:val="auto"/>
        </w:rPr>
      </w:pPr>
      <w:r>
        <w:rPr>
          <w:rFonts w:hint="eastAsia" w:hAnsi="宋体"/>
          <w:color w:val="auto"/>
        </w:rPr>
        <w:t>B、</w:t>
      </w:r>
      <w:r>
        <w:rPr>
          <w:rFonts w:hAnsi="宋体"/>
          <w:color w:val="auto"/>
        </w:rPr>
        <w:t>退货处理：乙方应退还甲方支付的合同款，同时应承担该货物的直接费用（运输、保险、检验、货款利息及银行手续费等）。</w:t>
      </w:r>
    </w:p>
    <w:p>
      <w:pPr>
        <w:pStyle w:val="11"/>
        <w:spacing w:line="400" w:lineRule="exact"/>
        <w:ind w:firstLine="420" w:firstLineChars="200"/>
        <w:rPr>
          <w:rFonts w:hAnsi="宋体"/>
          <w:color w:val="auto"/>
        </w:rPr>
      </w:pPr>
      <w:r>
        <w:rPr>
          <w:rFonts w:hint="eastAsia" w:hAnsi="宋体"/>
          <w:color w:val="auto"/>
        </w:rPr>
        <w:t>（3）</w:t>
      </w:r>
      <w:r>
        <w:rPr>
          <w:rFonts w:hAnsi="宋体"/>
          <w:color w:val="auto"/>
        </w:rPr>
        <w:t>如在使用过程中发生质量问题，乙方在接到甲方通知后在</w:t>
      </w:r>
      <w:r>
        <w:rPr>
          <w:rFonts w:hint="eastAsia" w:hAnsi="宋体"/>
          <w:color w:val="auto"/>
          <w:u w:val="single"/>
        </w:rPr>
        <w:t>X</w:t>
      </w:r>
      <w:r>
        <w:rPr>
          <w:rFonts w:hAnsi="宋体"/>
          <w:color w:val="auto"/>
        </w:rPr>
        <w:t>小时内到达甲方现场。</w:t>
      </w:r>
    </w:p>
    <w:p>
      <w:pPr>
        <w:pStyle w:val="11"/>
        <w:spacing w:line="400" w:lineRule="exact"/>
        <w:ind w:firstLine="420" w:firstLineChars="200"/>
        <w:rPr>
          <w:rFonts w:hAnsi="宋体"/>
          <w:color w:val="auto"/>
        </w:rPr>
      </w:pPr>
      <w:r>
        <w:rPr>
          <w:rFonts w:hint="eastAsia" w:hAnsi="宋体"/>
          <w:color w:val="auto"/>
        </w:rPr>
        <w:t>（4）</w:t>
      </w:r>
      <w:r>
        <w:rPr>
          <w:rFonts w:hAnsi="宋体"/>
          <w:color w:val="auto"/>
        </w:rPr>
        <w:t>在质保期内，乙方应对货物出现的质量及安全问题负责处理解决并承担一切费用。</w:t>
      </w:r>
    </w:p>
    <w:p>
      <w:pPr>
        <w:pStyle w:val="11"/>
        <w:spacing w:line="400" w:lineRule="exact"/>
        <w:ind w:firstLine="420" w:firstLineChars="200"/>
        <w:rPr>
          <w:rFonts w:hAnsi="宋体"/>
          <w:color w:val="auto"/>
        </w:rPr>
      </w:pPr>
      <w:r>
        <w:rPr>
          <w:rFonts w:hint="eastAsia" w:hAnsi="宋体"/>
          <w:color w:val="auto"/>
        </w:rPr>
        <w:t>（5）</w:t>
      </w:r>
      <w:r>
        <w:rPr>
          <w:rFonts w:hAnsi="宋体"/>
          <w:color w:val="auto"/>
        </w:rPr>
        <w:t>上述货物的免费保修期为</w:t>
      </w:r>
      <w:r>
        <w:rPr>
          <w:rFonts w:hint="eastAsia" w:hAnsi="宋体"/>
          <w:color w:val="auto"/>
          <w:u w:val="single"/>
        </w:rPr>
        <w:t>X</w:t>
      </w:r>
      <w:r>
        <w:rPr>
          <w:rFonts w:hAnsi="宋体"/>
          <w:color w:val="auto"/>
        </w:rPr>
        <w:t>年。超过保修期的机器设备，终生维修，维修时只收部件成本费。</w:t>
      </w:r>
    </w:p>
    <w:p>
      <w:pPr>
        <w:snapToGrid w:val="0"/>
        <w:spacing w:line="400" w:lineRule="exact"/>
        <w:ind w:firstLine="420" w:firstLineChars="200"/>
        <w:rPr>
          <w:rFonts w:ascii="宋体" w:hAnsi="宋体"/>
          <w:bCs/>
          <w:color w:val="auto"/>
          <w:szCs w:val="21"/>
        </w:rPr>
      </w:pPr>
      <w:r>
        <w:rPr>
          <w:rFonts w:hint="eastAsia" w:ascii="宋体" w:hAnsi="宋体"/>
          <w:bCs/>
          <w:color w:val="auto"/>
          <w:szCs w:val="21"/>
        </w:rPr>
        <w:t>（6）乙方提供的货物由原厂提供售后服务的，乙方必须提供原厂商出具的售后服务承诺函（原件）。</w:t>
      </w:r>
    </w:p>
    <w:p>
      <w:pPr>
        <w:snapToGrid w:val="0"/>
        <w:spacing w:line="400" w:lineRule="exact"/>
        <w:rPr>
          <w:rFonts w:ascii="宋体" w:hAnsi="宋体"/>
          <w:bCs/>
          <w:color w:val="auto"/>
          <w:szCs w:val="21"/>
        </w:rPr>
      </w:pPr>
      <w:r>
        <w:rPr>
          <w:rFonts w:hint="eastAsia" w:ascii="宋体" w:hAnsi="宋体"/>
          <w:bCs/>
          <w:color w:val="auto"/>
          <w:szCs w:val="21"/>
        </w:rPr>
        <w:t>2.6、付款</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1</w:t>
      </w:r>
      <w:r>
        <w:rPr>
          <w:rFonts w:hint="eastAsia" w:ascii="宋体" w:hAnsi="宋体"/>
          <w:bCs/>
          <w:color w:val="auto"/>
          <w:szCs w:val="21"/>
        </w:rPr>
        <w:t>）本合同使用货币币制为人民币。</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2</w:t>
      </w:r>
      <w:r>
        <w:rPr>
          <w:rFonts w:hint="eastAsia" w:ascii="宋体" w:hAnsi="宋体"/>
          <w:bCs/>
          <w:color w:val="auto"/>
          <w:szCs w:val="21"/>
        </w:rPr>
        <w:t xml:space="preserve">）付款方式及方法：按专用条款执行。 </w:t>
      </w:r>
    </w:p>
    <w:p>
      <w:pPr>
        <w:snapToGrid w:val="0"/>
        <w:spacing w:line="400" w:lineRule="exact"/>
        <w:rPr>
          <w:rFonts w:ascii="宋体" w:hAnsi="宋体"/>
          <w:bCs/>
          <w:color w:val="auto"/>
          <w:szCs w:val="21"/>
        </w:rPr>
      </w:pPr>
      <w:r>
        <w:rPr>
          <w:rFonts w:hint="eastAsia" w:ascii="宋体" w:hAnsi="宋体"/>
          <w:bCs/>
          <w:color w:val="auto"/>
          <w:szCs w:val="21"/>
        </w:rPr>
        <w:t>2.7、检查验收</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1</w:t>
      </w:r>
      <w:r>
        <w:rPr>
          <w:rFonts w:hint="eastAsia" w:ascii="宋体" w:hAnsi="宋体"/>
          <w:bCs/>
          <w:color w:val="auto"/>
          <w:szCs w:val="21"/>
        </w:rPr>
        <w:t>）供方应随货物提供合格证和质量证明文件，如是国外进口的货物还须提供入关证明。</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（2）货物验收</w:t>
      </w:r>
    </w:p>
    <w:p>
      <w:pPr>
        <w:snapToGrid w:val="0"/>
        <w:spacing w:line="400" w:lineRule="exact"/>
        <w:ind w:firstLine="570"/>
        <w:rPr>
          <w:rFonts w:ascii="宋体" w:hAnsi="宋体"/>
          <w:bCs/>
          <w:color w:val="auto"/>
          <w:szCs w:val="21"/>
        </w:rPr>
      </w:pPr>
      <w:r>
        <w:rPr>
          <w:rFonts w:hint="eastAsia" w:ascii="宋体" w:hAnsi="宋体"/>
          <w:bCs/>
          <w:color w:val="auto"/>
          <w:szCs w:val="21"/>
        </w:rPr>
        <w:t>需方所交货物的各种质量指标不得低于该投标文件中所提供的质量指标要求（供方提供样品的质量指标），售后服务质量要求按照谈判文件和响应文件的内容执行。供方交货时，需方可根据需要随机抽取一部分货物送有关权威检测部门检测，如检测不合格，供方负责赔偿需方一切损失。</w:t>
      </w:r>
    </w:p>
    <w:p>
      <w:pPr>
        <w:snapToGrid w:val="0"/>
        <w:spacing w:line="400" w:lineRule="exact"/>
        <w:ind w:firstLine="210" w:firstLineChars="100"/>
        <w:rPr>
          <w:rFonts w:ascii="宋体" w:hAnsi="宋体"/>
          <w:bCs/>
          <w:color w:val="auto"/>
          <w:szCs w:val="21"/>
        </w:rPr>
      </w:pPr>
      <w:r>
        <w:rPr>
          <w:rFonts w:hint="eastAsia" w:ascii="宋体" w:hAnsi="宋体"/>
          <w:bCs/>
          <w:color w:val="auto"/>
          <w:szCs w:val="21"/>
        </w:rPr>
        <w:t>（3）货物验收报告应由需方、供方经办人签字，并加盖双方公章，以此作为支付凭据。</w:t>
      </w:r>
    </w:p>
    <w:p>
      <w:pPr>
        <w:snapToGrid w:val="0"/>
        <w:spacing w:line="400" w:lineRule="exact"/>
        <w:rPr>
          <w:rFonts w:ascii="宋体" w:hAnsi="宋体"/>
          <w:bCs/>
          <w:color w:val="auto"/>
          <w:szCs w:val="21"/>
        </w:rPr>
      </w:pPr>
      <w:r>
        <w:rPr>
          <w:rFonts w:hint="eastAsia" w:ascii="宋体" w:hAnsi="宋体"/>
          <w:bCs/>
          <w:color w:val="auto"/>
          <w:szCs w:val="21"/>
        </w:rPr>
        <w:t>2.8、索赔</w:t>
      </w:r>
    </w:p>
    <w:p>
      <w:pPr>
        <w:snapToGrid w:val="0"/>
        <w:spacing w:line="400" w:lineRule="exact"/>
        <w:ind w:firstLine="420" w:firstLineChars="200"/>
        <w:rPr>
          <w:rFonts w:ascii="宋体" w:hAnsi="宋体"/>
          <w:bCs/>
          <w:color w:val="auto"/>
          <w:szCs w:val="21"/>
        </w:rPr>
      </w:pPr>
      <w:r>
        <w:rPr>
          <w:rFonts w:hint="eastAsia" w:ascii="宋体" w:hAnsi="宋体"/>
          <w:bCs/>
          <w:color w:val="auto"/>
          <w:szCs w:val="21"/>
        </w:rPr>
        <w:t>供方所提供货物、工程或者服务不符合合同约定的，需方有权拒收货物、拒绝服务、解除合同，供方应赔偿需方所有损失。</w:t>
      </w:r>
    </w:p>
    <w:p>
      <w:pPr>
        <w:pStyle w:val="11"/>
        <w:spacing w:line="400" w:lineRule="exact"/>
        <w:rPr>
          <w:rFonts w:hAnsi="宋体"/>
          <w:bCs/>
          <w:color w:val="auto"/>
        </w:rPr>
      </w:pPr>
      <w:r>
        <w:rPr>
          <w:rFonts w:hint="eastAsia" w:hAnsi="宋体"/>
          <w:bCs/>
          <w:color w:val="auto"/>
        </w:rPr>
        <w:t>2.9、</w:t>
      </w:r>
      <w:r>
        <w:rPr>
          <w:rFonts w:hAnsi="宋体"/>
          <w:bCs/>
          <w:color w:val="auto"/>
        </w:rPr>
        <w:t>知识产权</w:t>
      </w:r>
    </w:p>
    <w:p>
      <w:pPr>
        <w:snapToGrid w:val="0"/>
        <w:spacing w:line="400" w:lineRule="exact"/>
        <w:ind w:firstLine="315" w:firstLineChars="150"/>
        <w:rPr>
          <w:rFonts w:ascii="宋体" w:hAnsi="宋体"/>
          <w:bCs/>
          <w:color w:val="auto"/>
          <w:szCs w:val="21"/>
        </w:rPr>
      </w:pPr>
      <w:r>
        <w:rPr>
          <w:rFonts w:ascii="宋体" w:hAnsi="宋体"/>
          <w:bCs/>
          <w:color w:val="auto"/>
          <w:szCs w:val="21"/>
        </w:rPr>
        <w:t>乙方应保证所提供的货物或其任何一部分均不会侵犯任何第三方的知识产权</w:t>
      </w:r>
      <w:r>
        <w:rPr>
          <w:rFonts w:hint="eastAsia" w:ascii="宋体" w:hAnsi="宋体"/>
          <w:bCs/>
          <w:color w:val="auto"/>
          <w:szCs w:val="21"/>
        </w:rPr>
        <w:t>，如若出现侵权行为，由乙方付全部责任</w:t>
      </w:r>
      <w:r>
        <w:rPr>
          <w:rFonts w:ascii="宋体" w:hAnsi="宋体"/>
          <w:bCs/>
          <w:color w:val="auto"/>
          <w:szCs w:val="21"/>
        </w:rPr>
        <w:t>。</w:t>
      </w:r>
    </w:p>
    <w:p>
      <w:pPr>
        <w:autoSpaceDE w:val="0"/>
        <w:autoSpaceDN w:val="0"/>
        <w:spacing w:line="400" w:lineRule="exact"/>
        <w:rPr>
          <w:rFonts w:ascii="宋体" w:hAnsi="宋体" w:cs="宋体"/>
          <w:color w:val="auto"/>
          <w:szCs w:val="21"/>
          <w:lang w:val="zh-CN"/>
        </w:rPr>
      </w:pPr>
      <w:r>
        <w:rPr>
          <w:rFonts w:hint="eastAsia" w:ascii="宋体" w:hAnsi="宋体" w:eastAsia="宋体" w:cs="宋体"/>
          <w:bCs/>
          <w:color w:val="auto"/>
        </w:rPr>
        <w:t>2.10</w:t>
      </w:r>
      <w:r>
        <w:rPr>
          <w:rFonts w:hint="eastAsia" w:ascii="宋体" w:hAnsi="宋体" w:cs="宋体"/>
          <w:b/>
          <w:color w:val="auto"/>
          <w:szCs w:val="21"/>
          <w:lang w:val="zh-CN"/>
        </w:rPr>
        <w:t>、人员培训（选择性条款）：</w:t>
      </w:r>
      <w:r>
        <w:rPr>
          <w:rFonts w:hint="eastAsia" w:ascii="宋体" w:hAnsi="宋体" w:cs="宋体"/>
          <w:color w:val="auto"/>
          <w:szCs w:val="21"/>
          <w:lang w:val="zh-CN"/>
        </w:rPr>
        <w:t>供方免费对需方人员进行技术培训，直到需方人员熟练操作或掌握为准。</w:t>
      </w:r>
    </w:p>
    <w:p>
      <w:pPr>
        <w:autoSpaceDE w:val="0"/>
        <w:autoSpaceDN w:val="0"/>
        <w:spacing w:line="400" w:lineRule="exact"/>
        <w:rPr>
          <w:rFonts w:ascii="宋体" w:hAnsi="宋体" w:cs="宋体"/>
          <w:color w:val="auto"/>
          <w:szCs w:val="21"/>
          <w:u w:val="single"/>
          <w:lang w:val="zh-CN"/>
        </w:rPr>
      </w:pPr>
      <w:r>
        <w:rPr>
          <w:rFonts w:hint="eastAsia" w:ascii="宋体" w:hAnsi="宋体" w:cs="宋体"/>
          <w:color w:val="auto"/>
          <w:szCs w:val="21"/>
          <w:lang w:val="zh-CN"/>
        </w:rPr>
        <w:t>培训地点：</w:t>
      </w:r>
      <w:r>
        <w:rPr>
          <w:rFonts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；培训时间：</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autoSpaceDE w:val="0"/>
        <w:autoSpaceDN w:val="0"/>
        <w:spacing w:line="400" w:lineRule="exact"/>
        <w:rPr>
          <w:rFonts w:ascii="宋体" w:hAnsi="宋体" w:cs="宋体"/>
          <w:color w:val="auto"/>
          <w:szCs w:val="21"/>
          <w:lang w:val="zh-CN"/>
        </w:rPr>
      </w:pPr>
      <w:r>
        <w:rPr>
          <w:rFonts w:hint="eastAsia" w:ascii="宋体" w:hAnsi="宋体" w:cs="宋体"/>
          <w:color w:val="auto"/>
          <w:szCs w:val="21"/>
          <w:lang w:val="zh-CN"/>
        </w:rPr>
        <w:t>培训方式：</w:t>
      </w:r>
      <w:r>
        <w:rPr>
          <w:rFonts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autoSpaceDE w:val="0"/>
        <w:autoSpaceDN w:val="0"/>
        <w:spacing w:line="400" w:lineRule="exact"/>
        <w:rPr>
          <w:rFonts w:ascii="宋体" w:hAnsi="宋体" w:cs="宋体"/>
          <w:vanish/>
          <w:color w:val="auto"/>
          <w:szCs w:val="21"/>
          <w:lang w:val="zh-CN"/>
        </w:rPr>
      </w:pPr>
    </w:p>
    <w:p>
      <w:pPr>
        <w:snapToGrid w:val="0"/>
        <w:spacing w:line="400" w:lineRule="exact"/>
        <w:rPr>
          <w:rFonts w:ascii="宋体" w:hAnsi="宋体"/>
          <w:bCs/>
          <w:color w:val="auto"/>
          <w:szCs w:val="21"/>
        </w:rPr>
      </w:pPr>
      <w:r>
        <w:rPr>
          <w:rFonts w:hint="eastAsia" w:ascii="宋体" w:hAnsi="宋体"/>
          <w:bCs/>
          <w:color w:val="auto"/>
          <w:szCs w:val="21"/>
        </w:rPr>
        <w:t>2.11、违约责任</w:t>
      </w:r>
    </w:p>
    <w:p>
      <w:pPr>
        <w:snapToGrid w:val="0"/>
        <w:spacing w:line="400" w:lineRule="exact"/>
        <w:ind w:firstLine="420" w:firstLineChars="200"/>
        <w:rPr>
          <w:rFonts w:ascii="宋体" w:hAnsi="宋体"/>
          <w:bCs/>
          <w:color w:val="auto"/>
          <w:szCs w:val="21"/>
        </w:rPr>
      </w:pPr>
      <w:r>
        <w:rPr>
          <w:rFonts w:hint="eastAsia" w:ascii="宋体" w:hAnsi="宋体"/>
          <w:bCs/>
          <w:color w:val="auto"/>
          <w:szCs w:val="21"/>
        </w:rPr>
        <w:t>按专用条款及谈判文件的其他有关约定执行。专用条款及谈判文件约定不明或未约定的，按照《中华人民共和国合同法》、《中华人民共和国政府采购法》的有关规定执行。</w:t>
      </w:r>
    </w:p>
    <w:p>
      <w:pPr>
        <w:spacing w:line="360" w:lineRule="exact"/>
        <w:rPr>
          <w:rFonts w:ascii="宋体" w:hAnsi="宋体"/>
          <w:color w:val="auto"/>
          <w:szCs w:val="21"/>
        </w:rPr>
      </w:pPr>
    </w:p>
    <w:p>
      <w:pPr>
        <w:pStyle w:val="3"/>
        <w:rPr>
          <w:rFonts w:ascii="方正黑体简体" w:eastAsia="方正黑体简体"/>
          <w:color w:val="auto"/>
          <w:sz w:val="28"/>
          <w:szCs w:val="28"/>
        </w:rPr>
      </w:pPr>
      <w:bookmarkStart w:id="7" w:name="_Toc22180"/>
      <w:r>
        <w:rPr>
          <w:rFonts w:hint="eastAsia" w:ascii="方正黑体简体" w:eastAsia="方正黑体简体"/>
          <w:color w:val="auto"/>
          <w:sz w:val="28"/>
          <w:szCs w:val="28"/>
        </w:rPr>
        <w:t>3．合同专用条款</w:t>
      </w:r>
      <w:bookmarkEnd w:id="6"/>
      <w:bookmarkStart w:id="8" w:name="_Toc12360"/>
      <w:bookmarkStart w:id="9" w:name="_Toc292980968"/>
      <w:bookmarkStart w:id="10" w:name="_Toc6436"/>
      <w:r>
        <w:rPr>
          <w:rFonts w:hint="eastAsia" w:ascii="方正黑体简体" w:eastAsia="方正黑体简体"/>
          <w:color w:val="auto"/>
          <w:sz w:val="28"/>
          <w:szCs w:val="28"/>
        </w:rPr>
        <w:t>（特别约定条款）</w:t>
      </w:r>
      <w:bookmarkEnd w:id="7"/>
    </w:p>
    <w:p>
      <w:pPr>
        <w:jc w:val="center"/>
        <w:rPr>
          <w:rFonts w:ascii="宋体"/>
          <w:color w:val="auto"/>
          <w:szCs w:val="21"/>
        </w:rPr>
      </w:pPr>
      <w:r>
        <w:rPr>
          <w:rFonts w:hint="eastAsia" w:ascii="方正北魏楷书简体" w:eastAsia="方正北魏楷书简体"/>
          <w:b/>
          <w:color w:val="auto"/>
          <w:szCs w:val="21"/>
        </w:rPr>
        <w:t>（注：可结合具体招标项目进行更明确的约定）</w:t>
      </w:r>
      <w:bookmarkEnd w:id="8"/>
      <w:bookmarkEnd w:id="9"/>
      <w:bookmarkEnd w:id="10"/>
    </w:p>
    <w:p>
      <w:pPr>
        <w:spacing w:line="340" w:lineRule="exact"/>
        <w:rPr>
          <w:rFonts w:ascii="宋体" w:hAnsi="宋体"/>
          <w:b/>
          <w:color w:val="auto"/>
          <w:szCs w:val="21"/>
        </w:rPr>
      </w:pPr>
    </w:p>
    <w:p>
      <w:pPr>
        <w:spacing w:line="340" w:lineRule="exact"/>
        <w:jc w:val="center"/>
        <w:rPr>
          <w:rFonts w:ascii="宋体" w:hAnsi="宋体"/>
          <w:b/>
          <w:color w:val="auto"/>
          <w:sz w:val="24"/>
        </w:rPr>
      </w:pPr>
      <w:r>
        <w:rPr>
          <w:rFonts w:hint="eastAsia" w:ascii="宋体" w:hAnsi="宋体"/>
          <w:b/>
          <w:color w:val="auto"/>
          <w:sz w:val="24"/>
        </w:rPr>
        <w:t>温县政府集中采购合同</w:t>
      </w:r>
    </w:p>
    <w:p>
      <w:pPr>
        <w:spacing w:line="340" w:lineRule="exact"/>
        <w:jc w:val="center"/>
        <w:rPr>
          <w:rFonts w:ascii="宋体" w:hAnsi="宋体"/>
          <w:b/>
          <w:color w:val="auto"/>
          <w:szCs w:val="21"/>
        </w:rPr>
      </w:pPr>
    </w:p>
    <w:p>
      <w:pPr>
        <w:spacing w:line="340" w:lineRule="exact"/>
        <w:rPr>
          <w:rFonts w:ascii="宋体" w:hAnsi="宋体" w:cs="宋体"/>
          <w:color w:val="auto"/>
          <w:szCs w:val="21"/>
          <w:u w:val="single"/>
          <w:lang w:val="zh-CN"/>
        </w:rPr>
      </w:pPr>
      <w:r>
        <w:rPr>
          <w:rFonts w:ascii="宋体" w:hAnsi="宋体"/>
          <w:color w:val="auto"/>
          <w:szCs w:val="21"/>
        </w:rPr>
        <w:t xml:space="preserve"> </w:t>
      </w:r>
      <w:r>
        <w:rPr>
          <w:rFonts w:hint="eastAsia" w:ascii="宋体" w:hAnsi="宋体"/>
          <w:color w:val="auto"/>
          <w:szCs w:val="21"/>
        </w:rPr>
        <w:t xml:space="preserve">                                             </w:t>
      </w:r>
      <w:r>
        <w:rPr>
          <w:rFonts w:hint="eastAsia" w:ascii="宋体" w:hAnsi="宋体" w:cs="宋体"/>
          <w:color w:val="auto"/>
          <w:szCs w:val="21"/>
          <w:lang w:val="zh-CN"/>
        </w:rPr>
        <w:t>合同编号：</w:t>
      </w:r>
      <w:r>
        <w:rPr>
          <w:rFonts w:ascii="宋体" w:hAnsi="宋体" w:cs="宋体"/>
          <w:color w:val="auto"/>
          <w:szCs w:val="21"/>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需方（甲方）（采购人全称）：</w:t>
      </w:r>
      <w:r>
        <w:rPr>
          <w:rFonts w:ascii="宋体" w:hAnsi="宋体" w:cs="宋体"/>
          <w:color w:val="auto"/>
          <w:szCs w:val="21"/>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供方（乙方）（中标供应商全称）：</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供方持</w:t>
      </w:r>
      <w:r>
        <w:rPr>
          <w:rFonts w:hint="eastAsia" w:ascii="宋体" w:hAnsi="宋体" w:cs="宋体"/>
          <w:color w:val="auto"/>
          <w:szCs w:val="21"/>
          <w:u w:val="single"/>
        </w:rPr>
        <w:t xml:space="preserve">              </w:t>
      </w:r>
      <w:r>
        <w:rPr>
          <w:rFonts w:hint="eastAsia" w:ascii="宋体" w:hAnsi="宋体" w:cs="宋体"/>
          <w:color w:val="auto"/>
          <w:szCs w:val="21"/>
          <w:lang w:val="zh-CN"/>
        </w:rPr>
        <w:t>签发的中标</w:t>
      </w:r>
      <w:r>
        <w:rPr>
          <w:rFonts w:ascii="宋体" w:hAnsi="宋体" w:cs="宋体"/>
          <w:color w:val="auto"/>
          <w:szCs w:val="21"/>
          <w:lang w:val="zh-CN"/>
        </w:rPr>
        <w:t>/</w:t>
      </w:r>
      <w:r>
        <w:rPr>
          <w:rFonts w:hint="eastAsia" w:ascii="宋体" w:hAnsi="宋体" w:cs="宋体"/>
          <w:color w:val="auto"/>
          <w:szCs w:val="21"/>
          <w:lang w:val="zh-CN"/>
        </w:rPr>
        <w:t>成交通知书，根据谈判文件、供方的投标</w:t>
      </w:r>
      <w:r>
        <w:rPr>
          <w:rFonts w:ascii="宋体" w:hAnsi="宋体" w:cs="宋体"/>
          <w:color w:val="auto"/>
          <w:szCs w:val="21"/>
          <w:lang w:val="zh-CN"/>
        </w:rPr>
        <w:t>/</w:t>
      </w:r>
      <w:r>
        <w:rPr>
          <w:rFonts w:hint="eastAsia" w:ascii="宋体" w:hAnsi="宋体" w:cs="宋体"/>
          <w:color w:val="auto"/>
          <w:szCs w:val="21"/>
          <w:lang w:val="zh-CN"/>
        </w:rPr>
        <w:t>报价等文件</w:t>
      </w:r>
      <w:r>
        <w:rPr>
          <w:rFonts w:ascii="宋体" w:hAnsi="宋体" w:cs="宋体"/>
          <w:color w:val="auto"/>
          <w:szCs w:val="21"/>
          <w:lang w:val="zh-CN"/>
        </w:rPr>
        <w:t>[</w:t>
      </w:r>
      <w:r>
        <w:rPr>
          <w:rFonts w:hint="eastAsia" w:ascii="宋体" w:hAnsi="宋体" w:cs="宋体"/>
          <w:color w:val="auto"/>
          <w:szCs w:val="21"/>
          <w:lang w:val="zh-CN"/>
        </w:rPr>
        <w:t>项目编号：温交易</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ascii="宋体" w:hAnsi="宋体" w:cs="宋体"/>
          <w:color w:val="auto"/>
          <w:szCs w:val="21"/>
          <w:lang w:val="zh-CN"/>
        </w:rPr>
        <w:t>]</w:t>
      </w:r>
      <w:r>
        <w:rPr>
          <w:rFonts w:hint="eastAsia" w:ascii="宋体" w:hAnsi="宋体" w:cs="宋体"/>
          <w:color w:val="auto"/>
          <w:szCs w:val="21"/>
          <w:lang w:val="zh-CN"/>
        </w:rPr>
        <w:t>，按照《政府采购法》、《合同法》等有关法律、法规的规定，供需双方经协商一致，达成以下合同专用条款：</w:t>
      </w:r>
    </w:p>
    <w:p>
      <w:pPr>
        <w:spacing w:line="340" w:lineRule="exact"/>
        <w:rPr>
          <w:rFonts w:ascii="宋体" w:hAnsi="宋体" w:cs="宋体"/>
          <w:color w:val="auto"/>
          <w:szCs w:val="21"/>
          <w:lang w:val="zh-CN"/>
        </w:rPr>
      </w:pPr>
      <w:r>
        <w:rPr>
          <w:rFonts w:hint="eastAsia" w:ascii="宋体" w:hAnsi="宋体" w:cs="宋体"/>
          <w:b/>
          <w:color w:val="auto"/>
          <w:szCs w:val="21"/>
          <w:lang w:val="zh-CN"/>
        </w:rPr>
        <w:t>一、本合同名称</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spacing w:line="340" w:lineRule="exact"/>
        <w:rPr>
          <w:rFonts w:ascii="宋体" w:hAnsi="宋体" w:cs="宋体"/>
          <w:color w:val="auto"/>
          <w:szCs w:val="21"/>
          <w:lang w:val="zh-CN"/>
        </w:rPr>
      </w:pPr>
      <w:r>
        <w:rPr>
          <w:rFonts w:hint="eastAsia" w:ascii="宋体" w:hAnsi="宋体" w:cs="宋体"/>
          <w:b/>
          <w:color w:val="auto"/>
          <w:szCs w:val="21"/>
          <w:lang w:val="zh-CN"/>
        </w:rPr>
        <w:t>二、本合同总价</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元（人民币）（大写：</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元）。供货范围、技术规格、及分项价格如下：                      单位：人民币元</w:t>
      </w:r>
    </w:p>
    <w:tbl>
      <w:tblPr>
        <w:tblStyle w:val="23"/>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品牌/规格/型号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技术参数</w:t>
            </w:r>
          </w:p>
          <w:p>
            <w:pPr>
              <w:spacing w:line="340" w:lineRule="exact"/>
              <w:rPr>
                <w:rFonts w:ascii="宋体" w:hAnsi="宋体" w:cs="宋体"/>
                <w:color w:val="auto"/>
                <w:szCs w:val="21"/>
                <w:lang w:val="zh-CN"/>
              </w:rPr>
            </w:pPr>
            <w:r>
              <w:rPr>
                <w:rFonts w:ascii="宋体" w:hAnsi="宋体" w:cs="宋体"/>
                <w:color w:val="auto"/>
                <w:szCs w:val="21"/>
                <w:lang w:val="zh-CN"/>
              </w:rPr>
              <w:t>(</w:t>
            </w:r>
            <w:r>
              <w:rPr>
                <w:rFonts w:hint="eastAsia" w:ascii="宋体" w:hAnsi="宋体" w:cs="宋体"/>
                <w:color w:val="auto"/>
                <w:szCs w:val="21"/>
                <w:lang w:val="zh-CN"/>
              </w:rPr>
              <w:t>详细配置</w:t>
            </w:r>
            <w:r>
              <w:rPr>
                <w:rFonts w:ascii="宋体" w:hAnsi="宋体" w:cs="宋体"/>
                <w:color w:val="auto"/>
                <w:szCs w:val="21"/>
                <w:lang w:val="zh-CN"/>
              </w:rPr>
              <w:t>)</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合计</w:t>
            </w:r>
          </w:p>
          <w:p>
            <w:pPr>
              <w:spacing w:line="340" w:lineRule="exact"/>
              <w:rPr>
                <w:rFonts w:ascii="宋体" w:hAnsi="宋体" w:cs="宋体"/>
                <w:color w:val="auto"/>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color w:val="auto"/>
                <w:szCs w:val="21"/>
                <w:lang w:val="zh-CN"/>
              </w:rPr>
            </w:pPr>
            <w:r>
              <w:rPr>
                <w:rFonts w:hint="eastAsia" w:ascii="宋体" w:hAnsi="宋体" w:cs="宋体"/>
                <w:color w:val="auto"/>
                <w:szCs w:val="21"/>
                <w:lang w:val="zh-CN"/>
              </w:rPr>
              <w:t>其它</w:t>
            </w: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olor w:val="auto"/>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hAnsi="宋体"/>
                <w:color w:val="auto"/>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hAnsi="宋体"/>
                <w:color w:val="auto"/>
                <w:szCs w:val="21"/>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宋体" w:hAnsi="宋体" w:cs="宋体"/>
                <w:color w:val="auto"/>
                <w:szCs w:val="21"/>
                <w:lang w:val="zh-CN"/>
              </w:rPr>
            </w:pPr>
            <w:r>
              <w:rPr>
                <w:rFonts w:hint="eastAsia" w:ascii="宋体" w:hAnsi="宋体" w:cs="宋体"/>
                <w:color w:val="auto"/>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hAnsi="宋体" w:cs="宋体"/>
                <w:color w:val="auto"/>
                <w:szCs w:val="21"/>
                <w:lang w:val="zh-CN"/>
              </w:rPr>
            </w:pPr>
            <w:r>
              <w:rPr>
                <w:rFonts w:hint="eastAsia" w:ascii="宋体" w:hAnsi="宋体" w:cs="宋体"/>
                <w:color w:val="auto"/>
                <w:szCs w:val="21"/>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auto"/>
                <w:szCs w:val="21"/>
              </w:rPr>
            </w:pPr>
            <w:r>
              <w:rPr>
                <w:rFonts w:hint="eastAsia" w:ascii="宋体" w:hAnsi="宋体" w:cs="宋体"/>
                <w:color w:val="auto"/>
                <w:szCs w:val="21"/>
                <w:lang w:val="zh-CN"/>
              </w:rPr>
              <w:t xml:space="preserve">大写： </w:t>
            </w:r>
            <w:r>
              <w:rPr>
                <w:rFonts w:ascii="宋体" w:hAnsi="宋体"/>
                <w:color w:val="auto"/>
                <w:szCs w:val="21"/>
              </w:rPr>
              <w:t xml:space="preserve"> </w:t>
            </w:r>
            <w:r>
              <w:rPr>
                <w:rFonts w:hint="eastAsia" w:ascii="宋体" w:hAnsi="宋体"/>
                <w:color w:val="auto"/>
                <w:szCs w:val="21"/>
              </w:rPr>
              <w:t xml:space="preserve"> 佰</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拾</w:t>
            </w:r>
            <w:r>
              <w:rPr>
                <w:rFonts w:ascii="宋体" w:hAnsi="宋体"/>
                <w:color w:val="auto"/>
                <w:szCs w:val="21"/>
              </w:rPr>
              <w:t xml:space="preserve">    </w:t>
            </w:r>
            <w:r>
              <w:rPr>
                <w:rFonts w:hint="eastAsia" w:ascii="宋体" w:hAnsi="宋体" w:cs="宋体"/>
                <w:color w:val="auto"/>
                <w:szCs w:val="21"/>
                <w:lang w:val="zh-CN"/>
              </w:rPr>
              <w:t>万</w:t>
            </w:r>
            <w:r>
              <w:rPr>
                <w:rFonts w:ascii="宋体" w:hAnsi="宋体"/>
                <w:color w:val="auto"/>
                <w:szCs w:val="21"/>
              </w:rPr>
              <w:t xml:space="preserve">   </w:t>
            </w:r>
            <w:r>
              <w:rPr>
                <w:rFonts w:hint="eastAsia" w:ascii="宋体" w:hAnsi="宋体" w:cs="宋体"/>
                <w:color w:val="auto"/>
                <w:szCs w:val="21"/>
                <w:lang w:val="zh-CN"/>
              </w:rPr>
              <w:t>仟</w:t>
            </w:r>
            <w:r>
              <w:rPr>
                <w:rFonts w:ascii="宋体" w:hAnsi="宋体"/>
                <w:color w:val="auto"/>
                <w:szCs w:val="21"/>
              </w:rPr>
              <w:t xml:space="preserve">   </w:t>
            </w:r>
            <w:r>
              <w:rPr>
                <w:rFonts w:hint="eastAsia" w:ascii="宋体" w:hAnsi="宋体" w:cs="宋体"/>
                <w:color w:val="auto"/>
                <w:szCs w:val="21"/>
                <w:lang w:val="zh-CN"/>
              </w:rPr>
              <w:t>佰</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拾</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元   角   分</w:t>
            </w:r>
          </w:p>
        </w:tc>
      </w:tr>
    </w:tbl>
    <w:p>
      <w:pPr>
        <w:spacing w:line="340" w:lineRule="exact"/>
        <w:rPr>
          <w:rFonts w:ascii="宋体" w:hAnsi="宋体" w:cs="宋体"/>
          <w:b/>
          <w:color w:val="auto"/>
          <w:szCs w:val="21"/>
          <w:lang w:val="zh-CN"/>
        </w:rPr>
      </w:pPr>
      <w:r>
        <w:rPr>
          <w:rFonts w:hint="eastAsia" w:ascii="宋体" w:hAnsi="宋体" w:cs="宋体"/>
          <w:b/>
          <w:color w:val="auto"/>
          <w:szCs w:val="21"/>
          <w:lang w:val="zh-CN"/>
        </w:rPr>
        <w:t>三、质量要求及供方对质量负责条件和期限：</w:t>
      </w:r>
    </w:p>
    <w:p>
      <w:pPr>
        <w:spacing w:line="340" w:lineRule="exact"/>
        <w:rPr>
          <w:rFonts w:ascii="宋体" w:hAnsi="宋体" w:cs="宋体"/>
          <w:color w:val="auto"/>
          <w:szCs w:val="21"/>
          <w:lang w:val="zh-CN"/>
        </w:rPr>
      </w:pPr>
      <w:r>
        <w:rPr>
          <w:rFonts w:hint="eastAsia" w:ascii="宋体" w:hAnsi="宋体"/>
          <w:color w:val="auto"/>
          <w:szCs w:val="21"/>
        </w:rPr>
        <w:t>所供货物必须首先符合有关国家强制性规定、国家（行业）标准或相关法律法规要求</w:t>
      </w:r>
      <w:r>
        <w:rPr>
          <w:rFonts w:hint="eastAsia" w:ascii="宋体" w:hAnsi="宋体" w:cs="宋体"/>
          <w:color w:val="auto"/>
          <w:szCs w:val="21"/>
          <w:lang w:val="zh-CN"/>
        </w:rPr>
        <w:t>，同时符合谈判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日内以书面形式向供方提出，需安装调试成套设备的提出异议的期限为</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w:t>
      </w:r>
    </w:p>
    <w:p>
      <w:pPr>
        <w:spacing w:line="340" w:lineRule="exact"/>
        <w:rPr>
          <w:rFonts w:ascii="宋体" w:hAnsi="宋体" w:cs="宋体"/>
          <w:b/>
          <w:color w:val="auto"/>
          <w:szCs w:val="21"/>
          <w:lang w:val="zh-CN"/>
        </w:rPr>
      </w:pPr>
      <w:r>
        <w:rPr>
          <w:rFonts w:hint="eastAsia" w:ascii="宋体" w:hAnsi="宋体" w:cs="宋体"/>
          <w:b/>
          <w:color w:val="auto"/>
          <w:szCs w:val="21"/>
          <w:lang w:val="zh-CN"/>
        </w:rPr>
        <w:t>四、售后服务承诺：</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 xml:space="preserve">售后服务响应时间： </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解决问题时间：</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售后服务机构名称、地址及联系方式：</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其他服务承诺：</w:t>
      </w:r>
      <w:r>
        <w:rPr>
          <w:rFonts w:hint="eastAsia" w:ascii="宋体" w:hAnsi="宋体" w:cs="宋体"/>
          <w:color w:val="auto"/>
          <w:szCs w:val="21"/>
          <w:u w:val="single"/>
          <w:lang w:val="zh-CN"/>
        </w:rPr>
        <w:t xml:space="preserve">                               </w:t>
      </w:r>
    </w:p>
    <w:p>
      <w:pPr>
        <w:spacing w:line="340" w:lineRule="exact"/>
        <w:rPr>
          <w:rFonts w:ascii="宋体" w:hAnsi="宋体" w:cs="宋体"/>
          <w:color w:val="auto"/>
          <w:szCs w:val="21"/>
          <w:lang w:val="zh-CN"/>
        </w:rPr>
      </w:pPr>
    </w:p>
    <w:p>
      <w:pPr>
        <w:spacing w:line="340" w:lineRule="exact"/>
        <w:rPr>
          <w:rFonts w:ascii="宋体" w:hAnsi="宋体" w:cs="宋体"/>
          <w:color w:val="auto"/>
          <w:szCs w:val="21"/>
          <w:lang w:val="zh-CN"/>
        </w:rPr>
      </w:pPr>
      <w:r>
        <w:rPr>
          <w:rFonts w:hint="eastAsia" w:ascii="宋体" w:hAnsi="宋体" w:cs="宋体"/>
          <w:b/>
          <w:color w:val="auto"/>
          <w:szCs w:val="21"/>
          <w:lang w:val="zh-CN"/>
        </w:rPr>
        <w:t>五、合同履行地点及进度</w:t>
      </w:r>
      <w:r>
        <w:rPr>
          <w:rFonts w:hint="eastAsia" w:ascii="宋体" w:hAnsi="宋体" w:cs="宋体"/>
          <w:color w:val="auto"/>
          <w:szCs w:val="21"/>
          <w:lang w:val="zh-CN"/>
        </w:rPr>
        <w:t>：合同生效后，供方应于</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年</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月</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日前按需方要求在</w:t>
      </w:r>
      <w:r>
        <w:rPr>
          <w:rFonts w:ascii="宋体" w:hAnsi="宋体" w:cs="宋体"/>
          <w:color w:val="auto"/>
          <w:szCs w:val="21"/>
          <w:u w:val="single"/>
          <w:lang w:val="zh-CN"/>
        </w:rPr>
        <w:t xml:space="preserve">                </w:t>
      </w:r>
      <w:r>
        <w:rPr>
          <w:rFonts w:hint="eastAsia" w:ascii="宋体" w:hAnsi="宋体" w:cs="宋体"/>
          <w:color w:val="auto"/>
          <w:szCs w:val="21"/>
          <w:u w:val="single"/>
          <w:lang w:val="zh-CN"/>
        </w:rPr>
        <w:t>（</w:t>
      </w:r>
      <w:r>
        <w:rPr>
          <w:rFonts w:hint="eastAsia" w:ascii="宋体" w:hAnsi="宋体" w:cs="宋体"/>
          <w:color w:val="auto"/>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hAnsi="宋体" w:cs="宋体"/>
          <w:color w:val="auto"/>
          <w:szCs w:val="21"/>
          <w:lang w:val="zh-CN"/>
        </w:rPr>
      </w:pPr>
      <w:r>
        <w:rPr>
          <w:rFonts w:hint="eastAsia" w:ascii="宋体" w:hAnsi="宋体" w:cs="宋体"/>
          <w:b/>
          <w:color w:val="auto"/>
          <w:szCs w:val="21"/>
          <w:lang w:val="zh-CN"/>
        </w:rPr>
        <w:t>六、资料</w:t>
      </w:r>
      <w:r>
        <w:rPr>
          <w:rFonts w:hint="eastAsia" w:ascii="宋体" w:hAnsi="宋体" w:cs="宋体"/>
          <w:color w:val="auto"/>
          <w:szCs w:val="21"/>
          <w:lang w:val="zh-CN"/>
        </w:rPr>
        <w:t>：供方在交付货物时应向需方提供货物的使用说明书、合格证书、其它技术相关资料，否则按不能交货对待。供方应在建设完成后安排项目经理免费对需方技术人员进行系统的应用培训所有技术资料直至培训合格</w:t>
      </w:r>
    </w:p>
    <w:p>
      <w:pPr>
        <w:spacing w:line="340" w:lineRule="exact"/>
        <w:rPr>
          <w:rFonts w:ascii="宋体" w:hAnsi="宋体" w:cs="宋体"/>
          <w:b/>
          <w:color w:val="auto"/>
          <w:szCs w:val="21"/>
          <w:lang w:val="zh-CN"/>
        </w:rPr>
      </w:pPr>
      <w:r>
        <w:rPr>
          <w:rFonts w:hint="eastAsia" w:ascii="宋体" w:hAnsi="宋体" w:cs="宋体"/>
          <w:b/>
          <w:color w:val="auto"/>
          <w:szCs w:val="21"/>
          <w:lang w:val="zh-CN"/>
        </w:rPr>
        <w:t>七、验收要求。</w:t>
      </w:r>
    </w:p>
    <w:p>
      <w:pPr>
        <w:spacing w:line="340" w:lineRule="exact"/>
        <w:rPr>
          <w:rFonts w:ascii="宋体" w:hAnsi="宋体" w:cs="宋体"/>
          <w:color w:val="auto"/>
          <w:szCs w:val="21"/>
          <w:lang w:val="zh-CN"/>
        </w:rPr>
      </w:pPr>
      <w:r>
        <w:rPr>
          <w:rFonts w:hint="eastAsia" w:ascii="宋体" w:hAnsi="宋体" w:cs="宋体"/>
          <w:color w:val="auto"/>
          <w:szCs w:val="21"/>
          <w:lang w:val="zh-CN"/>
        </w:rPr>
        <w:t>1、供方履约完毕及时向需方提出验收申请。</w:t>
      </w:r>
    </w:p>
    <w:p>
      <w:pPr>
        <w:spacing w:line="340" w:lineRule="exact"/>
        <w:rPr>
          <w:rFonts w:ascii="宋体" w:hAnsi="宋体" w:cs="宋体"/>
          <w:color w:val="auto"/>
          <w:szCs w:val="21"/>
          <w:lang w:val="zh-CN"/>
        </w:rPr>
      </w:pPr>
      <w:r>
        <w:rPr>
          <w:rFonts w:hint="eastAsia" w:ascii="宋体" w:hAnsi="宋体" w:cs="宋体"/>
          <w:color w:val="auto"/>
          <w:szCs w:val="21"/>
          <w:lang w:val="zh-CN"/>
        </w:rPr>
        <w:t>2、需方在收到供方验收申请后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个工作日内组织验收。按照谈判文件规定、中标供应商投标文件承诺，及国家有关规定认真组织验收工作。</w:t>
      </w:r>
    </w:p>
    <w:p>
      <w:pPr>
        <w:spacing w:line="340" w:lineRule="exact"/>
        <w:rPr>
          <w:rFonts w:ascii="宋体" w:hAnsi="宋体" w:cs="宋体"/>
          <w:color w:val="auto"/>
          <w:szCs w:val="21"/>
          <w:lang w:val="zh-CN"/>
        </w:rPr>
      </w:pPr>
      <w:r>
        <w:rPr>
          <w:rFonts w:hint="eastAsia" w:ascii="宋体" w:hAnsi="宋体" w:cs="宋体"/>
          <w:color w:val="auto"/>
          <w:szCs w:val="21"/>
          <w:lang w:val="zh-CN"/>
        </w:rPr>
        <w:t>3、验收合格后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日内，需方出具《温县政府采购验收报告》。</w:t>
      </w:r>
    </w:p>
    <w:p>
      <w:pPr>
        <w:spacing w:line="340" w:lineRule="exact"/>
        <w:rPr>
          <w:rFonts w:ascii="宋体" w:hAnsi="宋体" w:cs="宋体"/>
          <w:b/>
          <w:color w:val="auto"/>
          <w:szCs w:val="21"/>
          <w:lang w:val="zh-CN"/>
        </w:rPr>
      </w:pPr>
      <w:r>
        <w:rPr>
          <w:rFonts w:hint="eastAsia" w:ascii="宋体" w:hAnsi="宋体" w:cs="宋体"/>
          <w:b/>
          <w:color w:val="auto"/>
          <w:szCs w:val="21"/>
          <w:lang w:val="zh-CN"/>
        </w:rPr>
        <w:t>八、付款程序、方式及期限：</w:t>
      </w:r>
    </w:p>
    <w:p>
      <w:pPr>
        <w:spacing w:line="34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项目竣工</w:t>
      </w:r>
      <w:r>
        <w:rPr>
          <w:rFonts w:ascii="宋体" w:hAnsi="宋体" w:cs="宋体"/>
          <w:color w:val="auto"/>
          <w:szCs w:val="21"/>
          <w:lang w:val="zh-CN"/>
        </w:rPr>
        <w:t>验收合格</w:t>
      </w:r>
      <w:r>
        <w:rPr>
          <w:rFonts w:hint="eastAsia" w:ascii="宋体" w:hAnsi="宋体" w:cs="宋体"/>
          <w:color w:val="auto"/>
          <w:szCs w:val="21"/>
          <w:lang w:val="zh-CN"/>
        </w:rPr>
        <w:t>且安装调试无问题，财政审计审核后，</w:t>
      </w:r>
      <w:r>
        <w:rPr>
          <w:rFonts w:ascii="宋体" w:hAnsi="宋体" w:cs="宋体"/>
          <w:color w:val="auto"/>
          <w:szCs w:val="21"/>
          <w:lang w:val="zh-CN"/>
        </w:rPr>
        <w:t>付</w:t>
      </w:r>
      <w:r>
        <w:rPr>
          <w:rFonts w:hint="eastAsia" w:ascii="宋体" w:hAnsi="宋体" w:cs="宋体"/>
          <w:color w:val="auto"/>
          <w:szCs w:val="21"/>
          <w:lang w:val="zh-CN"/>
        </w:rPr>
        <w:t>至</w:t>
      </w:r>
      <w:r>
        <w:rPr>
          <w:rFonts w:ascii="宋体" w:hAnsi="宋体" w:cs="宋体"/>
          <w:color w:val="auto"/>
          <w:szCs w:val="21"/>
          <w:lang w:val="zh-CN"/>
        </w:rPr>
        <w:t>合同总金额</w:t>
      </w:r>
      <w:r>
        <w:rPr>
          <w:rFonts w:hint="eastAsia" w:ascii="宋体" w:hAnsi="宋体" w:cs="宋体"/>
          <w:color w:val="auto"/>
          <w:szCs w:val="21"/>
          <w:lang w:val="zh-CN"/>
        </w:rPr>
        <w:t xml:space="preserve">的90%，剩余10%为质保金壹年以后无息付清。 </w:t>
      </w:r>
    </w:p>
    <w:p>
      <w:pPr>
        <w:spacing w:line="340" w:lineRule="exact"/>
        <w:rPr>
          <w:rFonts w:ascii="宋体" w:hAnsi="宋体" w:cs="宋体"/>
          <w:b/>
          <w:color w:val="auto"/>
          <w:szCs w:val="21"/>
          <w:lang w:val="zh-CN"/>
        </w:rPr>
      </w:pPr>
      <w:r>
        <w:rPr>
          <w:rFonts w:hint="eastAsia" w:ascii="宋体" w:hAnsi="宋体" w:cs="宋体"/>
          <w:b/>
          <w:color w:val="auto"/>
          <w:szCs w:val="21"/>
          <w:lang w:val="zh-CN"/>
        </w:rPr>
        <w:t>九、本合同单价及总价为不变价，不受市场风险等因素的影响。</w:t>
      </w:r>
    </w:p>
    <w:p>
      <w:pPr>
        <w:spacing w:line="340" w:lineRule="exact"/>
        <w:rPr>
          <w:rFonts w:ascii="宋体" w:hAnsi="宋体" w:cs="宋体"/>
          <w:b/>
          <w:color w:val="auto"/>
          <w:szCs w:val="21"/>
          <w:lang w:val="zh-CN"/>
        </w:rPr>
      </w:pPr>
      <w:r>
        <w:rPr>
          <w:rFonts w:hint="eastAsia" w:ascii="宋体" w:hAnsi="宋体" w:cs="宋体"/>
          <w:b/>
          <w:color w:val="auto"/>
          <w:szCs w:val="21"/>
          <w:lang w:val="zh-CN"/>
        </w:rPr>
        <w:t>十、违约责任</w:t>
      </w:r>
    </w:p>
    <w:p>
      <w:pPr>
        <w:spacing w:line="340" w:lineRule="exact"/>
        <w:rPr>
          <w:rFonts w:ascii="宋体" w:hAnsi="宋体" w:cs="宋体"/>
          <w:color w:val="auto"/>
          <w:szCs w:val="21"/>
          <w:lang w:val="zh-CN"/>
        </w:rPr>
      </w:pPr>
      <w:r>
        <w:rPr>
          <w:rFonts w:hint="eastAsia" w:ascii="宋体" w:hAnsi="宋体" w:cs="宋体"/>
          <w:color w:val="auto"/>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color w:val="auto"/>
          <w:szCs w:val="21"/>
          <w:lang w:val="zh-CN"/>
        </w:rPr>
        <w:t xml:space="preserve"> </w:t>
      </w:r>
      <w:r>
        <w:rPr>
          <w:rFonts w:hint="eastAsia" w:ascii="宋体" w:hAnsi="宋体" w:cs="宋体"/>
          <w:color w:val="auto"/>
          <w:szCs w:val="21"/>
          <w:lang w:val="zh-CN"/>
        </w:rPr>
        <w:t xml:space="preserve"> 10 </w:t>
      </w:r>
      <w:r>
        <w:rPr>
          <w:rFonts w:ascii="宋体" w:hAnsi="宋体" w:cs="宋体"/>
          <w:color w:val="auto"/>
          <w:szCs w:val="21"/>
          <w:lang w:val="zh-CN"/>
        </w:rPr>
        <w:t xml:space="preserve"> %</w:t>
      </w:r>
      <w:r>
        <w:rPr>
          <w:rFonts w:hint="eastAsia" w:ascii="宋体" w:hAnsi="宋体" w:cs="宋体"/>
          <w:color w:val="auto"/>
          <w:szCs w:val="21"/>
          <w:lang w:val="zh-CN"/>
        </w:rPr>
        <w:t>的违约金；需方并有权解除合同，要求供方赔偿损失。供方如逾期交付的，每逾期一日供方应向需方支付合同金额的</w:t>
      </w:r>
      <w:r>
        <w:rPr>
          <w:rFonts w:ascii="宋体" w:hAnsi="宋体" w:cs="宋体"/>
          <w:color w:val="auto"/>
          <w:szCs w:val="21"/>
          <w:lang w:val="zh-CN"/>
        </w:rPr>
        <w:t xml:space="preserve"> </w:t>
      </w:r>
      <w:r>
        <w:rPr>
          <w:rFonts w:hint="eastAsia" w:ascii="宋体" w:hAnsi="宋体" w:cs="宋体"/>
          <w:color w:val="auto"/>
          <w:szCs w:val="21"/>
          <w:lang w:val="zh-CN"/>
        </w:rPr>
        <w:t xml:space="preserve"> 0.1</w:t>
      </w:r>
      <w:r>
        <w:rPr>
          <w:rFonts w:ascii="宋体" w:hAnsi="宋体" w:cs="宋体"/>
          <w:color w:val="auto"/>
          <w:szCs w:val="21"/>
          <w:lang w:val="zh-CN"/>
        </w:rPr>
        <w:t xml:space="preserve"> %</w:t>
      </w:r>
      <w:r>
        <w:rPr>
          <w:rFonts w:hint="eastAsia" w:ascii="宋体" w:hAnsi="宋体" w:cs="宋体"/>
          <w:color w:val="auto"/>
          <w:szCs w:val="21"/>
          <w:lang w:val="zh-CN"/>
        </w:rPr>
        <w:t>的违约金。逾期交付的违约金总额不超过合同总金额的20</w:t>
      </w:r>
      <w:r>
        <w:rPr>
          <w:rFonts w:ascii="宋体" w:hAnsi="宋体" w:cs="宋体"/>
          <w:color w:val="auto"/>
          <w:szCs w:val="21"/>
          <w:lang w:val="zh-CN"/>
        </w:rPr>
        <w:t>%</w:t>
      </w:r>
      <w:r>
        <w:rPr>
          <w:rFonts w:hint="eastAsia" w:ascii="宋体" w:hAnsi="宋体" w:cs="宋体"/>
          <w:color w:val="auto"/>
          <w:szCs w:val="21"/>
          <w:lang w:val="zh-CN"/>
        </w:rPr>
        <w:t>。逾期超过    日的，需方有权解除合同或者选择继续履行；需方要求供方继续履行合同的，不影响需方向供方主张违约责任。</w:t>
      </w:r>
    </w:p>
    <w:p>
      <w:pPr>
        <w:spacing w:line="340" w:lineRule="exact"/>
        <w:rPr>
          <w:rFonts w:ascii="宋体" w:hAnsi="宋体" w:cs="宋体"/>
          <w:color w:val="auto"/>
          <w:szCs w:val="21"/>
          <w:lang w:val="zh-CN"/>
        </w:rPr>
      </w:pPr>
      <w:r>
        <w:rPr>
          <w:rFonts w:hint="eastAsia" w:ascii="宋体" w:hAnsi="宋体" w:cs="宋体"/>
          <w:color w:val="auto"/>
          <w:szCs w:val="21"/>
          <w:lang w:val="zh-CN"/>
        </w:rPr>
        <w:t>如需方违约，按合同一般条款执行。</w:t>
      </w:r>
    </w:p>
    <w:p>
      <w:pPr>
        <w:spacing w:line="340" w:lineRule="exact"/>
        <w:rPr>
          <w:rFonts w:ascii="宋体" w:hAnsi="宋体" w:cs="宋体"/>
          <w:color w:val="auto"/>
          <w:szCs w:val="21"/>
          <w:lang w:val="zh-CN"/>
        </w:rPr>
      </w:pPr>
      <w:r>
        <w:rPr>
          <w:rFonts w:hint="eastAsia" w:ascii="宋体" w:hAnsi="宋体" w:cs="宋体"/>
          <w:b/>
          <w:color w:val="auto"/>
          <w:szCs w:val="21"/>
          <w:lang w:val="zh-CN"/>
        </w:rPr>
        <w:t>十一、争议的解决</w:t>
      </w:r>
      <w:r>
        <w:rPr>
          <w:rFonts w:hint="eastAsia" w:ascii="宋体" w:hAnsi="宋体" w:cs="宋体"/>
          <w:color w:val="auto"/>
          <w:szCs w:val="21"/>
          <w:lang w:val="zh-CN"/>
        </w:rPr>
        <w:t>：</w:t>
      </w:r>
    </w:p>
    <w:p>
      <w:pPr>
        <w:spacing w:line="340" w:lineRule="exact"/>
        <w:rPr>
          <w:rFonts w:ascii="宋体" w:hAnsi="宋体" w:cs="宋体"/>
          <w:color w:val="auto"/>
          <w:szCs w:val="21"/>
          <w:lang w:val="zh-CN"/>
        </w:rPr>
      </w:pPr>
      <w:r>
        <w:rPr>
          <w:rFonts w:hint="eastAsia" w:ascii="宋体" w:hAnsi="宋体" w:cs="宋体"/>
          <w:color w:val="auto"/>
          <w:szCs w:val="21"/>
          <w:lang w:val="zh-CN"/>
        </w:rPr>
        <w:t>1、双方友好协商；</w:t>
      </w:r>
    </w:p>
    <w:p>
      <w:pPr>
        <w:spacing w:line="340" w:lineRule="exact"/>
        <w:rPr>
          <w:rFonts w:ascii="宋体" w:hAnsi="宋体" w:cs="宋体"/>
          <w:color w:val="auto"/>
          <w:szCs w:val="21"/>
          <w:lang w:val="zh-CN"/>
        </w:rPr>
      </w:pPr>
      <w:r>
        <w:rPr>
          <w:rFonts w:hint="eastAsia" w:ascii="宋体" w:hAnsi="宋体" w:cs="宋体"/>
          <w:color w:val="auto"/>
          <w:szCs w:val="21"/>
          <w:lang w:val="zh-CN"/>
        </w:rPr>
        <w:t>2、提请主管部门进行调解；</w:t>
      </w:r>
    </w:p>
    <w:p>
      <w:pPr>
        <w:spacing w:line="340" w:lineRule="exact"/>
        <w:rPr>
          <w:rFonts w:ascii="宋体" w:hAnsi="宋体" w:cs="宋体"/>
          <w:color w:val="auto"/>
          <w:szCs w:val="21"/>
          <w:lang w:val="zh-CN"/>
        </w:rPr>
      </w:pPr>
      <w:r>
        <w:rPr>
          <w:rFonts w:hint="eastAsia" w:ascii="宋体" w:hAnsi="宋体" w:cs="宋体"/>
          <w:color w:val="auto"/>
          <w:szCs w:val="21"/>
          <w:lang w:val="zh-CN"/>
        </w:rPr>
        <w:t>3、由需方所在地人民法院诉讼管辖。</w:t>
      </w:r>
    </w:p>
    <w:p>
      <w:pPr>
        <w:spacing w:line="340" w:lineRule="exact"/>
        <w:rPr>
          <w:rFonts w:ascii="宋体" w:hAnsi="宋体"/>
          <w:b/>
          <w:color w:val="auto"/>
          <w:szCs w:val="21"/>
        </w:rPr>
      </w:pPr>
      <w:r>
        <w:rPr>
          <w:rFonts w:hint="eastAsia" w:ascii="宋体" w:hAnsi="宋体"/>
          <w:b/>
          <w:color w:val="auto"/>
          <w:szCs w:val="21"/>
        </w:rPr>
        <w:t>十二、合同生效、备案及其它</w:t>
      </w:r>
    </w:p>
    <w:p>
      <w:pPr>
        <w:spacing w:line="340" w:lineRule="exact"/>
        <w:rPr>
          <w:rFonts w:ascii="宋体" w:hAnsi="宋体"/>
          <w:color w:val="auto"/>
          <w:szCs w:val="21"/>
        </w:rPr>
      </w:pPr>
      <w:r>
        <w:rPr>
          <w:rFonts w:hint="eastAsia" w:ascii="宋体" w:hAnsi="宋体"/>
          <w:color w:val="auto"/>
          <w:szCs w:val="21"/>
        </w:rPr>
        <w:t>1、本合同经双方代表签字并加盖公章后生效。</w:t>
      </w:r>
    </w:p>
    <w:p>
      <w:pPr>
        <w:spacing w:line="340" w:lineRule="exact"/>
        <w:rPr>
          <w:rFonts w:ascii="宋体" w:hAnsi="宋体"/>
          <w:color w:val="auto"/>
          <w:szCs w:val="21"/>
          <w:u w:val="single"/>
        </w:rPr>
      </w:pPr>
      <w:r>
        <w:rPr>
          <w:rFonts w:hint="eastAsia" w:ascii="宋体" w:hAnsi="宋体"/>
          <w:color w:val="auto"/>
          <w:szCs w:val="21"/>
        </w:rPr>
        <w:t>2、</w:t>
      </w:r>
      <w:r>
        <w:rPr>
          <w:rFonts w:hint="eastAsia" w:ascii="宋体" w:hAnsi="宋体"/>
          <w:color w:val="auto"/>
          <w:szCs w:val="21"/>
          <w:u w:val="single"/>
        </w:rPr>
        <w:t>本合同一式五份，供需双方各持一份，</w:t>
      </w:r>
      <w:r>
        <w:rPr>
          <w:rFonts w:hint="eastAsia" w:ascii="宋体" w:hAnsi="宋体"/>
          <w:b/>
          <w:bCs/>
          <w:color w:val="auto"/>
          <w:sz w:val="24"/>
          <w:u w:val="single"/>
        </w:rPr>
        <w:t>在合同签订之日起七个工作日内</w:t>
      </w:r>
      <w:r>
        <w:rPr>
          <w:rFonts w:hint="eastAsia" w:ascii="宋体" w:hAnsi="宋体"/>
          <w:color w:val="auto"/>
          <w:szCs w:val="21"/>
          <w:u w:val="single"/>
        </w:rPr>
        <w:t>交付温县财政局备案一份、温县公共资源交易中心存档一份，办理资金支付手续时提交一份。</w:t>
      </w:r>
    </w:p>
    <w:p>
      <w:pPr>
        <w:spacing w:line="340" w:lineRule="exact"/>
        <w:rPr>
          <w:rFonts w:ascii="宋体" w:hAnsi="宋体"/>
          <w:color w:val="auto"/>
          <w:szCs w:val="21"/>
        </w:rPr>
      </w:pPr>
      <w:r>
        <w:rPr>
          <w:rFonts w:hint="eastAsia" w:ascii="宋体" w:hAnsi="宋体" w:cs="宋体"/>
          <w:color w:val="auto"/>
          <w:szCs w:val="21"/>
        </w:rPr>
        <w:t>3、</w:t>
      </w:r>
      <w:r>
        <w:rPr>
          <w:rFonts w:hint="eastAsia" w:ascii="宋体" w:hAnsi="宋体" w:cs="宋体"/>
          <w:color w:val="auto"/>
          <w:szCs w:val="21"/>
          <w:lang w:val="zh-CN"/>
        </w:rPr>
        <w:t>本合同未尽事宜，供需双方可签订补充协议，但补充协议不得违背本谈判文件及供方的投标文件或报价文件的实质性约定内容。</w:t>
      </w:r>
    </w:p>
    <w:p>
      <w:pPr>
        <w:spacing w:line="340" w:lineRule="exact"/>
        <w:rPr>
          <w:rFonts w:ascii="宋体" w:hAnsi="宋体"/>
          <w:color w:val="auto"/>
          <w:szCs w:val="21"/>
        </w:rPr>
      </w:pPr>
    </w:p>
    <w:p>
      <w:pPr>
        <w:spacing w:line="340" w:lineRule="exact"/>
        <w:rPr>
          <w:rFonts w:ascii="宋体" w:hAnsi="宋体"/>
          <w:color w:val="auto"/>
          <w:szCs w:val="21"/>
        </w:rPr>
      </w:pPr>
      <w:r>
        <w:rPr>
          <w:rFonts w:hint="eastAsia" w:ascii="宋体" w:hAnsi="宋体"/>
          <w:color w:val="auto"/>
          <w:szCs w:val="21"/>
        </w:rPr>
        <w:t>供方（公章）：                          需方（公章）：</w:t>
      </w:r>
    </w:p>
    <w:p>
      <w:pPr>
        <w:spacing w:line="340" w:lineRule="exact"/>
        <w:rPr>
          <w:rFonts w:ascii="宋体" w:hAnsi="宋体"/>
          <w:color w:val="auto"/>
          <w:szCs w:val="21"/>
        </w:rPr>
      </w:pPr>
      <w:r>
        <w:rPr>
          <w:rFonts w:hint="eastAsia" w:ascii="宋体" w:hAnsi="宋体"/>
          <w:color w:val="auto"/>
          <w:szCs w:val="21"/>
        </w:rPr>
        <w:t>地址：                                 地址：</w:t>
      </w:r>
    </w:p>
    <w:p>
      <w:pPr>
        <w:spacing w:line="340" w:lineRule="exact"/>
        <w:rPr>
          <w:rFonts w:ascii="宋体" w:hAnsi="宋体"/>
          <w:color w:val="auto"/>
          <w:szCs w:val="21"/>
        </w:rPr>
      </w:pPr>
      <w:r>
        <w:rPr>
          <w:rFonts w:hint="eastAsia" w:ascii="宋体" w:hAnsi="宋体"/>
          <w:color w:val="auto"/>
          <w:szCs w:val="21"/>
        </w:rPr>
        <w:t>法定代表人或委托                       法定代表人或委托</w:t>
      </w:r>
    </w:p>
    <w:p>
      <w:pPr>
        <w:spacing w:line="340" w:lineRule="exact"/>
        <w:rPr>
          <w:rFonts w:ascii="宋体" w:hAnsi="宋体"/>
          <w:color w:val="auto"/>
          <w:szCs w:val="21"/>
        </w:rPr>
      </w:pPr>
      <w:r>
        <w:rPr>
          <w:rFonts w:hint="eastAsia" w:ascii="宋体" w:hAnsi="宋体"/>
          <w:color w:val="auto"/>
          <w:szCs w:val="21"/>
        </w:rPr>
        <w:t>代理人（签字）：                        代理人（签字）：</w:t>
      </w:r>
    </w:p>
    <w:p>
      <w:pPr>
        <w:spacing w:line="340" w:lineRule="exact"/>
        <w:rPr>
          <w:rFonts w:ascii="宋体" w:hAnsi="宋体"/>
          <w:color w:val="auto"/>
          <w:szCs w:val="21"/>
        </w:rPr>
      </w:pPr>
      <w:r>
        <w:rPr>
          <w:rFonts w:hint="eastAsia" w:ascii="宋体" w:hAnsi="宋体"/>
          <w:color w:val="auto"/>
          <w:szCs w:val="21"/>
        </w:rPr>
        <w:t>电话：                                 电话：</w:t>
      </w:r>
    </w:p>
    <w:p>
      <w:pPr>
        <w:spacing w:line="340" w:lineRule="exact"/>
        <w:rPr>
          <w:rFonts w:ascii="宋体" w:hAnsi="宋体"/>
          <w:color w:val="auto"/>
          <w:szCs w:val="21"/>
        </w:rPr>
      </w:pPr>
      <w:r>
        <w:rPr>
          <w:rFonts w:hint="eastAsia" w:ascii="宋体" w:hAnsi="宋体"/>
          <w:color w:val="auto"/>
          <w:szCs w:val="21"/>
        </w:rPr>
        <w:t>开户行：                               开户行：</w:t>
      </w:r>
    </w:p>
    <w:p>
      <w:pPr>
        <w:spacing w:line="340" w:lineRule="exact"/>
        <w:rPr>
          <w:rFonts w:ascii="宋体" w:hAnsi="宋体"/>
          <w:color w:val="auto"/>
          <w:szCs w:val="21"/>
        </w:rPr>
      </w:pPr>
      <w:r>
        <w:rPr>
          <w:rFonts w:hint="eastAsia" w:ascii="宋体" w:hAnsi="宋体"/>
          <w:color w:val="auto"/>
          <w:szCs w:val="21"/>
        </w:rPr>
        <w:t>账号：                                 账号：</w:t>
      </w:r>
    </w:p>
    <w:p>
      <w:pPr>
        <w:widowControl/>
        <w:spacing w:line="560" w:lineRule="atLeast"/>
        <w:jc w:val="center"/>
        <w:rPr>
          <w:rFonts w:ascii="黑体" w:hAnsi="宋体" w:eastAsia="黑体"/>
          <w:b/>
          <w:bCs/>
          <w:color w:val="auto"/>
          <w:sz w:val="32"/>
          <w:szCs w:val="32"/>
        </w:rPr>
      </w:pPr>
      <w:r>
        <w:rPr>
          <w:rFonts w:hint="eastAsia" w:ascii="宋体" w:hAnsi="宋体"/>
          <w:color w:val="auto"/>
          <w:szCs w:val="21"/>
        </w:rPr>
        <w:t>签约时间：</w:t>
      </w:r>
      <w:r>
        <w:rPr>
          <w:rFonts w:hint="eastAsia" w:ascii="宋体" w:hAnsi="宋体"/>
          <w:color w:val="auto"/>
          <w:szCs w:val="21"/>
          <w:u w:val="single"/>
        </w:rPr>
        <w:t xml:space="preserve">      </w:t>
      </w:r>
      <w:r>
        <w:rPr>
          <w:rFonts w:hint="eastAsia" w:ascii="宋体" w:hAnsi="宋体"/>
          <w:color w:val="auto"/>
          <w:szCs w:val="21"/>
        </w:rPr>
        <w:t xml:space="preserve"> 年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       签约时间：</w:t>
      </w:r>
      <w:r>
        <w:rPr>
          <w:rFonts w:hint="eastAsia" w:ascii="宋体" w:hAnsi="宋体"/>
          <w:color w:val="auto"/>
          <w:szCs w:val="21"/>
          <w:u w:val="single"/>
        </w:rPr>
        <w:t xml:space="preserve">      </w:t>
      </w:r>
      <w:r>
        <w:rPr>
          <w:rFonts w:hint="eastAsia" w:ascii="宋体" w:hAnsi="宋体"/>
          <w:color w:val="auto"/>
          <w:szCs w:val="21"/>
        </w:rPr>
        <w:t xml:space="preserve"> 年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ind w:firstLine="2249" w:firstLineChars="700"/>
        <w:jc w:val="both"/>
        <w:rPr>
          <w:rFonts w:ascii="黑体" w:hAnsi="宋体" w:eastAsia="黑体"/>
          <w:b/>
          <w:bCs/>
          <w:color w:val="auto"/>
          <w:sz w:val="32"/>
          <w:szCs w:val="32"/>
        </w:rPr>
      </w:pPr>
      <w:r>
        <w:rPr>
          <w:rFonts w:hint="eastAsia" w:ascii="黑体" w:hAnsi="宋体" w:eastAsia="黑体"/>
          <w:b/>
          <w:bCs/>
          <w:color w:val="auto"/>
          <w:sz w:val="32"/>
          <w:szCs w:val="32"/>
        </w:rPr>
        <w:t>五、谈判响应性文件基本格式</w:t>
      </w:r>
    </w:p>
    <w:p>
      <w:pPr>
        <w:jc w:val="right"/>
        <w:rPr>
          <w:rFonts w:ascii="宋体" w:hAnsi="宋体"/>
          <w:color w:val="auto"/>
          <w:sz w:val="44"/>
          <w:szCs w:val="44"/>
        </w:rPr>
      </w:pPr>
      <w:r>
        <w:rPr>
          <w:rFonts w:hint="eastAsia" w:ascii="宋体" w:hAnsi="宋体"/>
          <w:color w:val="auto"/>
          <w:sz w:val="44"/>
          <w:szCs w:val="44"/>
        </w:rPr>
        <w:t>正/副本</w:t>
      </w:r>
    </w:p>
    <w:p>
      <w:pPr>
        <w:jc w:val="right"/>
        <w:rPr>
          <w:rFonts w:ascii="宋体" w:hAnsi="宋体"/>
          <w:color w:val="auto"/>
          <w:sz w:val="10"/>
          <w:szCs w:val="10"/>
        </w:rPr>
      </w:pPr>
    </w:p>
    <w:p>
      <w:pPr>
        <w:jc w:val="center"/>
        <w:rPr>
          <w:rFonts w:hint="eastAsia" w:ascii="宋体" w:hAnsi="宋体"/>
          <w:b/>
          <w:color w:val="auto"/>
          <w:sz w:val="44"/>
          <w:szCs w:val="44"/>
        </w:rPr>
      </w:pPr>
      <w:r>
        <w:rPr>
          <w:rFonts w:hint="eastAsia" w:ascii="宋体" w:hAnsi="宋体"/>
          <w:b/>
          <w:color w:val="auto"/>
          <w:sz w:val="44"/>
          <w:szCs w:val="44"/>
          <w:u w:val="single"/>
        </w:rPr>
        <w:t xml:space="preserve">             </w:t>
      </w:r>
      <w:r>
        <w:rPr>
          <w:rFonts w:hint="eastAsia" w:ascii="宋体" w:hAnsi="宋体"/>
          <w:b/>
          <w:color w:val="auto"/>
          <w:sz w:val="44"/>
          <w:szCs w:val="44"/>
        </w:rPr>
        <w:t xml:space="preserve"> （项目名称）</w:t>
      </w:r>
    </w:p>
    <w:p>
      <w:pPr>
        <w:jc w:val="center"/>
        <w:rPr>
          <w:rFonts w:hint="eastAsia" w:ascii="宋体" w:hAnsi="宋体" w:eastAsia="宋体"/>
          <w:b/>
          <w:color w:val="auto"/>
          <w:sz w:val="44"/>
          <w:szCs w:val="44"/>
          <w:lang w:val="en-US" w:eastAsia="zh-CN"/>
        </w:rPr>
      </w:pPr>
      <w:r>
        <w:rPr>
          <w:rFonts w:hint="eastAsia" w:ascii="宋体" w:hAnsi="宋体"/>
          <w:b/>
          <w:color w:val="auto"/>
          <w:sz w:val="44"/>
          <w:szCs w:val="44"/>
          <w:lang w:val="en-US" w:eastAsia="zh-CN"/>
        </w:rPr>
        <w:t xml:space="preserve">                        </w:t>
      </w:r>
      <w:r>
        <w:rPr>
          <w:rFonts w:hint="eastAsia" w:ascii="宋体" w:hAnsi="宋体"/>
          <w:b/>
          <w:color w:val="auto"/>
          <w:sz w:val="32"/>
          <w:szCs w:val="32"/>
          <w:u w:val="single"/>
          <w:lang w:val="en-US" w:eastAsia="zh-CN"/>
        </w:rPr>
        <w:t xml:space="preserve">    </w:t>
      </w:r>
      <w:r>
        <w:rPr>
          <w:rFonts w:hint="eastAsia" w:ascii="宋体" w:hAnsi="宋体"/>
          <w:b/>
          <w:color w:val="auto"/>
          <w:sz w:val="32"/>
          <w:szCs w:val="32"/>
          <w:u w:val="none"/>
          <w:lang w:val="en-US" w:eastAsia="zh-CN"/>
        </w:rPr>
        <w:t>标段</w:t>
      </w:r>
    </w:p>
    <w:p>
      <w:pPr>
        <w:rPr>
          <w:rFonts w:ascii="宋体" w:hAnsi="宋体"/>
          <w:b/>
          <w:color w:val="auto"/>
          <w:sz w:val="32"/>
          <w:szCs w:val="32"/>
        </w:rPr>
      </w:pPr>
    </w:p>
    <w:p>
      <w:pPr>
        <w:rPr>
          <w:rFonts w:ascii="宋体" w:hAnsi="宋体"/>
          <w:b/>
          <w:color w:val="auto"/>
          <w:sz w:val="32"/>
          <w:szCs w:val="32"/>
        </w:rPr>
      </w:pPr>
    </w:p>
    <w:p>
      <w:pPr>
        <w:jc w:val="center"/>
        <w:rPr>
          <w:rFonts w:ascii="宋体" w:hAnsi="宋体"/>
          <w:b/>
          <w:color w:val="auto"/>
          <w:sz w:val="72"/>
          <w:szCs w:val="72"/>
        </w:rPr>
      </w:pPr>
      <w:r>
        <w:rPr>
          <w:rFonts w:hint="eastAsia" w:ascii="宋体" w:hAnsi="宋体"/>
          <w:b/>
          <w:color w:val="auto"/>
          <w:sz w:val="72"/>
          <w:szCs w:val="72"/>
        </w:rPr>
        <w:t>响 应 性 文 件</w:t>
      </w:r>
    </w:p>
    <w:p>
      <w:pPr>
        <w:jc w:val="center"/>
        <w:rPr>
          <w:rFonts w:ascii="宋体" w:hAnsi="宋体"/>
          <w:color w:val="auto"/>
          <w:sz w:val="32"/>
          <w:szCs w:val="32"/>
        </w:rPr>
      </w:pPr>
      <w:r>
        <w:rPr>
          <w:rFonts w:hint="eastAsia" w:ascii="宋体" w:hAnsi="宋体"/>
          <w:bCs/>
          <w:color w:val="auto"/>
          <w:sz w:val="24"/>
        </w:rPr>
        <w:t>项目编号：温交易[201</w:t>
      </w:r>
      <w:r>
        <w:rPr>
          <w:rFonts w:hint="eastAsia" w:ascii="宋体" w:hAnsi="宋体"/>
          <w:bCs/>
          <w:color w:val="auto"/>
          <w:sz w:val="24"/>
          <w:lang w:val="en-US" w:eastAsia="zh-CN"/>
        </w:rPr>
        <w:t>7</w:t>
      </w:r>
      <w:r>
        <w:rPr>
          <w:rFonts w:hint="eastAsia" w:ascii="宋体" w:hAnsi="宋体"/>
          <w:bCs/>
          <w:color w:val="auto"/>
          <w:sz w:val="24"/>
        </w:rPr>
        <w:t>]     号</w:t>
      </w:r>
    </w:p>
    <w:p>
      <w:pPr>
        <w:rPr>
          <w:rFonts w:ascii="宋体" w:hAnsi="宋体"/>
          <w:b/>
          <w:color w:val="auto"/>
          <w:sz w:val="32"/>
          <w:szCs w:val="32"/>
        </w:rPr>
      </w:pPr>
    </w:p>
    <w:p>
      <w:pPr>
        <w:rPr>
          <w:rFonts w:ascii="宋体" w:hAnsi="宋体"/>
          <w:b/>
          <w:color w:val="auto"/>
          <w:sz w:val="32"/>
          <w:szCs w:val="32"/>
        </w:rPr>
      </w:pPr>
    </w:p>
    <w:p>
      <w:pPr>
        <w:rPr>
          <w:rFonts w:ascii="宋体" w:hAnsi="宋体"/>
          <w:b/>
          <w:color w:val="auto"/>
          <w:sz w:val="32"/>
          <w:szCs w:val="32"/>
        </w:rPr>
      </w:pPr>
    </w:p>
    <w:p>
      <w:pPr>
        <w:rPr>
          <w:rFonts w:ascii="宋体" w:hAnsi="宋体"/>
          <w:b/>
          <w:color w:val="auto"/>
          <w:sz w:val="32"/>
          <w:szCs w:val="32"/>
        </w:rPr>
      </w:pPr>
    </w:p>
    <w:p>
      <w:pPr>
        <w:rPr>
          <w:rFonts w:ascii="宋体" w:hAnsi="宋体"/>
          <w:b/>
          <w:color w:val="auto"/>
          <w:sz w:val="32"/>
          <w:szCs w:val="32"/>
        </w:rPr>
      </w:pPr>
    </w:p>
    <w:p>
      <w:pPr>
        <w:tabs>
          <w:tab w:val="left" w:pos="7200"/>
          <w:tab w:val="left" w:pos="7560"/>
        </w:tabs>
        <w:spacing w:line="480" w:lineRule="auto"/>
        <w:ind w:left="424" w:leftChars="202"/>
        <w:rPr>
          <w:rFonts w:ascii="宋体" w:hAnsi="宋体"/>
          <w:b/>
          <w:color w:val="auto"/>
          <w:sz w:val="28"/>
        </w:rPr>
      </w:pPr>
      <w:r>
        <w:rPr>
          <w:rFonts w:hint="eastAsia" w:ascii="宋体" w:hAnsi="宋体"/>
          <w:b/>
          <w:color w:val="auto"/>
          <w:sz w:val="28"/>
        </w:rPr>
        <w:t>投 标 人：</w:t>
      </w:r>
      <w:r>
        <w:rPr>
          <w:rFonts w:hint="eastAsia" w:ascii="宋体" w:hAnsi="宋体"/>
          <w:b/>
          <w:color w:val="auto"/>
          <w:sz w:val="28"/>
          <w:u w:val="single"/>
        </w:rPr>
        <w:t xml:space="preserve">             （盖章）                       </w:t>
      </w:r>
      <w:r>
        <w:rPr>
          <w:rFonts w:hint="eastAsia" w:ascii="宋体" w:hAnsi="宋体"/>
          <w:b/>
          <w:color w:val="auto"/>
          <w:sz w:val="28"/>
        </w:rPr>
        <w:t xml:space="preserve"> </w:t>
      </w:r>
    </w:p>
    <w:p>
      <w:pPr>
        <w:spacing w:line="480" w:lineRule="auto"/>
        <w:ind w:left="424" w:leftChars="202"/>
        <w:rPr>
          <w:rFonts w:ascii="宋体" w:hAnsi="宋体"/>
          <w:b/>
          <w:color w:val="auto"/>
          <w:sz w:val="28"/>
          <w:u w:val="single"/>
        </w:rPr>
      </w:pPr>
      <w:r>
        <w:rPr>
          <w:rFonts w:hint="eastAsia" w:ascii="宋体" w:hAnsi="宋体"/>
          <w:b/>
          <w:color w:val="auto"/>
          <w:sz w:val="28"/>
        </w:rPr>
        <w:t>法定代表人或授权委托人:</w:t>
      </w:r>
      <w:r>
        <w:rPr>
          <w:rFonts w:hint="eastAsia" w:ascii="宋体" w:hAnsi="宋体"/>
          <w:b/>
          <w:color w:val="auto"/>
          <w:sz w:val="28"/>
          <w:u w:val="single"/>
        </w:rPr>
        <w:t xml:space="preserve">         (签字或盖章)          </w:t>
      </w:r>
      <w:r>
        <w:rPr>
          <w:rFonts w:hint="eastAsia" w:ascii="宋体" w:hAnsi="宋体"/>
          <w:b/>
          <w:color w:val="auto"/>
          <w:sz w:val="28"/>
        </w:rPr>
        <w:t xml:space="preserve"> </w:t>
      </w:r>
    </w:p>
    <w:p>
      <w:pPr>
        <w:spacing w:line="480" w:lineRule="auto"/>
        <w:ind w:left="424" w:leftChars="202"/>
        <w:rPr>
          <w:rFonts w:ascii="宋体" w:hAnsi="宋体"/>
          <w:b/>
          <w:color w:val="auto"/>
          <w:sz w:val="28"/>
        </w:rPr>
      </w:pPr>
      <w:r>
        <w:rPr>
          <w:rFonts w:hint="eastAsia" w:ascii="宋体" w:hAnsi="宋体"/>
          <w:b/>
          <w:color w:val="auto"/>
          <w:sz w:val="28"/>
        </w:rPr>
        <w:t>投标人地址：</w:t>
      </w:r>
      <w:r>
        <w:rPr>
          <w:rFonts w:hint="eastAsia" w:ascii="宋体" w:hAnsi="宋体"/>
          <w:b/>
          <w:color w:val="auto"/>
          <w:sz w:val="28"/>
          <w:u w:val="single"/>
        </w:rPr>
        <w:t xml:space="preserve">                                          </w:t>
      </w:r>
    </w:p>
    <w:p>
      <w:pPr>
        <w:spacing w:line="440" w:lineRule="exact"/>
        <w:ind w:left="424" w:leftChars="202"/>
        <w:jc w:val="left"/>
        <w:rPr>
          <w:rFonts w:ascii="宋体" w:hAnsi="宋体"/>
          <w:b/>
          <w:color w:val="auto"/>
          <w:sz w:val="28"/>
        </w:rPr>
      </w:pPr>
      <w:r>
        <w:rPr>
          <w:rFonts w:hint="eastAsia" w:ascii="宋体" w:hAnsi="宋体"/>
          <w:b/>
          <w:color w:val="auto"/>
          <w:sz w:val="28"/>
        </w:rPr>
        <w:t>日    期：</w:t>
      </w:r>
      <w:r>
        <w:rPr>
          <w:rFonts w:hint="eastAsia" w:ascii="宋体" w:hAnsi="宋体"/>
          <w:b/>
          <w:color w:val="auto"/>
          <w:sz w:val="28"/>
          <w:u w:val="single"/>
        </w:rPr>
        <w:t xml:space="preserve">              </w:t>
      </w:r>
      <w:r>
        <w:rPr>
          <w:rFonts w:hint="eastAsia" w:ascii="宋体" w:hAnsi="宋体"/>
          <w:b/>
          <w:color w:val="auto"/>
          <w:sz w:val="28"/>
        </w:rPr>
        <w:t>年</w:t>
      </w:r>
      <w:r>
        <w:rPr>
          <w:rFonts w:hint="eastAsia" w:ascii="宋体" w:hAnsi="宋体"/>
          <w:b/>
          <w:color w:val="auto"/>
          <w:sz w:val="28"/>
          <w:u w:val="single"/>
        </w:rPr>
        <w:t xml:space="preserve">           </w:t>
      </w:r>
      <w:r>
        <w:rPr>
          <w:rFonts w:hint="eastAsia" w:ascii="宋体" w:hAnsi="宋体"/>
          <w:b/>
          <w:color w:val="auto"/>
          <w:sz w:val="28"/>
        </w:rPr>
        <w:t>月</w:t>
      </w:r>
      <w:r>
        <w:rPr>
          <w:rFonts w:hint="eastAsia" w:ascii="宋体" w:hAnsi="宋体"/>
          <w:b/>
          <w:color w:val="auto"/>
          <w:sz w:val="28"/>
          <w:u w:val="single"/>
        </w:rPr>
        <w:t xml:space="preserve">           </w:t>
      </w:r>
      <w:r>
        <w:rPr>
          <w:rFonts w:hint="eastAsia" w:ascii="宋体" w:hAnsi="宋体"/>
          <w:b/>
          <w:color w:val="auto"/>
          <w:sz w:val="28"/>
        </w:rPr>
        <w:t>日</w:t>
      </w:r>
    </w:p>
    <w:p>
      <w:pPr>
        <w:widowControl/>
        <w:snapToGrid w:val="0"/>
        <w:spacing w:line="240" w:lineRule="exact"/>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p>
    <w:p>
      <w:pPr>
        <w:widowControl/>
        <w:snapToGrid w:val="0"/>
        <w:spacing w:line="480" w:lineRule="atLeast"/>
        <w:jc w:val="center"/>
        <w:rPr>
          <w:rFonts w:ascii="宋体" w:hAnsi="宋体" w:cs="宋体"/>
          <w:b/>
          <w:bCs/>
          <w:color w:val="auto"/>
          <w:kern w:val="0"/>
          <w:sz w:val="30"/>
          <w:szCs w:val="30"/>
        </w:rPr>
      </w:pPr>
      <w:r>
        <w:rPr>
          <w:rFonts w:hint="eastAsia" w:ascii="宋体" w:hAnsi="宋体" w:cs="宋体"/>
          <w:b/>
          <w:bCs/>
          <w:color w:val="auto"/>
          <w:kern w:val="0"/>
          <w:sz w:val="30"/>
          <w:szCs w:val="30"/>
        </w:rPr>
        <w:t>1、谈判投标函</w:t>
      </w:r>
    </w:p>
    <w:p>
      <w:pPr>
        <w:widowControl/>
        <w:snapToGrid w:val="0"/>
        <w:spacing w:line="480" w:lineRule="atLeast"/>
        <w:jc w:val="center"/>
        <w:rPr>
          <w:rFonts w:ascii="宋体" w:hAnsi="宋体" w:cs="宋体"/>
          <w:b/>
          <w:bCs/>
          <w:color w:val="auto"/>
          <w:kern w:val="0"/>
          <w:sz w:val="24"/>
        </w:rPr>
      </w:pPr>
    </w:p>
    <w:p>
      <w:pPr>
        <w:widowControl/>
        <w:spacing w:line="560" w:lineRule="atLeast"/>
        <w:rPr>
          <w:rFonts w:ascii="宋体" w:hAnsi="宋体" w:cs="宋体"/>
          <w:b/>
          <w:color w:val="auto"/>
          <w:kern w:val="0"/>
          <w:sz w:val="24"/>
          <w:u w:val="single"/>
        </w:rPr>
      </w:pPr>
      <w:r>
        <w:rPr>
          <w:rFonts w:hint="eastAsia" w:ascii="黑体" w:hAnsi="Times New Roman" w:eastAsia="黑体" w:cs="宋体"/>
          <w:color w:val="auto"/>
          <w:kern w:val="0"/>
          <w:sz w:val="24"/>
        </w:rPr>
        <w:t>致</w:t>
      </w:r>
      <w:r>
        <w:rPr>
          <w:rFonts w:hint="eastAsia" w:ascii="黑体" w:hAnsi="Times New Roman" w:eastAsia="黑体" w:cs="宋体"/>
          <w:b/>
          <w:color w:val="auto"/>
          <w:kern w:val="0"/>
          <w:sz w:val="24"/>
        </w:rPr>
        <w:t>：</w:t>
      </w:r>
      <w:r>
        <w:rPr>
          <w:rFonts w:hint="eastAsia" w:ascii="宋体" w:hAnsi="宋体" w:cs="宋体"/>
          <w:b/>
          <w:color w:val="auto"/>
          <w:kern w:val="0"/>
          <w:sz w:val="24"/>
          <w:u w:val="single"/>
        </w:rPr>
        <w:t>采购人（名称）</w:t>
      </w:r>
    </w:p>
    <w:p>
      <w:pPr>
        <w:spacing w:line="560" w:lineRule="exact"/>
        <w:ind w:firstLine="352" w:firstLineChars="147"/>
        <w:outlineLvl w:val="1"/>
        <w:rPr>
          <w:rFonts w:ascii="宋体" w:hAnsi="宋体"/>
          <w:color w:val="auto"/>
          <w:sz w:val="24"/>
        </w:rPr>
      </w:pPr>
      <w:r>
        <w:rPr>
          <w:rFonts w:hint="eastAsia" w:ascii="宋体" w:hAnsi="宋体"/>
          <w:color w:val="auto"/>
          <w:sz w:val="24"/>
        </w:rPr>
        <w:t>根据贵方</w:t>
      </w:r>
      <w:r>
        <w:rPr>
          <w:rFonts w:hint="eastAsia" w:ascii="宋体" w:hAnsi="宋体"/>
          <w:color w:val="auto"/>
          <w:sz w:val="24"/>
          <w:u w:val="single"/>
        </w:rPr>
        <w:t xml:space="preserve">                       </w:t>
      </w:r>
      <w:r>
        <w:rPr>
          <w:rFonts w:hint="eastAsia" w:ascii="宋体" w:hAnsi="宋体"/>
          <w:color w:val="auto"/>
          <w:sz w:val="24"/>
        </w:rPr>
        <w:t>（项目名称和项目编号）</w:t>
      </w:r>
      <w:r>
        <w:rPr>
          <w:rFonts w:hint="eastAsia" w:ascii="宋体" w:hAnsi="宋体"/>
          <w:color w:val="auto"/>
          <w:sz w:val="24"/>
          <w:u w:val="single"/>
        </w:rPr>
        <w:t xml:space="preserve">   </w:t>
      </w:r>
      <w:r>
        <w:rPr>
          <w:rFonts w:hint="eastAsia" w:ascii="宋体" w:hAnsi="宋体"/>
          <w:color w:val="auto"/>
          <w:sz w:val="24"/>
        </w:rPr>
        <w:t>标段的竞争性谈判文件，签字代表：</w:t>
      </w:r>
      <w:r>
        <w:rPr>
          <w:rFonts w:hint="eastAsia" w:ascii="宋体" w:hAnsi="宋体"/>
          <w:color w:val="auto"/>
          <w:sz w:val="24"/>
          <w:u w:val="single"/>
        </w:rPr>
        <w:t xml:space="preserve">（法人代表）  </w:t>
      </w:r>
      <w:r>
        <w:rPr>
          <w:rFonts w:hint="eastAsia" w:ascii="宋体" w:hAnsi="宋体"/>
          <w:color w:val="auto"/>
          <w:sz w:val="24"/>
        </w:rPr>
        <w:t>正式授权并代表投标单位</w:t>
      </w:r>
      <w:r>
        <w:rPr>
          <w:rFonts w:hint="eastAsia" w:ascii="宋体" w:hAnsi="宋体"/>
          <w:color w:val="auto"/>
          <w:sz w:val="24"/>
          <w:u w:val="single"/>
        </w:rPr>
        <w:t xml:space="preserve"> （单位名称、单位地址） </w:t>
      </w:r>
      <w:r>
        <w:rPr>
          <w:rFonts w:hint="eastAsia" w:ascii="宋体" w:hAnsi="宋体"/>
          <w:color w:val="auto"/>
          <w:sz w:val="24"/>
        </w:rPr>
        <w:t>提交以下文件正本</w:t>
      </w:r>
      <w:r>
        <w:rPr>
          <w:rFonts w:hint="eastAsia" w:ascii="宋体" w:hAnsi="宋体"/>
          <w:color w:val="auto"/>
          <w:sz w:val="24"/>
          <w:u w:val="single"/>
        </w:rPr>
        <w:t xml:space="preserve">    </w:t>
      </w:r>
      <w:r>
        <w:rPr>
          <w:rFonts w:hint="eastAsia" w:ascii="宋体" w:hAnsi="宋体"/>
          <w:color w:val="auto"/>
          <w:sz w:val="24"/>
        </w:rPr>
        <w:t>份和副本</w:t>
      </w:r>
      <w:r>
        <w:rPr>
          <w:rFonts w:hint="eastAsia" w:ascii="宋体" w:hAnsi="宋体"/>
          <w:color w:val="auto"/>
          <w:sz w:val="24"/>
          <w:u w:val="single"/>
        </w:rPr>
        <w:t xml:space="preserve">    </w:t>
      </w:r>
      <w:r>
        <w:rPr>
          <w:rFonts w:hint="eastAsia" w:ascii="宋体" w:hAnsi="宋体"/>
          <w:color w:val="auto"/>
          <w:sz w:val="24"/>
        </w:rPr>
        <w:t xml:space="preserve">份，并对之负法律责任。 </w:t>
      </w:r>
    </w:p>
    <w:p>
      <w:pPr>
        <w:spacing w:line="560" w:lineRule="exact"/>
        <w:ind w:firstLine="360" w:firstLineChars="150"/>
        <w:outlineLvl w:val="1"/>
        <w:rPr>
          <w:rFonts w:ascii="宋体" w:hAnsi="宋体"/>
          <w:color w:val="auto"/>
          <w:sz w:val="24"/>
        </w:rPr>
      </w:pPr>
      <w:r>
        <w:rPr>
          <w:rFonts w:hint="eastAsia" w:ascii="宋体" w:hAnsi="宋体"/>
          <w:color w:val="auto"/>
          <w:sz w:val="24"/>
        </w:rPr>
        <w:t>据此函，签字代表宣布同意如下：</w:t>
      </w:r>
    </w:p>
    <w:p>
      <w:pPr>
        <w:spacing w:line="560" w:lineRule="exact"/>
        <w:outlineLvl w:val="1"/>
        <w:rPr>
          <w:rFonts w:ascii="宋体" w:hAnsi="宋体"/>
          <w:color w:val="auto"/>
          <w:sz w:val="24"/>
        </w:rPr>
      </w:pPr>
      <w:r>
        <w:rPr>
          <w:rFonts w:hint="eastAsia" w:ascii="宋体" w:hAnsi="宋体"/>
          <w:color w:val="auto"/>
          <w:sz w:val="24"/>
        </w:rPr>
        <w:t xml:space="preserve">     1、我方已仔细研究了</w:t>
      </w:r>
      <w:r>
        <w:rPr>
          <w:rFonts w:hint="eastAsia" w:ascii="宋体" w:hAnsi="宋体"/>
          <w:color w:val="auto"/>
          <w:sz w:val="24"/>
          <w:u w:val="single"/>
        </w:rPr>
        <w:t xml:space="preserve">                     （项目名称）</w:t>
      </w:r>
      <w:r>
        <w:rPr>
          <w:rFonts w:hint="eastAsia" w:ascii="宋体" w:hAnsi="宋体"/>
          <w:color w:val="auto"/>
          <w:sz w:val="24"/>
        </w:rPr>
        <w:t>谈判文件的全部内容，愿意以人民币</w:t>
      </w:r>
      <w:r>
        <w:rPr>
          <w:rFonts w:hint="eastAsia" w:ascii="宋体" w:hAnsi="宋体"/>
          <w:color w:val="auto"/>
          <w:sz w:val="24"/>
          <w:u w:val="single"/>
        </w:rPr>
        <w:t xml:space="preserve">             元</w:t>
      </w:r>
      <w:r>
        <w:rPr>
          <w:rFonts w:hint="eastAsia" w:ascii="宋体" w:hAnsi="宋体"/>
          <w:color w:val="auto"/>
          <w:sz w:val="24"/>
        </w:rPr>
        <w:t>的投标报价，承担本项目的工作。</w:t>
      </w:r>
    </w:p>
    <w:p>
      <w:pPr>
        <w:spacing w:line="560" w:lineRule="exact"/>
        <w:ind w:firstLine="600" w:firstLineChars="250"/>
        <w:outlineLvl w:val="1"/>
        <w:rPr>
          <w:rFonts w:ascii="宋体" w:hAnsi="宋体"/>
          <w:color w:val="auto"/>
          <w:sz w:val="24"/>
        </w:rPr>
      </w:pPr>
      <w:r>
        <w:rPr>
          <w:rFonts w:hint="eastAsia" w:ascii="宋体" w:hAnsi="宋体"/>
          <w:color w:val="auto"/>
          <w:sz w:val="24"/>
        </w:rPr>
        <w:t>2、如果我们的响应性谈判文件被接受，我们将按竞争性谈判文件的规定签订并严格履行合同中的责任和义务。</w:t>
      </w:r>
    </w:p>
    <w:p>
      <w:pPr>
        <w:spacing w:line="560" w:lineRule="exact"/>
        <w:ind w:firstLine="600" w:firstLineChars="250"/>
        <w:outlineLvl w:val="1"/>
        <w:rPr>
          <w:rFonts w:ascii="宋体" w:hAnsi="宋体"/>
          <w:color w:val="auto"/>
          <w:sz w:val="24"/>
        </w:rPr>
      </w:pPr>
      <w:r>
        <w:rPr>
          <w:rFonts w:hint="eastAsia" w:ascii="宋体" w:hAnsi="宋体"/>
          <w:color w:val="auto"/>
          <w:sz w:val="24"/>
        </w:rPr>
        <w:t>3、投标供应商已详细审查全部竞争性谈判文件，包括修改文件以及全部参考资料和有关附件。我们完全理解并同意放弃对这方面有不明及误解的权力。</w:t>
      </w:r>
    </w:p>
    <w:p>
      <w:pPr>
        <w:spacing w:line="560" w:lineRule="exact"/>
        <w:ind w:firstLine="600" w:firstLineChars="250"/>
        <w:outlineLvl w:val="1"/>
        <w:rPr>
          <w:rFonts w:ascii="宋体" w:hAnsi="宋体"/>
          <w:color w:val="auto"/>
          <w:sz w:val="24"/>
        </w:rPr>
      </w:pPr>
      <w:r>
        <w:rPr>
          <w:rFonts w:hint="eastAsia" w:ascii="宋体" w:hAnsi="宋体"/>
          <w:color w:val="auto"/>
          <w:sz w:val="24"/>
        </w:rPr>
        <w:t>4、本投标自开标日起有效期为60个日历天。</w:t>
      </w:r>
    </w:p>
    <w:p>
      <w:pPr>
        <w:spacing w:line="560" w:lineRule="exact"/>
        <w:ind w:firstLine="600" w:firstLineChars="250"/>
        <w:outlineLvl w:val="1"/>
        <w:rPr>
          <w:rFonts w:ascii="宋体" w:hAnsi="宋体"/>
          <w:color w:val="auto"/>
          <w:sz w:val="24"/>
        </w:rPr>
      </w:pPr>
      <w:r>
        <w:rPr>
          <w:rFonts w:hint="eastAsia" w:ascii="宋体" w:hAnsi="宋体"/>
          <w:color w:val="auto"/>
          <w:sz w:val="24"/>
        </w:rPr>
        <w:t>5、如果在规定的开标时间后，投标供应商在投标有效期内撤回投标，其投标保证金将被贵方没收。</w:t>
      </w:r>
    </w:p>
    <w:p>
      <w:pPr>
        <w:spacing w:line="560" w:lineRule="exact"/>
        <w:ind w:firstLine="600" w:firstLineChars="250"/>
        <w:outlineLvl w:val="1"/>
        <w:rPr>
          <w:rFonts w:ascii="宋体" w:hAnsi="宋体"/>
          <w:color w:val="auto"/>
          <w:sz w:val="24"/>
        </w:rPr>
      </w:pPr>
      <w:r>
        <w:rPr>
          <w:rFonts w:hint="eastAsia" w:ascii="宋体" w:hAnsi="宋体"/>
          <w:color w:val="auto"/>
          <w:sz w:val="24"/>
        </w:rPr>
        <w:t>6、投标供应商同意提供按照贵方可能要求的与其投标有关的一切数据或资料，完全理解贵方不一定接受最低价的投标或没收任何投标。</w:t>
      </w:r>
    </w:p>
    <w:p>
      <w:pPr>
        <w:spacing w:line="560" w:lineRule="exact"/>
        <w:outlineLvl w:val="1"/>
        <w:rPr>
          <w:rFonts w:ascii="宋体" w:hAnsi="宋体"/>
          <w:color w:val="auto"/>
          <w:sz w:val="24"/>
          <w:u w:val="single"/>
        </w:rPr>
      </w:pPr>
      <w:r>
        <w:rPr>
          <w:rFonts w:hint="eastAsia" w:ascii="宋体" w:hAnsi="宋体"/>
          <w:color w:val="auto"/>
          <w:sz w:val="24"/>
        </w:rPr>
        <w:t xml:space="preserve">                       投标供应商名称（公章）： </w:t>
      </w:r>
      <w:r>
        <w:rPr>
          <w:rFonts w:hint="eastAsia" w:ascii="宋体" w:hAnsi="宋体"/>
          <w:color w:val="auto"/>
          <w:sz w:val="24"/>
          <w:u w:val="single"/>
        </w:rPr>
        <w:t xml:space="preserve">                   </w:t>
      </w:r>
    </w:p>
    <w:p>
      <w:pPr>
        <w:spacing w:line="560" w:lineRule="exact"/>
        <w:outlineLvl w:val="1"/>
        <w:rPr>
          <w:rFonts w:ascii="宋体" w:hAnsi="宋体"/>
          <w:b/>
          <w:color w:val="auto"/>
          <w:sz w:val="24"/>
          <w:u w:val="single"/>
        </w:rPr>
      </w:pPr>
      <w:r>
        <w:rPr>
          <w:rFonts w:hint="eastAsia" w:ascii="宋体" w:hAnsi="宋体"/>
          <w:color w:val="auto"/>
          <w:sz w:val="24"/>
        </w:rPr>
        <w:t xml:space="preserve">                       法定代表人或授权委托人签字:</w:t>
      </w:r>
      <w:r>
        <w:rPr>
          <w:rFonts w:hint="eastAsia" w:ascii="宋体" w:hAnsi="宋体"/>
          <w:b/>
          <w:color w:val="auto"/>
          <w:sz w:val="24"/>
          <w:u w:val="single"/>
        </w:rPr>
        <w:t xml:space="preserve">             </w:t>
      </w:r>
    </w:p>
    <w:p>
      <w:pPr>
        <w:spacing w:line="560" w:lineRule="exact"/>
        <w:ind w:firstLine="4560" w:firstLineChars="1900"/>
        <w:outlineLvl w:val="1"/>
        <w:rPr>
          <w:rFonts w:ascii="宋体" w:hAnsi="宋体"/>
          <w:color w:val="auto"/>
          <w:sz w:val="24"/>
        </w:rPr>
      </w:pPr>
    </w:p>
    <w:p>
      <w:pPr>
        <w:spacing w:line="560" w:lineRule="exact"/>
        <w:ind w:firstLine="4560" w:firstLineChars="1900"/>
        <w:outlineLvl w:val="1"/>
        <w:rPr>
          <w:rFonts w:ascii="宋体" w:hAnsi="宋体"/>
          <w:color w:val="auto"/>
          <w:sz w:val="24"/>
        </w:rPr>
      </w:pPr>
      <w:r>
        <w:rPr>
          <w:rFonts w:hint="eastAsia" w:ascii="宋体" w:hAnsi="宋体"/>
          <w:color w:val="auto"/>
          <w:sz w:val="24"/>
        </w:rPr>
        <w:t>日   期：     年   月  日</w:t>
      </w:r>
    </w:p>
    <w:p>
      <w:pPr>
        <w:pStyle w:val="3"/>
        <w:spacing w:line="360" w:lineRule="exact"/>
        <w:jc w:val="both"/>
        <w:rPr>
          <w:rFonts w:ascii="宋体" w:eastAsia="宋体"/>
          <w:color w:val="auto"/>
          <w:sz w:val="30"/>
          <w:szCs w:val="30"/>
        </w:rPr>
      </w:pPr>
    </w:p>
    <w:p>
      <w:pPr>
        <w:rPr>
          <w:color w:val="auto"/>
        </w:rPr>
      </w:pPr>
    </w:p>
    <w:p>
      <w:pPr>
        <w:rPr>
          <w:color w:val="auto"/>
        </w:rPr>
      </w:pPr>
    </w:p>
    <w:p>
      <w:pPr>
        <w:rPr>
          <w:color w:val="auto"/>
        </w:rPr>
      </w:pPr>
    </w:p>
    <w:p>
      <w:pPr>
        <w:rPr>
          <w:color w:val="auto"/>
        </w:rPr>
      </w:pPr>
    </w:p>
    <w:p>
      <w:pPr>
        <w:pStyle w:val="3"/>
        <w:spacing w:line="360" w:lineRule="exact"/>
        <w:rPr>
          <w:rFonts w:ascii="宋体" w:eastAsia="宋体"/>
          <w:color w:val="auto"/>
        </w:rPr>
      </w:pPr>
      <w:r>
        <w:rPr>
          <w:rFonts w:hint="eastAsia" w:ascii="宋体" w:eastAsia="宋体"/>
          <w:color w:val="auto"/>
        </w:rPr>
        <w:t>2、第一轮报价表</w:t>
      </w:r>
    </w:p>
    <w:p>
      <w:pPr>
        <w:widowControl/>
        <w:spacing w:line="360" w:lineRule="exact"/>
        <w:jc w:val="left"/>
        <w:outlineLvl w:val="1"/>
        <w:rPr>
          <w:rFonts w:ascii="宋体" w:hAnsi="宋体"/>
          <w:color w:val="auto"/>
          <w:kern w:val="0"/>
          <w:sz w:val="32"/>
          <w:szCs w:val="32"/>
        </w:rPr>
      </w:pPr>
    </w:p>
    <w:p>
      <w:pPr>
        <w:pStyle w:val="3"/>
        <w:rPr>
          <w:rFonts w:ascii="宋体" w:eastAsia="宋体"/>
          <w:color w:val="auto"/>
          <w:sz w:val="28"/>
          <w:szCs w:val="28"/>
        </w:rPr>
      </w:pPr>
      <w:r>
        <w:rPr>
          <w:rFonts w:hint="eastAsia" w:ascii="宋体" w:eastAsia="宋体"/>
          <w:color w:val="auto"/>
          <w:sz w:val="28"/>
          <w:szCs w:val="28"/>
        </w:rPr>
        <w:t>开标一览表</w:t>
      </w:r>
    </w:p>
    <w:p>
      <w:pPr>
        <w:spacing w:line="360" w:lineRule="exact"/>
        <w:jc w:val="center"/>
        <w:rPr>
          <w:rFonts w:ascii="宋体" w:hAnsi="宋体"/>
          <w:b/>
          <w:color w:val="auto"/>
          <w:szCs w:val="21"/>
        </w:rPr>
      </w:pPr>
    </w:p>
    <w:tbl>
      <w:tblPr>
        <w:tblStyle w:val="23"/>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r>
              <w:rPr>
                <w:rFonts w:hint="eastAsia" w:ascii="宋体" w:hAnsi="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p>
            <w:pPr>
              <w:spacing w:line="360" w:lineRule="exact"/>
              <w:ind w:firstLine="1575" w:firstLineChars="750"/>
              <w:rPr>
                <w:rFonts w:ascii="宋体" w:hAnsi="宋体"/>
                <w:color w:val="auto"/>
                <w:szCs w:val="21"/>
              </w:rPr>
            </w:pPr>
            <w:r>
              <w:rPr>
                <w:rFonts w:ascii="宋体" w:hAnsi="宋体"/>
                <w:color w:val="auto"/>
                <w:szCs w:val="21"/>
              </w:rPr>
              <mc:AlternateContent>
                <mc:Choice Requires="wps">
                  <w:drawing>
                    <wp:anchor distT="0" distB="0" distL="114300" distR="114300" simplePos="0" relativeHeight="251656192"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1" name="Line 2"/>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2" o:spid="_x0000_s1026" o:spt="20" style="position:absolute;left:0pt;margin-left:169.75pt;margin-top:17.9pt;height:0pt;width:84pt;z-index:251656192;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H1P8A1gAAAAkBAAAPAAAAAAAAAAEAIAAAACIAAABkcnMvZG93bnJldi54bWxQ&#10;SwECFAAUAAAACACHTuJAgQgjRMABAACLAwAADgAAAAAAAAABACAAAAAlAQAAZHJzL2Uyb0RvYy54&#10;bWxQSwUGAAAAAAYABgBZAQAAVwUAAAAA&#10;">
                      <v:fill on="f" focussize="0,0"/>
                      <v:stroke color="#000000" joinstyle="round"/>
                      <v:imagedata o:title=""/>
                      <o:lock v:ext="edit" aspectratio="f"/>
                    </v:line>
                  </w:pict>
                </mc:Fallback>
              </mc:AlternateContent>
            </w:r>
            <w:r>
              <w:rPr>
                <w:rFonts w:hint="eastAsia" w:ascii="宋体" w:hAnsi="宋体"/>
                <w:color w:val="auto"/>
                <w:szCs w:val="21"/>
              </w:rPr>
              <w:t>人民币大写：</w:t>
            </w:r>
          </w:p>
          <w:p>
            <w:pPr>
              <w:spacing w:line="360" w:lineRule="exact"/>
              <w:ind w:firstLine="1575" w:firstLineChars="750"/>
              <w:rPr>
                <w:rFonts w:ascii="宋体" w:hAnsi="宋体"/>
                <w:color w:val="auto"/>
                <w:szCs w:val="21"/>
              </w:rPr>
            </w:pPr>
            <w:r>
              <w:rPr>
                <w:rFonts w:ascii="宋体" w:hAnsi="宋体"/>
                <w:color w:val="auto"/>
                <w:szCs w:val="21"/>
              </w:rPr>
              <mc:AlternateContent>
                <mc:Choice Requires="wps">
                  <w:drawing>
                    <wp:anchor distT="0" distB="0" distL="114300" distR="114300" simplePos="0" relativeHeight="251657216"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2" name="Line 3"/>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3" o:spid="_x0000_s1026" o:spt="20" style="position:absolute;left:0pt;margin-left:169.85pt;margin-top:19.1pt;height:0pt;width:84pt;z-index:251657216;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g33G8dYAAAAJAQAADwAAAAAAAAABACAAAAAiAAAAZHJzL2Rvd25yZXYueG1s&#10;UEsBAhQAFAAAAAgAh07iQGgzfHXBAQAAiwMAAA4AAAAAAAAAAQAgAAAAJQEAAGRycy9lMm9Eb2Mu&#10;eG1sUEsFBgAAAAAGAAYAWQEAAFgFAAAAAA==&#10;">
                      <v:fill on="f" focussize="0,0"/>
                      <v:stroke color="#000000" joinstyle="round"/>
                      <v:imagedata o:title=""/>
                      <o:lock v:ext="edit" aspectratio="f"/>
                    </v:line>
                  </w:pict>
                </mc:Fallback>
              </mc:AlternateContent>
            </w:r>
            <w:r>
              <w:rPr>
                <w:rFonts w:hint="eastAsia" w:ascii="宋体" w:hAnsi="宋体"/>
                <w:color w:val="auto"/>
                <w:szCs w:val="21"/>
              </w:rPr>
              <w:t>人民币小写：</w:t>
            </w:r>
          </w:p>
          <w:p>
            <w:pPr>
              <w:spacing w:line="360" w:lineRule="exact"/>
              <w:jc w:val="center"/>
              <w:rPr>
                <w:rFonts w:ascii="宋体" w:hAnsi="宋体"/>
                <w:color w:val="auto"/>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olor w:val="auto"/>
                <w:szCs w:val="21"/>
              </w:rPr>
            </w:pPr>
            <w:r>
              <w:rPr>
                <w:rFonts w:hint="eastAsia" w:ascii="宋体" w:hAnsi="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自签订合同之日起</w:t>
            </w:r>
            <w:r>
              <w:rPr>
                <w:rFonts w:hint="eastAsia" w:ascii="宋体" w:hAnsi="宋体"/>
                <w:color w:val="auto"/>
                <w:szCs w:val="21"/>
                <w:u w:val="single"/>
              </w:rPr>
              <w:t xml:space="preserve">    </w:t>
            </w:r>
            <w:r>
              <w:rPr>
                <w:rFonts w:hint="eastAsia" w:ascii="宋体" w:hAnsi="宋体"/>
                <w:color w:val="auto"/>
                <w:szCs w:val="21"/>
              </w:rPr>
              <w:t>日</w:t>
            </w: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olor w:val="auto"/>
                <w:szCs w:val="21"/>
              </w:rPr>
            </w:pP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b/>
                <w:color w:val="auto"/>
                <w:szCs w:val="21"/>
              </w:rPr>
            </w:pPr>
            <w:r>
              <w:rPr>
                <w:rFonts w:hint="eastAsia" w:ascii="宋体" w:hAnsi="宋体"/>
                <w:b/>
                <w:color w:val="auto"/>
                <w:szCs w:val="21"/>
              </w:rPr>
              <w:t>说明：</w:t>
            </w:r>
          </w:p>
          <w:p>
            <w:pPr>
              <w:spacing w:line="360" w:lineRule="exact"/>
              <w:rPr>
                <w:rFonts w:ascii="宋体" w:hAnsi="宋体"/>
                <w:color w:val="auto"/>
                <w:szCs w:val="21"/>
              </w:rPr>
            </w:pPr>
            <w:r>
              <w:rPr>
                <w:rFonts w:ascii="宋体" w:hAnsi="宋体"/>
                <w:color w:val="auto"/>
                <w:szCs w:val="21"/>
              </w:rPr>
              <w:t>1</w:t>
            </w:r>
            <w:r>
              <w:rPr>
                <w:rFonts w:hint="eastAsia" w:ascii="宋体" w:hAnsi="宋体"/>
                <w:color w:val="auto"/>
                <w:szCs w:val="21"/>
              </w:rPr>
              <w:t>、本表投标总价应与</w:t>
            </w:r>
            <w:r>
              <w:rPr>
                <w:rFonts w:hint="eastAsia" w:ascii="宋体" w:hAnsi="宋体"/>
                <w:color w:val="auto"/>
                <w:szCs w:val="21"/>
                <w:u w:val="single"/>
              </w:rPr>
              <w:t>投标文件中报价表、投标函的总报价一致</w:t>
            </w:r>
            <w:r>
              <w:rPr>
                <w:rFonts w:hint="eastAsia" w:ascii="宋体" w:hAnsi="宋体"/>
                <w:color w:val="auto"/>
                <w:szCs w:val="21"/>
              </w:rPr>
              <w:t>，不一致者以《投标函》中总报价为准（大小写不一致以大写金额为准），投标人将承担由此造成的一切后果。</w:t>
            </w:r>
          </w:p>
          <w:p>
            <w:pPr>
              <w:spacing w:line="360" w:lineRule="exact"/>
              <w:rPr>
                <w:rFonts w:ascii="宋体" w:hAnsi="宋体"/>
                <w:color w:val="auto"/>
                <w:szCs w:val="21"/>
              </w:rPr>
            </w:pPr>
            <w:r>
              <w:rPr>
                <w:rFonts w:ascii="宋体" w:hAnsi="宋体"/>
                <w:color w:val="auto"/>
                <w:szCs w:val="21"/>
              </w:rPr>
              <w:t>2</w:t>
            </w:r>
            <w:r>
              <w:rPr>
                <w:rFonts w:hint="eastAsia" w:ascii="宋体" w:hAnsi="宋体"/>
                <w:color w:val="auto"/>
                <w:szCs w:val="21"/>
              </w:rPr>
              <w:t>、与本表同时公开唱标的内容包括对其投标文件的修改或撤回通知、投标价折扣声明、其他采购人认为应该宣读的内容等。</w:t>
            </w:r>
          </w:p>
          <w:p>
            <w:pPr>
              <w:spacing w:line="360" w:lineRule="exact"/>
              <w:rPr>
                <w:rFonts w:ascii="宋体" w:hAnsi="宋体"/>
                <w:color w:val="auto"/>
                <w:szCs w:val="21"/>
              </w:rPr>
            </w:pPr>
            <w:r>
              <w:rPr>
                <w:rFonts w:ascii="宋体" w:hAnsi="宋体"/>
                <w:color w:val="auto"/>
                <w:szCs w:val="21"/>
              </w:rPr>
              <w:t>3</w:t>
            </w:r>
            <w:r>
              <w:rPr>
                <w:rFonts w:hint="eastAsia" w:ascii="宋体" w:hAnsi="宋体"/>
                <w:color w:val="auto"/>
                <w:szCs w:val="21"/>
              </w:rPr>
              <w:t>、投标总报价应包含成本、运输、税金、培训、安装调试等一切与之相关费用</w:t>
            </w:r>
            <w:r>
              <w:rPr>
                <w:rFonts w:hint="eastAsia" w:ascii="宋体" w:hAnsi="宋体"/>
                <w:b/>
                <w:color w:val="auto"/>
                <w:szCs w:val="21"/>
              </w:rPr>
              <w:t>。</w:t>
            </w:r>
          </w:p>
        </w:tc>
      </w:tr>
    </w:tbl>
    <w:p>
      <w:pPr>
        <w:pStyle w:val="8"/>
        <w:spacing w:line="360" w:lineRule="exact"/>
        <w:ind w:left="0" w:leftChars="0" w:firstLine="320" w:firstLineChars="100"/>
        <w:rPr>
          <w:rFonts w:ascii="宋体"/>
          <w:color w:val="auto"/>
          <w:szCs w:val="21"/>
        </w:rPr>
      </w:pPr>
    </w:p>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投标人名称（公章）：</w:t>
      </w:r>
    </w:p>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法定代表人或授权委托人签字:</w:t>
      </w:r>
    </w:p>
    <w:p>
      <w:pPr>
        <w:pStyle w:val="8"/>
        <w:spacing w:line="360" w:lineRule="exact"/>
        <w:rPr>
          <w:rFonts w:ascii="宋体"/>
          <w:color w:val="auto"/>
          <w:szCs w:val="21"/>
        </w:rPr>
      </w:pPr>
    </w:p>
    <w:p>
      <w:pPr>
        <w:spacing w:line="360" w:lineRule="exact"/>
        <w:rPr>
          <w:rFonts w:ascii="宋体" w:hAnsi="宋体"/>
          <w:color w:val="auto"/>
          <w:szCs w:val="21"/>
        </w:rPr>
      </w:pPr>
      <w:r>
        <w:rPr>
          <w:rFonts w:hint="eastAsia" w:ascii="宋体" w:hAnsi="宋体"/>
          <w:color w:val="auto"/>
          <w:szCs w:val="21"/>
        </w:rPr>
        <w:t xml:space="preserve">                                                          年    月   日</w:t>
      </w:r>
    </w:p>
    <w:p>
      <w:pPr>
        <w:autoSpaceDE w:val="0"/>
        <w:autoSpaceDN w:val="0"/>
        <w:adjustRightInd w:val="0"/>
        <w:spacing w:line="480" w:lineRule="exact"/>
        <w:jc w:val="center"/>
        <w:rPr>
          <w:rFonts w:ascii="宋体" w:hAnsi="宋体"/>
          <w:b/>
          <w:color w:val="auto"/>
          <w:sz w:val="28"/>
          <w:szCs w:val="28"/>
        </w:rPr>
      </w:pPr>
    </w:p>
    <w:p>
      <w:pPr>
        <w:autoSpaceDE w:val="0"/>
        <w:autoSpaceDN w:val="0"/>
        <w:adjustRightInd w:val="0"/>
        <w:spacing w:line="160" w:lineRule="exact"/>
        <w:jc w:val="center"/>
        <w:rPr>
          <w:rFonts w:ascii="宋体" w:hAnsi="宋体"/>
          <w:b/>
          <w:color w:val="auto"/>
          <w:sz w:val="24"/>
        </w:rPr>
      </w:pPr>
    </w:p>
    <w:p>
      <w:pPr>
        <w:spacing w:line="360" w:lineRule="exact"/>
        <w:jc w:val="center"/>
        <w:outlineLvl w:val="1"/>
        <w:rPr>
          <w:rFonts w:ascii="宋体" w:hAnsi="宋体"/>
          <w:color w:val="auto"/>
          <w:sz w:val="24"/>
        </w:rPr>
      </w:pPr>
      <w:r>
        <w:rPr>
          <w:rFonts w:hint="eastAsia" w:ascii="宋体" w:hAnsi="宋体"/>
          <w:color w:val="auto"/>
          <w:sz w:val="24"/>
        </w:rPr>
        <w:t xml:space="preserve">                                                       </w:t>
      </w:r>
    </w:p>
    <w:p>
      <w:pPr>
        <w:spacing w:line="360" w:lineRule="exact"/>
        <w:outlineLvl w:val="1"/>
        <w:rPr>
          <w:rFonts w:ascii="宋体" w:hAnsi="宋体"/>
          <w:color w:val="auto"/>
          <w:sz w:val="24"/>
        </w:rPr>
      </w:pPr>
    </w:p>
    <w:p>
      <w:pPr>
        <w:pStyle w:val="3"/>
        <w:rPr>
          <w:rFonts w:ascii="宋体" w:eastAsia="宋体"/>
          <w:color w:val="auto"/>
          <w:sz w:val="28"/>
          <w:szCs w:val="28"/>
        </w:rPr>
      </w:pPr>
      <w:r>
        <w:rPr>
          <w:rFonts w:hint="eastAsia" w:ascii="宋体" w:eastAsia="宋体"/>
          <w:color w:val="auto"/>
          <w:sz w:val="28"/>
          <w:szCs w:val="28"/>
        </w:rPr>
        <w:t>货物分项报价一览表</w:t>
      </w:r>
    </w:p>
    <w:p>
      <w:pPr>
        <w:widowControl/>
        <w:spacing w:line="360" w:lineRule="exact"/>
        <w:jc w:val="left"/>
        <w:rPr>
          <w:rFonts w:ascii="宋体" w:hAnsi="宋体"/>
          <w:color w:val="auto"/>
          <w:kern w:val="0"/>
          <w:szCs w:val="21"/>
        </w:rPr>
      </w:pPr>
    </w:p>
    <w:tbl>
      <w:tblPr>
        <w:tblStyle w:val="23"/>
        <w:tblW w:w="9469" w:type="dxa"/>
        <w:jc w:val="center"/>
        <w:tblInd w:w="0" w:type="dxa"/>
        <w:tblLayout w:type="fixed"/>
        <w:tblCellMar>
          <w:top w:w="0" w:type="dxa"/>
          <w:left w:w="0" w:type="dxa"/>
          <w:bottom w:w="0" w:type="dxa"/>
          <w:right w:w="0" w:type="dxa"/>
        </w:tblCellMar>
      </w:tblPr>
      <w:tblGrid>
        <w:gridCol w:w="668"/>
        <w:gridCol w:w="1444"/>
        <w:gridCol w:w="1806"/>
        <w:gridCol w:w="925"/>
        <w:gridCol w:w="595"/>
        <w:gridCol w:w="1070"/>
        <w:gridCol w:w="1249"/>
        <w:gridCol w:w="1712"/>
      </w:tblGrid>
      <w:tr>
        <w:tblPrEx>
          <w:tblLayout w:type="fixed"/>
          <w:tblCellMar>
            <w:top w:w="0" w:type="dxa"/>
            <w:left w:w="0" w:type="dxa"/>
            <w:bottom w:w="0" w:type="dxa"/>
            <w:right w:w="0" w:type="dxa"/>
          </w:tblCellMar>
        </w:tblPrEx>
        <w:trPr>
          <w:cantSplit/>
          <w:trHeight w:val="727" w:hRule="atLeast"/>
          <w:jc w:val="center"/>
        </w:trPr>
        <w:tc>
          <w:tcPr>
            <w:tcW w:w="9469" w:type="dxa"/>
            <w:gridSpan w:val="8"/>
            <w:tcMar>
              <w:top w:w="20" w:type="dxa"/>
              <w:left w:w="20" w:type="dxa"/>
              <w:bottom w:w="0" w:type="dxa"/>
              <w:right w:w="20" w:type="dxa"/>
            </w:tcMar>
            <w:vAlign w:val="center"/>
          </w:tcPr>
          <w:p>
            <w:pPr>
              <w:spacing w:line="360" w:lineRule="exact"/>
              <w:rPr>
                <w:rFonts w:ascii="宋体" w:hAnsi="宋体"/>
                <w:b/>
                <w:color w:val="auto"/>
                <w:szCs w:val="21"/>
              </w:rPr>
            </w:pPr>
            <w:r>
              <w:rPr>
                <w:rFonts w:hint="eastAsia" w:ascii="宋体" w:hAnsi="宋体"/>
                <w:b/>
                <w:color w:val="auto"/>
                <w:szCs w:val="21"/>
              </w:rPr>
              <w:t>投标商： （此处填名称并盖章）</w:t>
            </w:r>
          </w:p>
        </w:tc>
      </w:tr>
      <w:tr>
        <w:tblPrEx>
          <w:tblLayout w:type="fixed"/>
          <w:tblCellMar>
            <w:top w:w="0" w:type="dxa"/>
            <w:left w:w="0" w:type="dxa"/>
            <w:bottom w:w="0" w:type="dxa"/>
            <w:right w:w="0" w:type="dxa"/>
          </w:tblCellMar>
        </w:tblPrEx>
        <w:trPr>
          <w:cantSplit/>
          <w:trHeight w:val="765" w:hRule="atLeast"/>
          <w:jc w:val="center"/>
        </w:trPr>
        <w:tc>
          <w:tcPr>
            <w:tcW w:w="9469" w:type="dxa"/>
            <w:gridSpan w:val="8"/>
            <w:tcMar>
              <w:top w:w="20" w:type="dxa"/>
              <w:left w:w="20" w:type="dxa"/>
              <w:bottom w:w="0" w:type="dxa"/>
              <w:right w:w="20" w:type="dxa"/>
            </w:tcMar>
            <w:vAlign w:val="center"/>
          </w:tcPr>
          <w:p>
            <w:pPr>
              <w:spacing w:line="360" w:lineRule="exact"/>
              <w:rPr>
                <w:rFonts w:ascii="宋体" w:hAnsi="宋体"/>
                <w:b/>
                <w:color w:val="auto"/>
                <w:szCs w:val="21"/>
              </w:rPr>
            </w:pPr>
            <w:r>
              <w:rPr>
                <w:rFonts w:hint="eastAsia" w:ascii="宋体" w:hAnsi="宋体"/>
                <w:b/>
                <w:color w:val="auto"/>
                <w:szCs w:val="21"/>
              </w:rPr>
              <w:t>项  目： （此处填项目名称）                     金额单位：  元</w:t>
            </w:r>
          </w:p>
        </w:tc>
      </w:tr>
      <w:tr>
        <w:tblPrEx>
          <w:tblLayout w:type="fixed"/>
          <w:tblCellMar>
            <w:top w:w="0" w:type="dxa"/>
            <w:left w:w="0" w:type="dxa"/>
            <w:bottom w:w="0" w:type="dxa"/>
            <w:right w:w="0" w:type="dxa"/>
          </w:tblCellMar>
        </w:tblPrEx>
        <w:trPr>
          <w:trHeight w:val="738"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序号</w:t>
            </w: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设备名称</w:t>
            </w: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品牌型号参数</w:t>
            </w: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单位</w:t>
            </w: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数量</w:t>
            </w: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单价</w:t>
            </w: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合计</w:t>
            </w: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r>
              <w:rPr>
                <w:rFonts w:hint="eastAsia" w:ascii="宋体" w:hAnsi="宋体"/>
                <w:color w:val="auto"/>
                <w:szCs w:val="21"/>
              </w:rPr>
              <w:t>备注</w:t>
            </w:r>
          </w:p>
        </w:tc>
      </w:tr>
      <w:tr>
        <w:tblPrEx>
          <w:tblLayout w:type="fixed"/>
          <w:tblCellMar>
            <w:top w:w="0" w:type="dxa"/>
            <w:left w:w="0" w:type="dxa"/>
            <w:bottom w:w="0" w:type="dxa"/>
            <w:right w:w="0" w:type="dxa"/>
          </w:tblCellMar>
        </w:tblPrEx>
        <w:trPr>
          <w:trHeight w:val="675" w:hRule="atLeast"/>
          <w:jc w:val="center"/>
        </w:trPr>
        <w:tc>
          <w:tcPr>
            <w:tcW w:w="66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675" w:hRule="atLeast"/>
          <w:jc w:val="center"/>
        </w:trPr>
        <w:tc>
          <w:tcPr>
            <w:tcW w:w="66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44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80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92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5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07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24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c>
          <w:tcPr>
            <w:tcW w:w="171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trHeight w:val="801" w:hRule="atLeast"/>
          <w:jc w:val="center"/>
        </w:trPr>
        <w:tc>
          <w:tcPr>
            <w:tcW w:w="9469"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360" w:lineRule="exact"/>
              <w:ind w:firstLine="420" w:firstLineChars="200"/>
              <w:rPr>
                <w:rFonts w:ascii="宋体" w:hAnsi="宋体"/>
                <w:color w:val="auto"/>
                <w:szCs w:val="21"/>
              </w:rPr>
            </w:pPr>
          </w:p>
          <w:p>
            <w:pPr>
              <w:spacing w:line="360" w:lineRule="exact"/>
              <w:ind w:firstLine="420" w:firstLineChars="200"/>
              <w:rPr>
                <w:rFonts w:ascii="宋体" w:hAnsi="宋体"/>
                <w:color w:val="auto"/>
                <w:szCs w:val="21"/>
                <w:u w:val="single"/>
              </w:rPr>
            </w:pPr>
            <w:r>
              <w:rPr>
                <w:rFonts w:hint="eastAsia" w:ascii="宋体" w:hAnsi="宋体"/>
                <w:color w:val="auto"/>
                <w:szCs w:val="21"/>
              </w:rPr>
              <w:t>优惠条件：1、</w:t>
            </w:r>
            <w:r>
              <w:rPr>
                <w:rFonts w:hint="eastAsia" w:ascii="宋体" w:hAnsi="宋体"/>
                <w:color w:val="auto"/>
                <w:szCs w:val="21"/>
                <w:u w:val="single"/>
              </w:rPr>
              <w:t xml:space="preserve">                                               </w:t>
            </w:r>
          </w:p>
          <w:p>
            <w:pPr>
              <w:spacing w:line="360" w:lineRule="exact"/>
              <w:rPr>
                <w:rFonts w:ascii="宋体" w:hAnsi="宋体"/>
                <w:color w:val="auto"/>
                <w:szCs w:val="21"/>
                <w:u w:val="single"/>
              </w:rPr>
            </w:pPr>
            <w:r>
              <w:rPr>
                <w:rFonts w:hint="eastAsia" w:ascii="宋体" w:hAnsi="宋体"/>
                <w:color w:val="auto"/>
                <w:szCs w:val="21"/>
              </w:rPr>
              <w:t xml:space="preserve">              2、</w:t>
            </w:r>
            <w:r>
              <w:rPr>
                <w:rFonts w:hint="eastAsia" w:ascii="宋体" w:hAnsi="宋体"/>
                <w:color w:val="auto"/>
                <w:szCs w:val="21"/>
                <w:u w:val="single"/>
              </w:rPr>
              <w:t xml:space="preserve">                                               </w:t>
            </w:r>
          </w:p>
          <w:p>
            <w:pPr>
              <w:spacing w:line="360" w:lineRule="exact"/>
              <w:rPr>
                <w:rFonts w:ascii="宋体" w:hAnsi="宋体"/>
                <w:color w:val="auto"/>
                <w:szCs w:val="21"/>
                <w:u w:val="single"/>
              </w:rPr>
            </w:pPr>
            <w:r>
              <w:rPr>
                <w:rFonts w:hint="eastAsia" w:ascii="宋体" w:hAnsi="宋体"/>
                <w:color w:val="auto"/>
                <w:szCs w:val="21"/>
              </w:rPr>
              <w:t xml:space="preserve">              3、</w:t>
            </w:r>
            <w:r>
              <w:rPr>
                <w:rFonts w:hint="eastAsia" w:ascii="宋体" w:hAnsi="宋体"/>
                <w:color w:val="auto"/>
                <w:szCs w:val="21"/>
                <w:u w:val="single"/>
              </w:rPr>
              <w:t xml:space="preserve">                                               </w:t>
            </w: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ind w:firstLine="420" w:firstLineChars="200"/>
              <w:rPr>
                <w:rFonts w:ascii="宋体" w:hAnsi="宋体"/>
                <w:color w:val="auto"/>
                <w:szCs w:val="21"/>
              </w:rPr>
            </w:pPr>
            <w:r>
              <w:rPr>
                <w:rFonts w:hint="eastAsia" w:ascii="宋体" w:hAnsi="宋体"/>
                <w:color w:val="auto"/>
                <w:szCs w:val="21"/>
              </w:rPr>
              <w:t>法定代表人或授权委托人签字（公章）：</w:t>
            </w:r>
          </w:p>
          <w:p>
            <w:pPr>
              <w:spacing w:line="360" w:lineRule="exact"/>
              <w:rPr>
                <w:rFonts w:ascii="宋体" w:hAnsi="宋体"/>
                <w:color w:val="auto"/>
                <w:szCs w:val="21"/>
              </w:rPr>
            </w:pPr>
          </w:p>
          <w:p>
            <w:pPr>
              <w:spacing w:line="360" w:lineRule="exact"/>
              <w:rPr>
                <w:rFonts w:ascii="宋体" w:hAnsi="宋体"/>
                <w:color w:val="auto"/>
                <w:szCs w:val="21"/>
              </w:rPr>
            </w:pPr>
          </w:p>
        </w:tc>
      </w:tr>
    </w:tbl>
    <w:p>
      <w:pPr>
        <w:spacing w:line="360" w:lineRule="exact"/>
        <w:rPr>
          <w:rFonts w:ascii="宋体" w:hAnsi="宋体"/>
          <w:color w:val="auto"/>
          <w:szCs w:val="21"/>
        </w:rPr>
      </w:pPr>
      <w:r>
        <w:rPr>
          <w:rFonts w:hint="eastAsia" w:ascii="宋体" w:hAnsi="宋体"/>
          <w:color w:val="auto"/>
          <w:szCs w:val="21"/>
        </w:rPr>
        <w:t xml:space="preserve">                                                       </w:t>
      </w:r>
    </w:p>
    <w:p>
      <w:pPr>
        <w:spacing w:line="360" w:lineRule="exact"/>
        <w:rPr>
          <w:rFonts w:ascii="宋体" w:hAnsi="宋体"/>
          <w:color w:val="auto"/>
          <w:szCs w:val="21"/>
        </w:rPr>
      </w:pPr>
    </w:p>
    <w:p>
      <w:pPr>
        <w:spacing w:line="360" w:lineRule="exact"/>
        <w:jc w:val="right"/>
        <w:rPr>
          <w:rFonts w:ascii="宋体"/>
          <w:color w:val="auto"/>
          <w:szCs w:val="21"/>
        </w:rPr>
      </w:pPr>
      <w:r>
        <w:rPr>
          <w:rFonts w:hint="eastAsia" w:ascii="宋体" w:hAnsi="宋体"/>
          <w:color w:val="auto"/>
          <w:szCs w:val="21"/>
        </w:rPr>
        <w:t xml:space="preserve">   年    月   日</w:t>
      </w: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spacing w:line="360" w:lineRule="exact"/>
        <w:rPr>
          <w:rFonts w:ascii="宋体"/>
          <w:color w:val="auto"/>
          <w:szCs w:val="21"/>
        </w:rPr>
      </w:pPr>
    </w:p>
    <w:p>
      <w:pPr>
        <w:pStyle w:val="3"/>
        <w:rPr>
          <w:rFonts w:ascii="宋体" w:eastAsia="宋体"/>
          <w:color w:val="auto"/>
          <w:sz w:val="28"/>
          <w:szCs w:val="28"/>
        </w:rPr>
      </w:pPr>
      <w:r>
        <w:rPr>
          <w:rFonts w:hint="eastAsia" w:ascii="宋体" w:eastAsia="宋体"/>
          <w:color w:val="auto"/>
          <w:sz w:val="28"/>
          <w:szCs w:val="28"/>
        </w:rPr>
        <w:t>技术规格和商务条款偏差表</w:t>
      </w:r>
    </w:p>
    <w:p>
      <w:pPr>
        <w:spacing w:line="360" w:lineRule="exact"/>
        <w:jc w:val="center"/>
        <w:rPr>
          <w:rFonts w:ascii="宋体" w:hAnsi="宋体"/>
          <w:b/>
          <w:color w:val="auto"/>
          <w:szCs w:val="21"/>
        </w:rPr>
      </w:pPr>
    </w:p>
    <w:p>
      <w:pPr>
        <w:widowControl/>
        <w:spacing w:line="560" w:lineRule="exact"/>
        <w:rPr>
          <w:rFonts w:ascii="宋体" w:hAnsi="宋体"/>
          <w:color w:val="auto"/>
          <w:szCs w:val="21"/>
        </w:rPr>
      </w:pPr>
      <w:r>
        <w:rPr>
          <w:rFonts w:hint="eastAsia" w:ascii="宋体" w:hAnsi="宋体"/>
          <w:color w:val="auto"/>
          <w:szCs w:val="21"/>
        </w:rPr>
        <w:t>项目名称：</w:t>
      </w:r>
      <w:r>
        <w:rPr>
          <w:rFonts w:hint="eastAsia" w:ascii="宋体" w:hAnsi="宋体"/>
          <w:color w:val="auto"/>
          <w:szCs w:val="21"/>
          <w:u w:val="single"/>
        </w:rPr>
        <w:t xml:space="preserve">                                </w:t>
      </w:r>
      <w:r>
        <w:rPr>
          <w:rFonts w:hint="eastAsia" w:ascii="宋体" w:hAnsi="宋体"/>
          <w:color w:val="auto"/>
          <w:szCs w:val="21"/>
        </w:rPr>
        <w:t xml:space="preserve"> </w:t>
      </w:r>
      <w:r>
        <w:rPr>
          <w:rFonts w:ascii="宋体" w:hAnsi="宋体"/>
          <w:color w:val="auto"/>
          <w:szCs w:val="21"/>
        </w:rPr>
        <w:t xml:space="preserve"> </w:t>
      </w:r>
    </w:p>
    <w:p>
      <w:pPr>
        <w:widowControl/>
        <w:spacing w:line="560" w:lineRule="exact"/>
        <w:rPr>
          <w:rFonts w:ascii="宋体" w:hAnsi="宋体"/>
          <w:color w:val="auto"/>
          <w:szCs w:val="21"/>
          <w:u w:val="single"/>
        </w:rPr>
      </w:pPr>
      <w:r>
        <w:rPr>
          <w:rFonts w:hint="eastAsia" w:ascii="宋体" w:hAnsi="宋体"/>
          <w:color w:val="auto"/>
          <w:szCs w:val="21"/>
        </w:rPr>
        <w:t>项目编号：</w:t>
      </w:r>
      <w:r>
        <w:rPr>
          <w:rFonts w:hint="eastAsia" w:ascii="宋体" w:hAnsi="宋体"/>
          <w:color w:val="auto"/>
          <w:szCs w:val="21"/>
          <w:u w:val="single"/>
        </w:rPr>
        <w:t xml:space="preserve">                                </w:t>
      </w:r>
    </w:p>
    <w:p>
      <w:pPr>
        <w:widowControl/>
        <w:spacing w:line="560" w:lineRule="exact"/>
        <w:rPr>
          <w:rFonts w:ascii="宋体" w:hAnsi="宋体"/>
          <w:color w:val="auto"/>
          <w:szCs w:val="21"/>
        </w:rPr>
      </w:pPr>
      <w:r>
        <w:rPr>
          <w:rFonts w:hint="eastAsia" w:ascii="宋体" w:hAnsi="宋体"/>
          <w:color w:val="auto"/>
          <w:szCs w:val="21"/>
        </w:rPr>
        <w:t>投标人名称：（公章）</w:t>
      </w:r>
      <w:r>
        <w:rPr>
          <w:rFonts w:hint="eastAsia" w:ascii="宋体" w:hAnsi="宋体"/>
          <w:color w:val="auto"/>
          <w:szCs w:val="21"/>
          <w:u w:val="single"/>
        </w:rPr>
        <w:t xml:space="preserve">                      </w:t>
      </w:r>
      <w:r>
        <w:rPr>
          <w:rFonts w:hint="eastAsia" w:ascii="宋体" w:hAnsi="宋体"/>
          <w:color w:val="auto"/>
          <w:szCs w:val="21"/>
        </w:rPr>
        <w:t xml:space="preserve"> </w:t>
      </w:r>
    </w:p>
    <w:tbl>
      <w:tblPr>
        <w:tblStyle w:val="23"/>
        <w:tblpPr w:leftFromText="180" w:rightFromText="180" w:vertAnchor="text" w:horzAnchor="margin" w:tblpY="297"/>
        <w:tblW w:w="93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8"/>
        <w:gridCol w:w="1792"/>
        <w:gridCol w:w="2848"/>
        <w:gridCol w:w="1934"/>
        <w:gridCol w:w="22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548" w:type="dxa"/>
          </w:tcPr>
          <w:p>
            <w:pPr>
              <w:widowControl/>
              <w:spacing w:line="560" w:lineRule="exact"/>
              <w:jc w:val="center"/>
              <w:rPr>
                <w:rFonts w:ascii="宋体" w:hAnsi="宋体"/>
                <w:color w:val="auto"/>
                <w:szCs w:val="21"/>
              </w:rPr>
            </w:pPr>
          </w:p>
          <w:p>
            <w:pPr>
              <w:widowControl/>
              <w:spacing w:line="560" w:lineRule="exact"/>
              <w:jc w:val="center"/>
              <w:rPr>
                <w:rFonts w:ascii="宋体" w:hAnsi="宋体"/>
                <w:color w:val="auto"/>
                <w:szCs w:val="21"/>
              </w:rPr>
            </w:pPr>
            <w:r>
              <w:rPr>
                <w:rFonts w:hint="eastAsia" w:ascii="宋体" w:hAnsi="宋体"/>
                <w:color w:val="auto"/>
                <w:szCs w:val="21"/>
              </w:rPr>
              <w:t>序</w:t>
            </w:r>
          </w:p>
          <w:p>
            <w:pPr>
              <w:widowControl/>
              <w:spacing w:line="560" w:lineRule="exact"/>
              <w:jc w:val="center"/>
              <w:rPr>
                <w:rFonts w:ascii="宋体" w:hAnsi="宋体"/>
                <w:color w:val="auto"/>
                <w:szCs w:val="21"/>
              </w:rPr>
            </w:pPr>
            <w:r>
              <w:rPr>
                <w:rFonts w:hint="eastAsia" w:ascii="宋体" w:hAnsi="宋体"/>
                <w:color w:val="auto"/>
                <w:szCs w:val="21"/>
              </w:rPr>
              <w:t>号</w:t>
            </w:r>
          </w:p>
        </w:tc>
        <w:tc>
          <w:tcPr>
            <w:tcW w:w="1792" w:type="dxa"/>
            <w:vAlign w:val="center"/>
          </w:tcPr>
          <w:p>
            <w:pPr>
              <w:widowControl/>
              <w:spacing w:line="560" w:lineRule="exact"/>
              <w:jc w:val="center"/>
              <w:rPr>
                <w:rFonts w:ascii="宋体" w:hAnsi="宋体"/>
                <w:color w:val="auto"/>
                <w:szCs w:val="21"/>
              </w:rPr>
            </w:pPr>
            <w:r>
              <w:rPr>
                <w:rFonts w:hint="eastAsia" w:ascii="宋体" w:hAnsi="宋体"/>
                <w:color w:val="auto"/>
                <w:szCs w:val="21"/>
              </w:rPr>
              <w:t>招标文件技术</w:t>
            </w:r>
          </w:p>
          <w:p>
            <w:pPr>
              <w:widowControl/>
              <w:spacing w:line="560" w:lineRule="exact"/>
              <w:jc w:val="center"/>
              <w:rPr>
                <w:rFonts w:ascii="宋体" w:hAnsi="宋体"/>
                <w:color w:val="auto"/>
                <w:szCs w:val="21"/>
              </w:rPr>
            </w:pPr>
            <w:r>
              <w:rPr>
                <w:rFonts w:hint="eastAsia" w:ascii="宋体" w:hAnsi="宋体"/>
                <w:color w:val="auto"/>
                <w:szCs w:val="21"/>
              </w:rPr>
              <w:t>要求（详细列明技术配置）</w:t>
            </w:r>
          </w:p>
        </w:tc>
        <w:tc>
          <w:tcPr>
            <w:tcW w:w="2848" w:type="dxa"/>
            <w:vAlign w:val="center"/>
          </w:tcPr>
          <w:p>
            <w:pPr>
              <w:widowControl/>
              <w:spacing w:line="560" w:lineRule="exact"/>
              <w:jc w:val="center"/>
              <w:rPr>
                <w:rFonts w:ascii="宋体" w:hAnsi="宋体"/>
                <w:color w:val="auto"/>
                <w:szCs w:val="21"/>
              </w:rPr>
            </w:pPr>
            <w:r>
              <w:rPr>
                <w:rFonts w:hint="eastAsia" w:ascii="宋体" w:hAnsi="宋体"/>
                <w:color w:val="auto"/>
                <w:szCs w:val="21"/>
              </w:rPr>
              <w:t>投标文件技术</w:t>
            </w:r>
          </w:p>
          <w:p>
            <w:pPr>
              <w:widowControl/>
              <w:spacing w:line="560" w:lineRule="exact"/>
              <w:jc w:val="center"/>
              <w:rPr>
                <w:rFonts w:ascii="宋体" w:hAnsi="宋体"/>
                <w:color w:val="auto"/>
                <w:szCs w:val="21"/>
              </w:rPr>
            </w:pPr>
            <w:r>
              <w:rPr>
                <w:rFonts w:hint="eastAsia" w:ascii="宋体" w:hAnsi="宋体"/>
                <w:color w:val="auto"/>
                <w:szCs w:val="21"/>
              </w:rPr>
              <w:t>响应情况（详细列明所投产品的技术配置）</w:t>
            </w:r>
          </w:p>
        </w:tc>
        <w:tc>
          <w:tcPr>
            <w:tcW w:w="1934" w:type="dxa"/>
            <w:vAlign w:val="center"/>
          </w:tcPr>
          <w:p>
            <w:pPr>
              <w:widowControl/>
              <w:spacing w:before="120" w:line="560" w:lineRule="exact"/>
              <w:jc w:val="center"/>
              <w:rPr>
                <w:rFonts w:ascii="宋体" w:hAnsi="宋体"/>
                <w:color w:val="auto"/>
                <w:szCs w:val="21"/>
              </w:rPr>
            </w:pPr>
            <w:r>
              <w:rPr>
                <w:rFonts w:hint="eastAsia" w:ascii="宋体" w:hAnsi="宋体"/>
                <w:color w:val="auto"/>
                <w:szCs w:val="21"/>
              </w:rPr>
              <w:t>偏差描述（详细描述技术是否具有正、负偏差）</w:t>
            </w:r>
          </w:p>
        </w:tc>
        <w:tc>
          <w:tcPr>
            <w:tcW w:w="2246" w:type="dxa"/>
            <w:tcBorders>
              <w:right w:val="single" w:color="auto" w:sz="4" w:space="0"/>
            </w:tcBorders>
            <w:vAlign w:val="center"/>
          </w:tcPr>
          <w:p>
            <w:pPr>
              <w:widowControl/>
              <w:spacing w:before="120" w:line="560" w:lineRule="exact"/>
              <w:jc w:val="center"/>
              <w:rPr>
                <w:rFonts w:ascii="宋体" w:hAnsi="宋体"/>
                <w:color w:val="auto"/>
                <w:szCs w:val="21"/>
              </w:rPr>
            </w:pPr>
            <w:r>
              <w:rPr>
                <w:rFonts w:hint="eastAsia" w:ascii="宋体" w:hAnsi="宋体"/>
                <w:color w:val="auto"/>
                <w:szCs w:val="21"/>
              </w:rPr>
              <w:t>作为评标性能技术参数得分依据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548" w:type="dxa"/>
            <w:tcBorders>
              <w:bottom w:val="single" w:color="auto" w:sz="4" w:space="0"/>
            </w:tcBorders>
          </w:tcPr>
          <w:p>
            <w:pPr>
              <w:widowControl/>
              <w:spacing w:line="560" w:lineRule="exact"/>
              <w:rPr>
                <w:rFonts w:ascii="宋体" w:hAnsi="宋体"/>
                <w:color w:val="auto"/>
                <w:szCs w:val="21"/>
              </w:rPr>
            </w:pPr>
          </w:p>
        </w:tc>
        <w:tc>
          <w:tcPr>
            <w:tcW w:w="1792" w:type="dxa"/>
            <w:tcBorders>
              <w:bottom w:val="single" w:color="auto" w:sz="4" w:space="0"/>
            </w:tcBorders>
          </w:tcPr>
          <w:p>
            <w:pPr>
              <w:widowControl/>
              <w:spacing w:line="560" w:lineRule="exact"/>
              <w:rPr>
                <w:rFonts w:ascii="宋体" w:hAnsi="宋体"/>
                <w:color w:val="auto"/>
                <w:szCs w:val="21"/>
              </w:rPr>
            </w:pPr>
          </w:p>
        </w:tc>
        <w:tc>
          <w:tcPr>
            <w:tcW w:w="2848" w:type="dxa"/>
            <w:tcBorders>
              <w:bottom w:val="single" w:color="auto" w:sz="4" w:space="0"/>
            </w:tcBorders>
          </w:tcPr>
          <w:p>
            <w:pPr>
              <w:widowControl/>
              <w:spacing w:line="560" w:lineRule="exact"/>
              <w:rPr>
                <w:rFonts w:ascii="宋体" w:hAnsi="宋体"/>
                <w:color w:val="auto"/>
                <w:szCs w:val="21"/>
              </w:rPr>
            </w:pPr>
          </w:p>
        </w:tc>
        <w:tc>
          <w:tcPr>
            <w:tcW w:w="1934" w:type="dxa"/>
            <w:tcBorders>
              <w:bottom w:val="single" w:color="auto" w:sz="4" w:space="0"/>
            </w:tcBorders>
          </w:tcPr>
          <w:p>
            <w:pPr>
              <w:widowControl/>
              <w:spacing w:line="560" w:lineRule="exact"/>
              <w:rPr>
                <w:rFonts w:ascii="宋体" w:hAnsi="宋体"/>
                <w:color w:val="auto"/>
                <w:szCs w:val="21"/>
              </w:rPr>
            </w:pPr>
          </w:p>
        </w:tc>
        <w:tc>
          <w:tcPr>
            <w:tcW w:w="2246" w:type="dxa"/>
            <w:tcBorders>
              <w:bottom w:val="single" w:color="auto" w:sz="4" w:space="0"/>
              <w:right w:val="single" w:color="auto" w:sz="4" w:space="0"/>
            </w:tcBorders>
          </w:tcPr>
          <w:p>
            <w:pPr>
              <w:widowControl/>
              <w:spacing w:line="560" w:lineRule="exact"/>
              <w:rPr>
                <w:rFonts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792" w:type="dxa"/>
            <w:tcBorders>
              <w:top w:val="single" w:color="auto" w:sz="4" w:space="0"/>
              <w:bottom w:val="single" w:color="auto" w:sz="4" w:space="0"/>
            </w:tcBorders>
          </w:tcPr>
          <w:p>
            <w:pPr>
              <w:widowControl/>
              <w:spacing w:line="560" w:lineRule="exact"/>
              <w:rPr>
                <w:rFonts w:ascii="宋体" w:hAnsi="宋体"/>
                <w:color w:val="auto"/>
                <w:szCs w:val="21"/>
              </w:rPr>
            </w:pPr>
          </w:p>
        </w:tc>
        <w:tc>
          <w:tcPr>
            <w:tcW w:w="28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934" w:type="dxa"/>
            <w:tcBorders>
              <w:top w:val="single" w:color="auto" w:sz="4" w:space="0"/>
              <w:bottom w:val="single" w:color="auto" w:sz="4" w:space="0"/>
            </w:tcBorders>
          </w:tcPr>
          <w:p>
            <w:pPr>
              <w:widowControl/>
              <w:spacing w:line="56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792" w:type="dxa"/>
            <w:tcBorders>
              <w:top w:val="single" w:color="auto" w:sz="4" w:space="0"/>
              <w:bottom w:val="single" w:color="auto" w:sz="4" w:space="0"/>
            </w:tcBorders>
          </w:tcPr>
          <w:p>
            <w:pPr>
              <w:widowControl/>
              <w:spacing w:line="560" w:lineRule="exact"/>
              <w:rPr>
                <w:rFonts w:ascii="宋体" w:hAnsi="宋体"/>
                <w:color w:val="auto"/>
                <w:szCs w:val="21"/>
              </w:rPr>
            </w:pPr>
          </w:p>
        </w:tc>
        <w:tc>
          <w:tcPr>
            <w:tcW w:w="28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934" w:type="dxa"/>
            <w:tcBorders>
              <w:top w:val="single" w:color="auto" w:sz="4" w:space="0"/>
              <w:bottom w:val="single" w:color="auto" w:sz="4" w:space="0"/>
            </w:tcBorders>
          </w:tcPr>
          <w:p>
            <w:pPr>
              <w:widowControl/>
              <w:spacing w:line="56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hAnsi="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792" w:type="dxa"/>
            <w:tcBorders>
              <w:top w:val="single" w:color="auto" w:sz="4" w:space="0"/>
              <w:bottom w:val="single" w:color="auto" w:sz="4" w:space="0"/>
            </w:tcBorders>
          </w:tcPr>
          <w:p>
            <w:pPr>
              <w:widowControl/>
              <w:spacing w:line="560" w:lineRule="exact"/>
              <w:rPr>
                <w:rFonts w:ascii="宋体" w:hAnsi="宋体"/>
                <w:color w:val="auto"/>
                <w:szCs w:val="21"/>
              </w:rPr>
            </w:pPr>
          </w:p>
        </w:tc>
        <w:tc>
          <w:tcPr>
            <w:tcW w:w="2848" w:type="dxa"/>
            <w:tcBorders>
              <w:top w:val="single" w:color="auto" w:sz="4" w:space="0"/>
              <w:bottom w:val="single" w:color="auto" w:sz="4" w:space="0"/>
            </w:tcBorders>
          </w:tcPr>
          <w:p>
            <w:pPr>
              <w:widowControl/>
              <w:spacing w:line="560" w:lineRule="exact"/>
              <w:rPr>
                <w:rFonts w:ascii="宋体" w:hAnsi="宋体"/>
                <w:color w:val="auto"/>
                <w:szCs w:val="21"/>
              </w:rPr>
            </w:pPr>
          </w:p>
        </w:tc>
        <w:tc>
          <w:tcPr>
            <w:tcW w:w="1934" w:type="dxa"/>
            <w:tcBorders>
              <w:top w:val="single" w:color="auto" w:sz="4" w:space="0"/>
              <w:bottom w:val="single" w:color="auto" w:sz="4" w:space="0"/>
            </w:tcBorders>
          </w:tcPr>
          <w:p>
            <w:pPr>
              <w:widowControl/>
              <w:spacing w:line="56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hAnsi="宋体"/>
                <w:color w:val="auto"/>
                <w:szCs w:val="21"/>
              </w:rPr>
            </w:pPr>
          </w:p>
        </w:tc>
      </w:tr>
    </w:tbl>
    <w:p>
      <w:pPr>
        <w:widowControl/>
        <w:spacing w:line="560" w:lineRule="exact"/>
        <w:rPr>
          <w:rFonts w:ascii="宋体" w:hAnsi="宋体"/>
          <w:b/>
          <w:color w:val="auto"/>
          <w:szCs w:val="21"/>
        </w:rPr>
      </w:pPr>
    </w:p>
    <w:p>
      <w:pPr>
        <w:widowControl/>
        <w:spacing w:line="560" w:lineRule="exact"/>
        <w:ind w:firstLine="308" w:firstLineChars="147"/>
        <w:rPr>
          <w:rFonts w:ascii="宋体" w:hAnsi="宋体"/>
          <w:color w:val="auto"/>
          <w:szCs w:val="21"/>
        </w:rPr>
      </w:pPr>
      <w:r>
        <w:rPr>
          <w:rFonts w:hint="eastAsia" w:ascii="宋体" w:hAnsi="宋体"/>
          <w:color w:val="auto"/>
          <w:szCs w:val="21"/>
        </w:rPr>
        <w:t>投标人法定代表人或授权代表（签字）：</w:t>
      </w:r>
      <w:r>
        <w:rPr>
          <w:rFonts w:hint="eastAsia" w:ascii="宋体" w:hAnsi="宋体"/>
          <w:color w:val="auto"/>
          <w:szCs w:val="21"/>
          <w:u w:val="single"/>
        </w:rPr>
        <w:t xml:space="preserve">            </w:t>
      </w:r>
      <w:r>
        <w:rPr>
          <w:rFonts w:hint="eastAsia" w:ascii="宋体" w:hAnsi="宋体"/>
          <w:color w:val="auto"/>
          <w:szCs w:val="21"/>
        </w:rPr>
        <w:t xml:space="preserve">            </w:t>
      </w:r>
    </w:p>
    <w:p>
      <w:pPr>
        <w:widowControl/>
        <w:autoSpaceDE w:val="0"/>
        <w:autoSpaceDN w:val="0"/>
        <w:spacing w:line="560" w:lineRule="exact"/>
        <w:ind w:right="26" w:firstLine="308" w:firstLineChars="147"/>
        <w:rPr>
          <w:rFonts w:ascii="宋体" w:hAnsi="宋体"/>
          <w:color w:val="auto"/>
          <w:szCs w:val="21"/>
          <w:u w:val="single"/>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widowControl/>
        <w:autoSpaceDE w:val="0"/>
        <w:autoSpaceDN w:val="0"/>
        <w:spacing w:line="560" w:lineRule="exact"/>
        <w:ind w:right="26" w:firstLine="315" w:firstLineChars="150"/>
        <w:rPr>
          <w:rFonts w:ascii="宋体" w:hAnsi="宋体"/>
          <w:color w:val="auto"/>
          <w:szCs w:val="21"/>
        </w:rPr>
      </w:pPr>
      <w:r>
        <w:rPr>
          <w:rFonts w:hint="eastAsia" w:ascii="宋体" w:hAnsi="宋体"/>
          <w:color w:val="auto"/>
          <w:szCs w:val="21"/>
        </w:rPr>
        <w:t>注：1、投标人必须按要求规范填写技术规范偏差表。如果此表中所列内容无法满足谈判文件中提出的要求或内容不一致，其投标将被视为无效投标。</w:t>
      </w:r>
    </w:p>
    <w:p>
      <w:pPr>
        <w:pStyle w:val="3"/>
        <w:spacing w:line="360" w:lineRule="exact"/>
        <w:jc w:val="both"/>
        <w:rPr>
          <w:rFonts w:ascii="宋体" w:eastAsia="宋体"/>
          <w:b w:val="0"/>
          <w:color w:val="auto"/>
          <w:sz w:val="21"/>
          <w:szCs w:val="21"/>
        </w:rPr>
      </w:pPr>
      <w:r>
        <w:rPr>
          <w:rFonts w:hint="eastAsia" w:ascii="宋体" w:eastAsia="宋体"/>
          <w:b w:val="0"/>
          <w:color w:val="auto"/>
          <w:sz w:val="21"/>
          <w:szCs w:val="21"/>
        </w:rPr>
        <w:t>2、投标人必须根据所投产品的实际情况如实填写，评委会如发现有虚假描述的，将不予推荐中标候选人。</w:t>
      </w:r>
    </w:p>
    <w:p>
      <w:pPr>
        <w:pStyle w:val="3"/>
        <w:spacing w:line="360" w:lineRule="exact"/>
        <w:rPr>
          <w:rFonts w:ascii="宋体"/>
          <w:color w:val="auto"/>
          <w:szCs w:val="21"/>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sz w:val="30"/>
          <w:szCs w:val="30"/>
        </w:rPr>
      </w:pPr>
      <w:r>
        <w:rPr>
          <w:rFonts w:hint="eastAsia" w:ascii="宋体" w:eastAsia="宋体"/>
          <w:color w:val="auto"/>
        </w:rPr>
        <w:t>3、</w:t>
      </w:r>
      <w:r>
        <w:rPr>
          <w:rFonts w:hint="eastAsia" w:ascii="宋体" w:eastAsia="宋体"/>
          <w:color w:val="auto"/>
          <w:sz w:val="30"/>
          <w:szCs w:val="30"/>
        </w:rPr>
        <w:t>法定代表人身份证明书</w:t>
      </w:r>
    </w:p>
    <w:p>
      <w:pPr>
        <w:rPr>
          <w:color w:val="auto"/>
        </w:rPr>
      </w:pPr>
    </w:p>
    <w:p>
      <w:pPr>
        <w:spacing w:line="360" w:lineRule="exact"/>
        <w:jc w:val="center"/>
        <w:outlineLvl w:val="1"/>
        <w:rPr>
          <w:rFonts w:ascii="宋体" w:hAnsi="宋体"/>
          <w:b/>
          <w:color w:val="auto"/>
          <w:sz w:val="32"/>
          <w:szCs w:val="32"/>
        </w:rPr>
      </w:pPr>
    </w:p>
    <w:p>
      <w:pPr>
        <w:spacing w:line="500" w:lineRule="exact"/>
        <w:outlineLvl w:val="1"/>
        <w:rPr>
          <w:rFonts w:ascii="宋体" w:hAnsi="宋体"/>
          <w:color w:val="auto"/>
          <w:sz w:val="24"/>
        </w:rPr>
      </w:pPr>
      <w:r>
        <w:rPr>
          <w:rFonts w:hint="eastAsia" w:ascii="宋体" w:hAnsi="宋体"/>
          <w:color w:val="auto"/>
          <w:sz w:val="24"/>
        </w:rPr>
        <w:t>单位名称：_____</w:t>
      </w:r>
      <w:r>
        <w:rPr>
          <w:rFonts w:hint="eastAsia" w:ascii="宋体" w:hAnsi="宋体"/>
          <w:color w:val="auto"/>
          <w:sz w:val="24"/>
          <w:u w:val="single"/>
        </w:rPr>
        <w:t xml:space="preserve">                           </w:t>
      </w:r>
      <w:r>
        <w:rPr>
          <w:rFonts w:hint="eastAsia" w:ascii="宋体" w:hAnsi="宋体"/>
          <w:color w:val="auto"/>
          <w:sz w:val="24"/>
        </w:rPr>
        <w:t xml:space="preserve">_____    </w:t>
      </w:r>
    </w:p>
    <w:p>
      <w:pPr>
        <w:spacing w:line="500" w:lineRule="exact"/>
        <w:outlineLvl w:val="1"/>
        <w:rPr>
          <w:rFonts w:ascii="宋体" w:hAnsi="宋体"/>
          <w:color w:val="auto"/>
          <w:sz w:val="24"/>
        </w:rPr>
      </w:pPr>
      <w:r>
        <w:rPr>
          <w:rFonts w:hint="eastAsia" w:ascii="宋体" w:hAnsi="宋体"/>
          <w:color w:val="auto"/>
          <w:sz w:val="24"/>
        </w:rPr>
        <w:t>地    址：___________________</w:t>
      </w:r>
      <w:r>
        <w:rPr>
          <w:rFonts w:hint="eastAsia" w:ascii="宋体" w:hAnsi="宋体"/>
          <w:color w:val="auto"/>
          <w:sz w:val="24"/>
          <w:u w:val="single"/>
        </w:rPr>
        <w:t xml:space="preserve">         </w:t>
      </w:r>
      <w:r>
        <w:rPr>
          <w:rFonts w:hint="eastAsia" w:ascii="宋体" w:hAnsi="宋体"/>
          <w:color w:val="auto"/>
          <w:sz w:val="24"/>
        </w:rPr>
        <w:t xml:space="preserve">_____              </w:t>
      </w:r>
    </w:p>
    <w:p>
      <w:pPr>
        <w:spacing w:line="500" w:lineRule="exact"/>
        <w:jc w:val="left"/>
        <w:outlineLvl w:val="1"/>
        <w:rPr>
          <w:rFonts w:ascii="宋体" w:hAnsi="宋体"/>
          <w:color w:val="auto"/>
          <w:sz w:val="24"/>
        </w:rPr>
      </w:pPr>
      <w:r>
        <w:rPr>
          <w:rFonts w:hint="eastAsia" w:ascii="宋体" w:hAnsi="宋体"/>
          <w:color w:val="auto"/>
          <w:sz w:val="24"/>
        </w:rPr>
        <w:t>姓   名：__________ 性别：__________  年龄：__________  职务：__________    系______________________________________（投标单位名称）的法定代表人。为_____________________________项目的报价，签署上述项目的响应性谈判文件、进行合同谈判、签署合同和处理与之有关的一切事务。</w:t>
      </w:r>
    </w:p>
    <w:p>
      <w:pPr>
        <w:spacing w:line="500" w:lineRule="exact"/>
        <w:ind w:firstLine="480" w:firstLineChars="200"/>
        <w:outlineLvl w:val="1"/>
        <w:rPr>
          <w:rFonts w:ascii="宋体" w:hAnsi="宋体"/>
          <w:color w:val="auto"/>
          <w:sz w:val="24"/>
        </w:rPr>
      </w:pPr>
      <w:r>
        <w:rPr>
          <w:rFonts w:hint="eastAsia" w:ascii="宋体" w:hAnsi="宋体"/>
          <w:color w:val="auto"/>
          <w:sz w:val="24"/>
        </w:rPr>
        <w:t>特此证明。</w:t>
      </w:r>
    </w:p>
    <w:p>
      <w:pPr>
        <w:spacing w:line="500" w:lineRule="exact"/>
        <w:outlineLvl w:val="1"/>
        <w:rPr>
          <w:rFonts w:ascii="宋体" w:hAnsi="宋体"/>
          <w:color w:val="auto"/>
          <w:sz w:val="24"/>
        </w:rPr>
      </w:pPr>
    </w:p>
    <w:p>
      <w:pPr>
        <w:spacing w:line="500" w:lineRule="exact"/>
        <w:ind w:firstLine="2400" w:firstLineChars="1000"/>
        <w:outlineLvl w:val="1"/>
        <w:rPr>
          <w:rFonts w:ascii="宋体" w:hAnsi="宋体"/>
          <w:color w:val="auto"/>
          <w:sz w:val="24"/>
        </w:rPr>
      </w:pPr>
    </w:p>
    <w:p>
      <w:pPr>
        <w:spacing w:line="500" w:lineRule="exact"/>
        <w:ind w:firstLine="2400" w:firstLineChars="1000"/>
        <w:outlineLvl w:val="1"/>
        <w:rPr>
          <w:rFonts w:ascii="宋体" w:hAnsi="宋体"/>
          <w:color w:val="auto"/>
          <w:sz w:val="24"/>
        </w:rPr>
      </w:pPr>
    </w:p>
    <w:p>
      <w:pPr>
        <w:spacing w:line="500" w:lineRule="exact"/>
        <w:ind w:firstLine="2400" w:firstLineChars="1000"/>
        <w:outlineLvl w:val="1"/>
        <w:rPr>
          <w:rFonts w:ascii="宋体" w:hAnsi="宋体"/>
          <w:color w:val="auto"/>
          <w:sz w:val="24"/>
        </w:rPr>
      </w:pPr>
    </w:p>
    <w:p>
      <w:pPr>
        <w:spacing w:line="500" w:lineRule="exact"/>
        <w:ind w:firstLine="2400" w:firstLineChars="1000"/>
        <w:outlineLvl w:val="1"/>
        <w:rPr>
          <w:rFonts w:ascii="宋体" w:hAnsi="宋体"/>
          <w:color w:val="auto"/>
          <w:sz w:val="24"/>
        </w:rPr>
      </w:pPr>
      <w:r>
        <w:rPr>
          <w:rFonts w:hint="eastAsia" w:ascii="宋体" w:hAnsi="宋体"/>
          <w:color w:val="auto"/>
          <w:sz w:val="24"/>
        </w:rPr>
        <w:t xml:space="preserve">投标供应商：（盖章）_______________________ </w:t>
      </w:r>
    </w:p>
    <w:p>
      <w:pPr>
        <w:spacing w:line="500" w:lineRule="exact"/>
        <w:ind w:firstLine="2400" w:firstLineChars="1000"/>
        <w:outlineLvl w:val="1"/>
        <w:rPr>
          <w:rFonts w:ascii="宋体" w:hAnsi="宋体"/>
          <w:color w:val="auto"/>
          <w:sz w:val="24"/>
        </w:rPr>
      </w:pPr>
      <w:r>
        <w:rPr>
          <w:rFonts w:hint="eastAsia" w:ascii="宋体" w:hAnsi="宋体"/>
          <w:color w:val="auto"/>
          <w:sz w:val="24"/>
        </w:rPr>
        <w:t>日      期：___________年_____月_____日</w:t>
      </w:r>
    </w:p>
    <w:p>
      <w:pPr>
        <w:spacing w:line="500" w:lineRule="exact"/>
        <w:ind w:firstLine="360" w:firstLineChars="150"/>
        <w:outlineLvl w:val="1"/>
        <w:rPr>
          <w:rFonts w:ascii="宋体" w:hAnsi="宋体"/>
          <w:color w:val="auto"/>
          <w:sz w:val="24"/>
        </w:rPr>
      </w:pPr>
    </w:p>
    <w:p>
      <w:pPr>
        <w:spacing w:line="500" w:lineRule="exact"/>
        <w:ind w:firstLine="600" w:firstLineChars="250"/>
        <w:outlineLvl w:val="1"/>
        <w:rPr>
          <w:rFonts w:ascii="宋体" w:hAnsi="宋体"/>
          <w:color w:val="auto"/>
          <w:sz w:val="24"/>
        </w:rPr>
      </w:pPr>
      <w:r>
        <w:rPr>
          <w:rFonts w:hint="eastAsia" w:ascii="宋体" w:hAnsi="宋体"/>
          <w:color w:val="auto"/>
          <w:sz w:val="24"/>
        </w:rPr>
        <w:t>附: 法人代表身份证复印件</w:t>
      </w:r>
    </w:p>
    <w:p>
      <w:pPr>
        <w:spacing w:line="360" w:lineRule="exact"/>
        <w:jc w:val="center"/>
        <w:outlineLvl w:val="1"/>
        <w:rPr>
          <w:rFonts w:ascii="宋体" w:hAnsi="宋体"/>
          <w:b/>
          <w:color w:val="auto"/>
          <w:sz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rPr>
          <w:rFonts w:ascii="宋体" w:eastAsia="宋体"/>
          <w:color w:val="auto"/>
          <w:sz w:val="24"/>
          <w:szCs w:val="24"/>
        </w:rPr>
      </w:pPr>
    </w:p>
    <w:p>
      <w:pPr>
        <w:pStyle w:val="3"/>
        <w:spacing w:line="360" w:lineRule="exact"/>
        <w:jc w:val="both"/>
        <w:rPr>
          <w:rFonts w:ascii="宋体" w:eastAsia="宋体"/>
          <w:color w:val="auto"/>
          <w:sz w:val="24"/>
          <w:szCs w:val="24"/>
        </w:rPr>
      </w:pPr>
    </w:p>
    <w:p>
      <w:pPr>
        <w:pStyle w:val="3"/>
        <w:spacing w:line="360" w:lineRule="exact"/>
        <w:jc w:val="both"/>
        <w:rPr>
          <w:rFonts w:ascii="宋体" w:eastAsia="宋体"/>
          <w:color w:val="auto"/>
          <w:sz w:val="24"/>
          <w:szCs w:val="24"/>
        </w:rPr>
      </w:pPr>
    </w:p>
    <w:p>
      <w:pPr>
        <w:pStyle w:val="3"/>
        <w:spacing w:line="360" w:lineRule="exact"/>
        <w:jc w:val="both"/>
        <w:rPr>
          <w:rFonts w:ascii="宋体" w:eastAsia="宋体"/>
          <w:color w:val="auto"/>
          <w:sz w:val="24"/>
          <w:szCs w:val="24"/>
        </w:rPr>
      </w:pPr>
    </w:p>
    <w:p>
      <w:pPr>
        <w:rPr>
          <w:color w:val="auto"/>
        </w:rPr>
      </w:pPr>
    </w:p>
    <w:p>
      <w:pPr>
        <w:pStyle w:val="3"/>
        <w:spacing w:line="360" w:lineRule="exact"/>
        <w:jc w:val="both"/>
        <w:rPr>
          <w:rFonts w:ascii="宋体" w:eastAsia="宋体"/>
          <w:color w:val="auto"/>
          <w:sz w:val="24"/>
          <w:szCs w:val="24"/>
        </w:rPr>
      </w:pPr>
    </w:p>
    <w:p>
      <w:pPr>
        <w:rPr>
          <w:color w:val="auto"/>
        </w:rPr>
      </w:pPr>
    </w:p>
    <w:p>
      <w:pPr>
        <w:rPr>
          <w:color w:val="auto"/>
        </w:rPr>
      </w:pPr>
    </w:p>
    <w:p>
      <w:pPr>
        <w:rPr>
          <w:color w:val="auto"/>
        </w:rPr>
      </w:pPr>
    </w:p>
    <w:p>
      <w:pPr>
        <w:pStyle w:val="3"/>
        <w:spacing w:line="360" w:lineRule="exact"/>
        <w:jc w:val="both"/>
        <w:rPr>
          <w:rFonts w:ascii="宋体" w:eastAsia="宋体"/>
          <w:color w:val="auto"/>
          <w:sz w:val="24"/>
          <w:szCs w:val="24"/>
        </w:rPr>
      </w:pPr>
    </w:p>
    <w:p>
      <w:pPr>
        <w:pStyle w:val="3"/>
        <w:spacing w:line="360" w:lineRule="exact"/>
        <w:rPr>
          <w:rFonts w:ascii="宋体" w:eastAsia="宋体"/>
          <w:color w:val="auto"/>
          <w:sz w:val="30"/>
          <w:szCs w:val="30"/>
        </w:rPr>
      </w:pPr>
      <w:r>
        <w:rPr>
          <w:rFonts w:hint="eastAsia" w:ascii="宋体" w:eastAsia="宋体"/>
          <w:color w:val="auto"/>
          <w:sz w:val="30"/>
          <w:szCs w:val="30"/>
        </w:rPr>
        <w:t>4、法定代表人授权委托书</w:t>
      </w:r>
    </w:p>
    <w:p>
      <w:pPr>
        <w:rPr>
          <w:color w:val="auto"/>
        </w:rPr>
      </w:pPr>
    </w:p>
    <w:p>
      <w:pPr>
        <w:spacing w:line="360" w:lineRule="exact"/>
        <w:outlineLvl w:val="1"/>
        <w:rPr>
          <w:rFonts w:ascii="宋体" w:hAnsi="宋体"/>
          <w:color w:val="auto"/>
          <w:sz w:val="24"/>
        </w:rPr>
      </w:pPr>
    </w:p>
    <w:p>
      <w:pPr>
        <w:spacing w:line="500" w:lineRule="exact"/>
        <w:ind w:firstLine="480" w:firstLineChars="200"/>
        <w:jc w:val="left"/>
        <w:outlineLvl w:val="1"/>
        <w:rPr>
          <w:rFonts w:ascii="宋体" w:hAnsi="宋体"/>
          <w:color w:val="auto"/>
          <w:sz w:val="24"/>
        </w:rPr>
      </w:pPr>
      <w:r>
        <w:rPr>
          <w:rFonts w:hint="eastAsia" w:ascii="宋体" w:hAnsi="宋体"/>
          <w:color w:val="auto"/>
          <w:sz w:val="24"/>
        </w:rPr>
        <w:t>本授权委托书声明：___________（姓名）系__________________________________（投标单位名称）的法定代表人，现授权委托_______________________________（单位名称）的______</w:t>
      </w:r>
      <w:r>
        <w:rPr>
          <w:rFonts w:hint="eastAsia" w:ascii="宋体" w:hAnsi="宋体"/>
          <w:color w:val="auto"/>
          <w:sz w:val="24"/>
          <w:u w:val="single"/>
        </w:rPr>
        <w:t xml:space="preserve">     ___          </w:t>
      </w:r>
      <w:r>
        <w:rPr>
          <w:rFonts w:hint="eastAsia" w:ascii="宋体" w:hAnsi="宋体"/>
          <w:color w:val="auto"/>
          <w:sz w:val="24"/>
        </w:rPr>
        <w:t>（姓名）为我公司代理人，以本公司的名义参加______________________________项目的投标活动。</w:t>
      </w:r>
    </w:p>
    <w:p>
      <w:pPr>
        <w:pStyle w:val="11"/>
        <w:snapToGrid w:val="0"/>
        <w:spacing w:line="500" w:lineRule="exact"/>
        <w:ind w:firstLine="600" w:firstLineChars="250"/>
        <w:jc w:val="left"/>
        <w:outlineLvl w:val="1"/>
        <w:rPr>
          <w:rFonts w:hAnsi="宋体"/>
          <w:color w:val="auto"/>
          <w:sz w:val="24"/>
          <w:szCs w:val="24"/>
        </w:rPr>
      </w:pPr>
      <w:r>
        <w:rPr>
          <w:rFonts w:hint="eastAsia" w:hAnsi="宋体"/>
          <w:color w:val="auto"/>
          <w:sz w:val="24"/>
          <w:szCs w:val="24"/>
        </w:rPr>
        <w:t>代理人在投标、合同签订过程中所签署的一切文件和处理与之有关的一切事务，我均予以承认。本授权书自出具之日起生效。</w:t>
      </w:r>
    </w:p>
    <w:p>
      <w:pPr>
        <w:spacing w:line="500" w:lineRule="exact"/>
        <w:ind w:firstLine="480" w:firstLineChars="200"/>
        <w:jc w:val="left"/>
        <w:outlineLvl w:val="1"/>
        <w:rPr>
          <w:rFonts w:ascii="宋体" w:hAnsi="宋体"/>
          <w:color w:val="auto"/>
          <w:sz w:val="24"/>
        </w:rPr>
      </w:pPr>
    </w:p>
    <w:p>
      <w:pPr>
        <w:spacing w:line="500" w:lineRule="exact"/>
        <w:ind w:firstLine="600" w:firstLineChars="250"/>
        <w:outlineLvl w:val="1"/>
        <w:rPr>
          <w:rFonts w:ascii="宋体" w:hAnsi="宋体"/>
          <w:color w:val="auto"/>
          <w:sz w:val="24"/>
        </w:rPr>
      </w:pPr>
      <w:r>
        <w:rPr>
          <w:rFonts w:hint="eastAsia" w:ascii="宋体" w:hAnsi="宋体"/>
          <w:color w:val="auto"/>
          <w:sz w:val="24"/>
        </w:rPr>
        <w:t>代理人无权转让委托权。特此委托。</w:t>
      </w:r>
    </w:p>
    <w:p>
      <w:pPr>
        <w:spacing w:line="500" w:lineRule="exact"/>
        <w:ind w:firstLine="600" w:firstLineChars="250"/>
        <w:outlineLvl w:val="1"/>
        <w:rPr>
          <w:rFonts w:ascii="宋体" w:hAnsi="宋体"/>
          <w:color w:val="auto"/>
          <w:sz w:val="24"/>
        </w:rPr>
      </w:pPr>
    </w:p>
    <w:p>
      <w:pPr>
        <w:spacing w:line="500" w:lineRule="exact"/>
        <w:ind w:firstLine="600" w:firstLineChars="250"/>
        <w:outlineLvl w:val="1"/>
        <w:rPr>
          <w:rFonts w:ascii="宋体" w:hAnsi="宋体"/>
          <w:color w:val="auto"/>
          <w:sz w:val="24"/>
        </w:rPr>
      </w:pPr>
    </w:p>
    <w:p>
      <w:pPr>
        <w:spacing w:line="500" w:lineRule="exact"/>
        <w:outlineLvl w:val="1"/>
        <w:rPr>
          <w:rFonts w:ascii="宋体" w:hAnsi="宋体"/>
          <w:color w:val="auto"/>
          <w:sz w:val="24"/>
        </w:rPr>
      </w:pPr>
      <w:r>
        <w:rPr>
          <w:rFonts w:hint="eastAsia" w:ascii="宋体" w:hAnsi="宋体"/>
          <w:color w:val="auto"/>
          <w:sz w:val="24"/>
        </w:rPr>
        <w:t>投标供应商代表：</w:t>
      </w:r>
      <w:r>
        <w:rPr>
          <w:rFonts w:hint="eastAsia" w:ascii="宋体" w:hAnsi="宋体"/>
          <w:color w:val="auto"/>
          <w:sz w:val="24"/>
          <w:u w:val="single"/>
        </w:rPr>
        <w:t xml:space="preserve">            </w:t>
      </w:r>
      <w:r>
        <w:rPr>
          <w:rFonts w:hint="eastAsia" w:ascii="宋体" w:hAnsi="宋体"/>
          <w:color w:val="auto"/>
          <w:sz w:val="24"/>
        </w:rPr>
        <w:t xml:space="preserve">  性别：</w:t>
      </w:r>
      <w:r>
        <w:rPr>
          <w:rFonts w:hint="eastAsia" w:ascii="宋体" w:hAnsi="宋体"/>
          <w:color w:val="auto"/>
          <w:sz w:val="24"/>
          <w:u w:val="single"/>
        </w:rPr>
        <w:t xml:space="preserve">       </w:t>
      </w:r>
      <w:r>
        <w:rPr>
          <w:rFonts w:hint="eastAsia" w:ascii="宋体" w:hAnsi="宋体"/>
          <w:color w:val="auto"/>
          <w:sz w:val="24"/>
        </w:rPr>
        <w:t>身份证号：</w:t>
      </w:r>
      <w:r>
        <w:rPr>
          <w:rFonts w:hint="eastAsia" w:ascii="宋体" w:hAnsi="宋体"/>
          <w:color w:val="auto"/>
          <w:sz w:val="24"/>
          <w:u w:val="single"/>
        </w:rPr>
        <w:t xml:space="preserve">                  </w:t>
      </w:r>
    </w:p>
    <w:p>
      <w:pPr>
        <w:spacing w:line="500" w:lineRule="exact"/>
        <w:outlineLvl w:val="1"/>
        <w:rPr>
          <w:rFonts w:ascii="宋体" w:hAnsi="宋体"/>
          <w:color w:val="auto"/>
          <w:sz w:val="24"/>
        </w:rPr>
      </w:pPr>
      <w:r>
        <w:rPr>
          <w:rFonts w:hint="eastAsia" w:ascii="宋体" w:hAnsi="宋体"/>
          <w:color w:val="auto"/>
          <w:sz w:val="24"/>
        </w:rPr>
        <w:t>单位：</w:t>
      </w:r>
      <w:r>
        <w:rPr>
          <w:rFonts w:hint="eastAsia" w:ascii="宋体" w:hAnsi="宋体"/>
          <w:color w:val="auto"/>
          <w:sz w:val="24"/>
          <w:u w:val="single"/>
        </w:rPr>
        <w:t xml:space="preserve">                  </w:t>
      </w:r>
      <w:r>
        <w:rPr>
          <w:rFonts w:hint="eastAsia" w:ascii="宋体" w:hAnsi="宋体"/>
          <w:color w:val="auto"/>
          <w:sz w:val="24"/>
        </w:rPr>
        <w:t xml:space="preserve">  部门：</w:t>
      </w:r>
      <w:r>
        <w:rPr>
          <w:rFonts w:hint="eastAsia" w:ascii="宋体" w:hAnsi="宋体"/>
          <w:color w:val="auto"/>
          <w:sz w:val="24"/>
          <w:u w:val="single"/>
        </w:rPr>
        <w:t xml:space="preserve">       </w:t>
      </w:r>
      <w:r>
        <w:rPr>
          <w:rFonts w:hint="eastAsia" w:ascii="宋体" w:hAnsi="宋体"/>
          <w:color w:val="auto"/>
          <w:sz w:val="24"/>
        </w:rPr>
        <w:t xml:space="preserve">    职务：</w:t>
      </w:r>
      <w:r>
        <w:rPr>
          <w:rFonts w:hint="eastAsia" w:ascii="宋体" w:hAnsi="宋体"/>
          <w:color w:val="auto"/>
          <w:sz w:val="24"/>
          <w:u w:val="single"/>
        </w:rPr>
        <w:t xml:space="preserve">                  </w:t>
      </w:r>
    </w:p>
    <w:p>
      <w:pPr>
        <w:spacing w:line="500" w:lineRule="exact"/>
        <w:outlineLvl w:val="1"/>
        <w:rPr>
          <w:rFonts w:ascii="宋体" w:hAnsi="宋体"/>
          <w:color w:val="auto"/>
          <w:sz w:val="24"/>
        </w:rPr>
      </w:pPr>
      <w:r>
        <w:rPr>
          <w:rFonts w:hint="eastAsia" w:ascii="宋体" w:hAnsi="宋体"/>
          <w:color w:val="auto"/>
          <w:sz w:val="24"/>
        </w:rPr>
        <w:t>详细通讯地址：</w:t>
      </w:r>
      <w:r>
        <w:rPr>
          <w:rFonts w:hint="eastAsia" w:ascii="宋体" w:hAnsi="宋体"/>
          <w:color w:val="auto"/>
          <w:sz w:val="24"/>
          <w:u w:val="single"/>
        </w:rPr>
        <w:t xml:space="preserve">          </w:t>
      </w:r>
      <w:r>
        <w:rPr>
          <w:rFonts w:hint="eastAsia" w:ascii="宋体" w:hAnsi="宋体"/>
          <w:color w:val="auto"/>
          <w:sz w:val="24"/>
        </w:rPr>
        <w:t xml:space="preserve"> </w:t>
      </w:r>
      <w:r>
        <w:rPr>
          <w:rFonts w:hint="eastAsia" w:ascii="宋体" w:hAnsi="宋体"/>
          <w:b/>
          <w:bCs/>
          <w:color w:val="auto"/>
          <w:sz w:val="24"/>
        </w:rPr>
        <w:t xml:space="preserve"> </w:t>
      </w: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rPr>
        <w:t xml:space="preserve"> 电话：</w:t>
      </w:r>
      <w:r>
        <w:rPr>
          <w:rFonts w:hint="eastAsia" w:ascii="宋体" w:hAnsi="宋体"/>
          <w:color w:val="auto"/>
          <w:sz w:val="24"/>
          <w:u w:val="single"/>
        </w:rPr>
        <w:t xml:space="preserve">              </w:t>
      </w:r>
    </w:p>
    <w:p>
      <w:pPr>
        <w:spacing w:line="500" w:lineRule="exact"/>
        <w:outlineLvl w:val="1"/>
        <w:rPr>
          <w:rFonts w:ascii="宋体" w:hAnsi="宋体"/>
          <w:color w:val="auto"/>
          <w:sz w:val="24"/>
        </w:rPr>
      </w:pPr>
    </w:p>
    <w:p>
      <w:pPr>
        <w:spacing w:line="500" w:lineRule="exact"/>
        <w:outlineLvl w:val="1"/>
        <w:rPr>
          <w:rFonts w:ascii="宋体" w:hAnsi="宋体"/>
          <w:color w:val="auto"/>
          <w:sz w:val="24"/>
        </w:rPr>
      </w:pPr>
    </w:p>
    <w:p>
      <w:pPr>
        <w:spacing w:line="500" w:lineRule="exact"/>
        <w:ind w:firstLine="3240" w:firstLineChars="1350"/>
        <w:outlineLvl w:val="1"/>
        <w:rPr>
          <w:rFonts w:ascii="宋体" w:hAnsi="宋体"/>
          <w:color w:val="auto"/>
          <w:sz w:val="24"/>
          <w:u w:val="single"/>
        </w:rPr>
      </w:pPr>
      <w:r>
        <w:rPr>
          <w:rFonts w:hint="eastAsia" w:ascii="宋体" w:hAnsi="宋体"/>
          <w:color w:val="auto"/>
          <w:sz w:val="24"/>
        </w:rPr>
        <w:t>法定代表人签字：</w:t>
      </w:r>
      <w:r>
        <w:rPr>
          <w:rFonts w:hint="eastAsia" w:ascii="宋体" w:hAnsi="宋体"/>
          <w:color w:val="auto"/>
          <w:sz w:val="24"/>
          <w:u w:val="single"/>
        </w:rPr>
        <w:t xml:space="preserve">                        </w:t>
      </w:r>
    </w:p>
    <w:p>
      <w:pPr>
        <w:spacing w:line="500" w:lineRule="exact"/>
        <w:ind w:firstLine="3240" w:firstLineChars="1350"/>
        <w:outlineLvl w:val="1"/>
        <w:rPr>
          <w:rFonts w:ascii="宋体" w:hAnsi="宋体"/>
          <w:color w:val="auto"/>
          <w:sz w:val="24"/>
          <w:u w:val="single"/>
        </w:rPr>
      </w:pPr>
      <w:r>
        <w:rPr>
          <w:rFonts w:hint="eastAsia" w:ascii="宋体" w:hAnsi="宋体"/>
          <w:color w:val="auto"/>
          <w:sz w:val="24"/>
        </w:rPr>
        <w:t>投标单位公章：</w:t>
      </w:r>
      <w:r>
        <w:rPr>
          <w:rFonts w:hint="eastAsia" w:ascii="宋体" w:hAnsi="宋体"/>
          <w:color w:val="auto"/>
          <w:sz w:val="24"/>
          <w:u w:val="single"/>
        </w:rPr>
        <w:t xml:space="preserve">                          </w:t>
      </w:r>
    </w:p>
    <w:p>
      <w:pPr>
        <w:spacing w:line="500" w:lineRule="exact"/>
        <w:ind w:firstLine="3240" w:firstLineChars="1350"/>
        <w:outlineLvl w:val="1"/>
        <w:rPr>
          <w:rFonts w:ascii="宋体" w:hAnsi="宋体"/>
          <w:color w:val="auto"/>
          <w:sz w:val="24"/>
        </w:rPr>
      </w:pPr>
      <w:r>
        <w:rPr>
          <w:rFonts w:hint="eastAsia" w:ascii="宋体" w:hAnsi="宋体"/>
          <w:color w:val="auto"/>
          <w:sz w:val="24"/>
        </w:rPr>
        <w:t>日        期：___________年_____月_____日</w:t>
      </w:r>
    </w:p>
    <w:p>
      <w:pPr>
        <w:spacing w:line="500" w:lineRule="exact"/>
        <w:ind w:firstLine="600" w:firstLineChars="250"/>
        <w:outlineLvl w:val="1"/>
        <w:rPr>
          <w:rFonts w:ascii="宋体" w:hAnsi="宋体"/>
          <w:color w:val="auto"/>
          <w:sz w:val="24"/>
        </w:rPr>
      </w:pPr>
    </w:p>
    <w:p>
      <w:pPr>
        <w:spacing w:line="500" w:lineRule="exact"/>
        <w:ind w:firstLine="600" w:firstLineChars="250"/>
        <w:outlineLvl w:val="1"/>
        <w:rPr>
          <w:rFonts w:ascii="宋体" w:hAnsi="宋体"/>
          <w:color w:val="auto"/>
          <w:sz w:val="24"/>
        </w:rPr>
      </w:pPr>
      <w:r>
        <w:rPr>
          <w:rFonts w:hint="eastAsia" w:ascii="宋体" w:hAnsi="宋体"/>
          <w:color w:val="auto"/>
          <w:sz w:val="24"/>
        </w:rPr>
        <w:t>附:授权委托人身份证复印件</w:t>
      </w:r>
    </w:p>
    <w:p>
      <w:pPr>
        <w:pStyle w:val="3"/>
        <w:spacing w:line="360" w:lineRule="exact"/>
        <w:jc w:val="both"/>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pStyle w:val="3"/>
        <w:spacing w:line="360" w:lineRule="exact"/>
        <w:rPr>
          <w:rFonts w:ascii="宋体" w:eastAsia="宋体"/>
          <w:color w:val="auto"/>
          <w:sz w:val="30"/>
          <w:szCs w:val="30"/>
        </w:rPr>
      </w:pPr>
      <w:r>
        <w:rPr>
          <w:rFonts w:hint="eastAsia" w:ascii="宋体" w:eastAsia="宋体"/>
          <w:color w:val="auto"/>
          <w:sz w:val="30"/>
          <w:szCs w:val="30"/>
        </w:rPr>
        <w:t>5、投标人基本情况表</w:t>
      </w:r>
    </w:p>
    <w:p>
      <w:pPr>
        <w:spacing w:line="360" w:lineRule="exact"/>
        <w:rPr>
          <w:color w:val="auto"/>
          <w:sz w:val="24"/>
        </w:rPr>
      </w:pPr>
    </w:p>
    <w:tbl>
      <w:tblPr>
        <w:tblStyle w:val="23"/>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投标供应商名称</w:t>
            </w:r>
          </w:p>
        </w:tc>
        <w:tc>
          <w:tcPr>
            <w:tcW w:w="7755" w:type="dxa"/>
            <w:gridSpan w:val="7"/>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注册地址</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邮政编码</w:t>
            </w:r>
          </w:p>
        </w:tc>
        <w:tc>
          <w:tcPr>
            <w:tcW w:w="266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联系方式</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联系人</w:t>
            </w:r>
          </w:p>
        </w:tc>
        <w:tc>
          <w:tcPr>
            <w:tcW w:w="2659"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电</w:t>
            </w:r>
            <w:r>
              <w:rPr>
                <w:rFonts w:ascii="新宋体" w:hAnsi="新宋体" w:eastAsia="新宋体" w:cs="仿宋_GB2312"/>
                <w:color w:val="auto"/>
                <w:kern w:val="0"/>
                <w:sz w:val="24"/>
              </w:rPr>
              <w:t xml:space="preserve"> </w:t>
            </w:r>
            <w:r>
              <w:rPr>
                <w:rFonts w:hint="eastAsia" w:ascii="新宋体" w:hAnsi="新宋体" w:eastAsia="新宋体" w:cs="仿宋_GB2312"/>
                <w:color w:val="auto"/>
                <w:kern w:val="0"/>
                <w:sz w:val="24"/>
              </w:rPr>
              <w:t>话</w:t>
            </w:r>
          </w:p>
        </w:tc>
        <w:tc>
          <w:tcPr>
            <w:tcW w:w="266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 xml:space="preserve">传 </w:t>
            </w:r>
            <w:r>
              <w:rPr>
                <w:rFonts w:ascii="新宋体" w:hAnsi="新宋体" w:eastAsia="新宋体" w:cs="仿宋_GB2312"/>
                <w:color w:val="auto"/>
                <w:kern w:val="0"/>
                <w:sz w:val="24"/>
              </w:rPr>
              <w:t xml:space="preserve"> </w:t>
            </w:r>
            <w:r>
              <w:rPr>
                <w:rFonts w:hint="eastAsia" w:ascii="新宋体" w:hAnsi="新宋体" w:eastAsia="新宋体" w:cs="仿宋_GB2312"/>
                <w:color w:val="auto"/>
                <w:kern w:val="0"/>
                <w:sz w:val="24"/>
              </w:rPr>
              <w:t>真</w:t>
            </w:r>
          </w:p>
        </w:tc>
        <w:tc>
          <w:tcPr>
            <w:tcW w:w="2659"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网</w:t>
            </w:r>
            <w:r>
              <w:rPr>
                <w:rFonts w:ascii="新宋体" w:hAnsi="新宋体" w:eastAsia="新宋体" w:cs="仿宋_GB2312"/>
                <w:color w:val="auto"/>
                <w:kern w:val="0"/>
                <w:sz w:val="24"/>
              </w:rPr>
              <w:t xml:space="preserve"> </w:t>
            </w:r>
            <w:r>
              <w:rPr>
                <w:rFonts w:hint="eastAsia" w:ascii="新宋体" w:hAnsi="新宋体" w:eastAsia="新宋体" w:cs="仿宋_GB2312"/>
                <w:color w:val="auto"/>
                <w:kern w:val="0"/>
                <w:sz w:val="24"/>
              </w:rPr>
              <w:t>址</w:t>
            </w:r>
          </w:p>
        </w:tc>
        <w:tc>
          <w:tcPr>
            <w:tcW w:w="266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组织结构</w:t>
            </w:r>
          </w:p>
        </w:tc>
        <w:tc>
          <w:tcPr>
            <w:tcW w:w="7755" w:type="dxa"/>
            <w:gridSpan w:val="7"/>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法定代表人</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姓名</w:t>
            </w:r>
          </w:p>
        </w:tc>
        <w:tc>
          <w:tcPr>
            <w:tcW w:w="1329"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技术职称</w:t>
            </w: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电话</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技术负责人</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姓名</w:t>
            </w:r>
          </w:p>
        </w:tc>
        <w:tc>
          <w:tcPr>
            <w:tcW w:w="1329"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技术职称</w:t>
            </w:r>
          </w:p>
        </w:tc>
        <w:tc>
          <w:tcPr>
            <w:tcW w:w="1330"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电话</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成立时间</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3990" w:type="dxa"/>
            <w:gridSpan w:val="4"/>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企业资质等级</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5" w:type="dxa"/>
            <w:vMerge w:val="restart"/>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其中</w:t>
            </w:r>
          </w:p>
        </w:tc>
        <w:tc>
          <w:tcPr>
            <w:tcW w:w="1555" w:type="dxa"/>
            <w:gridSpan w:val="2"/>
            <w:vAlign w:val="center"/>
          </w:tcPr>
          <w:p>
            <w:pPr>
              <w:autoSpaceDE w:val="0"/>
              <w:autoSpaceDN w:val="0"/>
              <w:adjustRightInd w:val="0"/>
              <w:spacing w:line="360" w:lineRule="exact"/>
              <w:jc w:val="center"/>
              <w:rPr>
                <w:rFonts w:ascii="新宋体" w:hAnsi="新宋体" w:eastAsia="新宋体" w:cs="仿宋_GB2312"/>
                <w:color w:val="auto"/>
                <w:kern w:val="0"/>
                <w:sz w:val="24"/>
              </w:rPr>
            </w:pPr>
            <w:r>
              <w:rPr>
                <w:rFonts w:hint="eastAsia" w:ascii="新宋体" w:hAnsi="新宋体" w:eastAsia="新宋体" w:cs="仿宋_GB2312"/>
                <w:color w:val="auto"/>
                <w:kern w:val="0"/>
                <w:sz w:val="24"/>
              </w:rPr>
              <w:t>高级职称人员</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营业执照号</w:t>
            </w:r>
          </w:p>
        </w:tc>
        <w:tc>
          <w:tcPr>
            <w:tcW w:w="3765" w:type="dxa"/>
            <w:gridSpan w:val="3"/>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5" w:type="dxa"/>
            <w:vMerge w:val="continue"/>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555"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中级职称人员</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注册资金</w:t>
            </w:r>
          </w:p>
        </w:tc>
        <w:tc>
          <w:tcPr>
            <w:tcW w:w="1106"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29"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105" w:type="dxa"/>
            <w:vMerge w:val="continue"/>
            <w:vAlign w:val="center"/>
          </w:tcPr>
          <w:p>
            <w:pPr>
              <w:autoSpaceDE w:val="0"/>
              <w:autoSpaceDN w:val="0"/>
              <w:adjustRightInd w:val="0"/>
              <w:spacing w:line="360" w:lineRule="exact"/>
              <w:jc w:val="center"/>
              <w:rPr>
                <w:rFonts w:ascii="新宋体" w:hAnsi="新宋体" w:eastAsia="新宋体" w:cs="黑体"/>
                <w:color w:val="auto"/>
                <w:kern w:val="0"/>
                <w:sz w:val="24"/>
              </w:rPr>
            </w:pPr>
          </w:p>
        </w:tc>
        <w:tc>
          <w:tcPr>
            <w:tcW w:w="1555" w:type="dxa"/>
            <w:gridSpan w:val="2"/>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初级职称人员</w:t>
            </w:r>
          </w:p>
        </w:tc>
        <w:tc>
          <w:tcPr>
            <w:tcW w:w="1330" w:type="dxa"/>
            <w:vAlign w:val="center"/>
          </w:tcPr>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经营范围</w:t>
            </w:r>
          </w:p>
        </w:tc>
        <w:tc>
          <w:tcPr>
            <w:tcW w:w="7755" w:type="dxa"/>
            <w:gridSpan w:val="7"/>
            <w:vAlign w:val="center"/>
          </w:tcPr>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p>
            <w:pPr>
              <w:autoSpaceDE w:val="0"/>
              <w:autoSpaceDN w:val="0"/>
              <w:adjustRightInd w:val="0"/>
              <w:spacing w:line="360" w:lineRule="exact"/>
              <w:jc w:val="center"/>
              <w:rPr>
                <w:rFonts w:ascii="新宋体" w:hAnsi="新宋体" w:eastAsia="新宋体" w:cs="黑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color w:val="auto"/>
                <w:kern w:val="0"/>
                <w:sz w:val="24"/>
              </w:rPr>
            </w:pPr>
            <w:r>
              <w:rPr>
                <w:rFonts w:hint="eastAsia" w:ascii="新宋体" w:hAnsi="新宋体" w:eastAsia="新宋体" w:cs="仿宋_GB2312"/>
                <w:color w:val="auto"/>
                <w:kern w:val="0"/>
                <w:sz w:val="24"/>
              </w:rPr>
              <w:t>备注</w:t>
            </w:r>
          </w:p>
        </w:tc>
        <w:tc>
          <w:tcPr>
            <w:tcW w:w="7755" w:type="dxa"/>
            <w:gridSpan w:val="7"/>
            <w:vAlign w:val="center"/>
          </w:tcPr>
          <w:p>
            <w:pPr>
              <w:autoSpaceDE w:val="0"/>
              <w:autoSpaceDN w:val="0"/>
              <w:adjustRightInd w:val="0"/>
              <w:spacing w:line="360" w:lineRule="exact"/>
              <w:rPr>
                <w:rFonts w:ascii="新宋体" w:hAnsi="新宋体" w:eastAsia="新宋体" w:cs="黑体"/>
                <w:color w:val="auto"/>
                <w:kern w:val="0"/>
                <w:sz w:val="24"/>
              </w:rPr>
            </w:pPr>
            <w:r>
              <w:rPr>
                <w:rFonts w:hint="eastAsia" w:ascii="新宋体" w:hAnsi="新宋体" w:eastAsia="新宋体" w:cs="黑体"/>
                <w:color w:val="auto"/>
                <w:kern w:val="0"/>
                <w:sz w:val="24"/>
              </w:rPr>
              <w:t>投标单位可跟据企业实际情况增加或删减填写此表</w:t>
            </w:r>
          </w:p>
        </w:tc>
      </w:tr>
    </w:tbl>
    <w:p>
      <w:pPr>
        <w:spacing w:line="360" w:lineRule="exact"/>
        <w:outlineLvl w:val="1"/>
        <w:rPr>
          <w:rFonts w:ascii="宋体" w:hAnsi="宋体"/>
          <w:b/>
          <w:color w:val="auto"/>
          <w:sz w:val="24"/>
        </w:rPr>
      </w:pPr>
    </w:p>
    <w:p>
      <w:pPr>
        <w:pStyle w:val="3"/>
        <w:spacing w:line="360" w:lineRule="exact"/>
        <w:rPr>
          <w:rFonts w:ascii="宋体" w:eastAsia="宋体"/>
          <w:color w:val="auto"/>
          <w:sz w:val="24"/>
          <w:szCs w:val="24"/>
        </w:rPr>
      </w:pPr>
    </w:p>
    <w:p>
      <w:pPr>
        <w:rPr>
          <w:color w:val="auto"/>
        </w:rPr>
      </w:pPr>
    </w:p>
    <w:p>
      <w:pPr>
        <w:rPr>
          <w:color w:val="auto"/>
        </w:rPr>
      </w:pPr>
    </w:p>
    <w:bookmarkEnd w:id="0"/>
    <w:p>
      <w:pPr>
        <w:spacing w:line="360" w:lineRule="exact"/>
        <w:jc w:val="left"/>
        <w:outlineLvl w:val="1"/>
        <w:rPr>
          <w:rFonts w:ascii="宋体" w:hAnsi="宋体"/>
          <w:color w:val="auto"/>
          <w:sz w:val="24"/>
        </w:rPr>
      </w:pPr>
      <w:bookmarkStart w:id="11" w:name="_Toc19998"/>
      <w:bookmarkStart w:id="12" w:name="_Toc13757"/>
    </w:p>
    <w:p>
      <w:pPr>
        <w:pStyle w:val="3"/>
        <w:spacing w:line="360" w:lineRule="exact"/>
        <w:rPr>
          <w:rFonts w:ascii="宋体" w:eastAsia="宋体"/>
          <w:color w:val="auto"/>
          <w:sz w:val="30"/>
          <w:szCs w:val="30"/>
        </w:rPr>
      </w:pPr>
      <w:r>
        <w:rPr>
          <w:rFonts w:hint="eastAsia" w:ascii="宋体" w:eastAsia="宋体"/>
          <w:color w:val="auto"/>
          <w:sz w:val="30"/>
          <w:szCs w:val="30"/>
        </w:rPr>
        <w:t>6、</w:t>
      </w:r>
      <w:bookmarkEnd w:id="11"/>
      <w:bookmarkEnd w:id="12"/>
      <w:r>
        <w:rPr>
          <w:rFonts w:hint="eastAsia" w:ascii="宋体" w:eastAsia="宋体"/>
          <w:color w:val="auto"/>
          <w:sz w:val="30"/>
          <w:szCs w:val="30"/>
        </w:rPr>
        <w:t>类似业绩</w:t>
      </w:r>
    </w:p>
    <w:p>
      <w:pPr>
        <w:spacing w:line="360" w:lineRule="exact"/>
        <w:outlineLvl w:val="1"/>
        <w:rPr>
          <w:rFonts w:ascii="宋体" w:hAnsi="宋体"/>
          <w:color w:val="auto"/>
          <w:szCs w:val="21"/>
        </w:rPr>
      </w:pPr>
    </w:p>
    <w:p>
      <w:pPr>
        <w:spacing w:line="360" w:lineRule="exact"/>
        <w:rPr>
          <w:rFonts w:ascii="宋体" w:hAnsi="宋体"/>
          <w:color w:val="auto"/>
          <w:szCs w:val="21"/>
        </w:rPr>
      </w:pPr>
      <w:r>
        <w:rPr>
          <w:rFonts w:hint="eastAsia" w:ascii="宋体" w:hAnsi="宋体"/>
          <w:color w:val="auto"/>
          <w:szCs w:val="21"/>
        </w:rPr>
        <w:t>类似业绩（附复印件）</w:t>
      </w:r>
    </w:p>
    <w:p>
      <w:pPr>
        <w:spacing w:line="360" w:lineRule="exact"/>
        <w:ind w:firstLine="420" w:firstLineChars="200"/>
        <w:rPr>
          <w:rFonts w:ascii="宋体" w:hAnsi="宋体"/>
          <w:color w:val="auto"/>
          <w:szCs w:val="21"/>
        </w:rPr>
      </w:pPr>
    </w:p>
    <w:tbl>
      <w:tblPr>
        <w:tblStyle w:val="23"/>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ascii="宋体" w:hAnsi="宋体"/>
                <w:color w:val="auto"/>
                <w:szCs w:val="21"/>
              </w:rPr>
            </w:pPr>
            <w:r>
              <w:rPr>
                <w:rFonts w:hint="eastAsia" w:ascii="宋体" w:hAnsi="宋体"/>
                <w:color w:val="auto"/>
                <w:szCs w:val="21"/>
              </w:rPr>
              <w:t>项目名称</w:t>
            </w:r>
          </w:p>
        </w:tc>
        <w:tc>
          <w:tcPr>
            <w:tcW w:w="1410" w:type="dxa"/>
            <w:vAlign w:val="center"/>
          </w:tcPr>
          <w:p>
            <w:pPr>
              <w:spacing w:line="360" w:lineRule="exact"/>
              <w:ind w:left="57"/>
              <w:jc w:val="center"/>
              <w:rPr>
                <w:rFonts w:ascii="宋体" w:hAnsi="宋体"/>
                <w:color w:val="auto"/>
                <w:szCs w:val="21"/>
              </w:rPr>
            </w:pPr>
            <w:r>
              <w:rPr>
                <w:rFonts w:hint="eastAsia" w:ascii="宋体" w:hAnsi="宋体"/>
                <w:color w:val="auto"/>
                <w:szCs w:val="21"/>
              </w:rPr>
              <w:t>签约日期</w:t>
            </w:r>
          </w:p>
        </w:tc>
        <w:tc>
          <w:tcPr>
            <w:tcW w:w="2644" w:type="dxa"/>
            <w:vAlign w:val="center"/>
          </w:tcPr>
          <w:p>
            <w:pPr>
              <w:spacing w:line="360" w:lineRule="exact"/>
              <w:jc w:val="center"/>
              <w:rPr>
                <w:rFonts w:ascii="宋体" w:hAnsi="宋体"/>
                <w:color w:val="auto"/>
                <w:szCs w:val="21"/>
              </w:rPr>
            </w:pPr>
            <w:r>
              <w:rPr>
                <w:rFonts w:hint="eastAsia" w:ascii="宋体" w:hAnsi="宋体"/>
                <w:color w:val="auto"/>
                <w:szCs w:val="21"/>
              </w:rPr>
              <w:t>业  绩（合同）</w:t>
            </w:r>
          </w:p>
        </w:tc>
        <w:tc>
          <w:tcPr>
            <w:tcW w:w="1586" w:type="dxa"/>
            <w:vAlign w:val="center"/>
          </w:tcPr>
          <w:p>
            <w:pPr>
              <w:spacing w:line="360" w:lineRule="exact"/>
              <w:jc w:val="center"/>
              <w:rPr>
                <w:rFonts w:ascii="宋体" w:hAnsi="宋体"/>
                <w:color w:val="auto"/>
                <w:szCs w:val="21"/>
              </w:rPr>
            </w:pPr>
            <w:r>
              <w:rPr>
                <w:rFonts w:hint="eastAsia" w:ascii="宋体" w:hAnsi="宋体"/>
                <w:color w:val="auto"/>
                <w:szCs w:val="21"/>
              </w:rPr>
              <w:t>中标通知书</w:t>
            </w:r>
          </w:p>
        </w:tc>
        <w:tc>
          <w:tcPr>
            <w:tcW w:w="1428" w:type="dxa"/>
            <w:vAlign w:val="center"/>
          </w:tcPr>
          <w:p>
            <w:pPr>
              <w:spacing w:line="360" w:lineRule="exact"/>
              <w:jc w:val="center"/>
              <w:rPr>
                <w:rFonts w:ascii="宋体" w:hAnsi="宋体"/>
                <w:color w:val="auto"/>
                <w:szCs w:val="21"/>
              </w:rPr>
            </w:pPr>
            <w:r>
              <w:rPr>
                <w:rFonts w:hint="eastAsia" w:ascii="宋体" w:hAnsi="宋体"/>
                <w:color w:val="auto"/>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tcPr>
          <w:p>
            <w:pPr>
              <w:spacing w:line="360" w:lineRule="exact"/>
              <w:rPr>
                <w:rFonts w:ascii="宋体" w:hAnsi="宋体"/>
                <w:color w:val="auto"/>
                <w:szCs w:val="21"/>
              </w:rPr>
            </w:pPr>
          </w:p>
        </w:tc>
        <w:tc>
          <w:tcPr>
            <w:tcW w:w="1410" w:type="dxa"/>
          </w:tcPr>
          <w:p>
            <w:pPr>
              <w:spacing w:line="360" w:lineRule="exact"/>
              <w:rPr>
                <w:rFonts w:ascii="宋体" w:hAnsi="宋体"/>
                <w:color w:val="auto"/>
                <w:szCs w:val="21"/>
              </w:rPr>
            </w:pPr>
          </w:p>
        </w:tc>
        <w:tc>
          <w:tcPr>
            <w:tcW w:w="2644" w:type="dxa"/>
          </w:tcPr>
          <w:p>
            <w:pPr>
              <w:spacing w:line="360" w:lineRule="exact"/>
              <w:rPr>
                <w:rFonts w:ascii="宋体" w:hAnsi="宋体"/>
                <w:color w:val="auto"/>
                <w:szCs w:val="21"/>
              </w:rPr>
            </w:pPr>
          </w:p>
        </w:tc>
        <w:tc>
          <w:tcPr>
            <w:tcW w:w="1586" w:type="dxa"/>
          </w:tcPr>
          <w:p>
            <w:pPr>
              <w:spacing w:line="360" w:lineRule="exact"/>
              <w:rPr>
                <w:rFonts w:ascii="宋体" w:hAnsi="宋体"/>
                <w:color w:val="auto"/>
                <w:szCs w:val="21"/>
              </w:rPr>
            </w:pPr>
          </w:p>
        </w:tc>
        <w:tc>
          <w:tcPr>
            <w:tcW w:w="1428" w:type="dxa"/>
          </w:tcPr>
          <w:p>
            <w:pPr>
              <w:spacing w:line="360" w:lineRule="exact"/>
              <w:rPr>
                <w:rFonts w:ascii="宋体" w:hAnsi="宋体"/>
                <w:color w:val="auto"/>
                <w:szCs w:val="21"/>
              </w:rPr>
            </w:pPr>
          </w:p>
        </w:tc>
      </w:tr>
    </w:tbl>
    <w:p>
      <w:pPr>
        <w:spacing w:line="360" w:lineRule="exact"/>
        <w:ind w:firstLine="472" w:firstLineChars="225"/>
        <w:rPr>
          <w:rFonts w:ascii="宋体" w:hAnsi="宋体"/>
          <w:color w:val="auto"/>
          <w:szCs w:val="21"/>
        </w:rPr>
      </w:pPr>
    </w:p>
    <w:p>
      <w:pPr>
        <w:autoSpaceDE w:val="0"/>
        <w:autoSpaceDN w:val="0"/>
        <w:adjustRightInd w:val="0"/>
        <w:snapToGrid w:val="0"/>
        <w:spacing w:line="360" w:lineRule="auto"/>
        <w:rPr>
          <w:rFonts w:ascii="宋体" w:hAnsi="宋体"/>
          <w:b/>
          <w:color w:val="auto"/>
        </w:rPr>
      </w:pP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年</w:t>
      </w:r>
      <w:r>
        <w:rPr>
          <w:rFonts w:ascii="宋体" w:hAnsi="宋体"/>
          <w:color w:val="auto"/>
          <w:szCs w:val="21"/>
        </w:rPr>
        <w:t xml:space="preserve">     </w:t>
      </w:r>
      <w:r>
        <w:rPr>
          <w:rFonts w:hint="eastAsia" w:ascii="宋体" w:hAnsi="宋体"/>
          <w:color w:val="auto"/>
          <w:szCs w:val="21"/>
        </w:rPr>
        <w:t>月</w:t>
      </w:r>
      <w:r>
        <w:rPr>
          <w:rFonts w:ascii="宋体" w:hAnsi="宋体"/>
          <w:color w:val="auto"/>
          <w:szCs w:val="21"/>
        </w:rPr>
        <w:t xml:space="preserve">     </w:t>
      </w:r>
      <w:r>
        <w:rPr>
          <w:rFonts w:hint="eastAsia" w:ascii="宋体" w:hAnsi="宋体"/>
          <w:color w:val="auto"/>
          <w:szCs w:val="21"/>
        </w:rPr>
        <w:t>日</w:t>
      </w:r>
    </w:p>
    <w:p>
      <w:pPr>
        <w:autoSpaceDE w:val="0"/>
        <w:autoSpaceDN w:val="0"/>
        <w:adjustRightInd w:val="0"/>
        <w:snapToGrid w:val="0"/>
        <w:spacing w:line="360" w:lineRule="auto"/>
        <w:rPr>
          <w:rFonts w:ascii="宋体" w:hAnsi="宋体"/>
          <w:b/>
          <w:color w:val="auto"/>
        </w:rPr>
      </w:pPr>
    </w:p>
    <w:p>
      <w:pPr>
        <w:autoSpaceDE w:val="0"/>
        <w:autoSpaceDN w:val="0"/>
        <w:adjustRightInd w:val="0"/>
        <w:snapToGrid w:val="0"/>
        <w:spacing w:line="360" w:lineRule="auto"/>
        <w:rPr>
          <w:rFonts w:ascii="宋体" w:hAnsi="宋体"/>
          <w:b/>
          <w:color w:val="auto"/>
        </w:rPr>
      </w:pPr>
    </w:p>
    <w:p>
      <w:pPr>
        <w:autoSpaceDE w:val="0"/>
        <w:autoSpaceDN w:val="0"/>
        <w:adjustRightInd w:val="0"/>
        <w:snapToGrid w:val="0"/>
        <w:spacing w:line="360" w:lineRule="auto"/>
        <w:rPr>
          <w:rFonts w:ascii="宋体" w:hAnsi="宋体"/>
          <w:b/>
          <w:color w:val="auto"/>
        </w:rPr>
      </w:pPr>
    </w:p>
    <w:p>
      <w:pPr>
        <w:autoSpaceDE w:val="0"/>
        <w:autoSpaceDN w:val="0"/>
        <w:adjustRightInd w:val="0"/>
        <w:snapToGrid w:val="0"/>
        <w:spacing w:line="360" w:lineRule="auto"/>
        <w:ind w:firstLine="720" w:firstLineChars="300"/>
        <w:rPr>
          <w:rFonts w:ascii="宋体" w:hAnsi="宋体" w:cs="宋体"/>
          <w:color w:val="auto"/>
          <w:sz w:val="24"/>
        </w:rPr>
      </w:pPr>
      <w:r>
        <w:rPr>
          <w:rFonts w:hint="eastAsia" w:ascii="宋体" w:hAnsi="宋体" w:cs="宋体"/>
          <w:color w:val="auto"/>
          <w:kern w:val="0"/>
          <w:sz w:val="24"/>
        </w:rPr>
        <w:t>投标人：</w:t>
      </w:r>
      <w:r>
        <w:rPr>
          <w:rFonts w:hint="eastAsia" w:ascii="宋体" w:hAnsi="宋体" w:cs="宋体"/>
          <w:color w:val="auto"/>
          <w:kern w:val="0"/>
          <w:sz w:val="24"/>
          <w:u w:val="single"/>
        </w:rPr>
        <w:t xml:space="preserve">                      </w:t>
      </w:r>
      <w:r>
        <w:rPr>
          <w:rFonts w:hint="eastAsia" w:ascii="宋体" w:hAnsi="宋体" w:cs="宋体"/>
          <w:color w:val="auto"/>
          <w:spacing w:val="14"/>
          <w:kern w:val="0"/>
          <w:sz w:val="24"/>
          <w:u w:val="single"/>
        </w:rPr>
        <w:t xml:space="preserve">（单位全称） （盖章）           </w:t>
      </w:r>
    </w:p>
    <w:p>
      <w:pPr>
        <w:autoSpaceDE w:val="0"/>
        <w:autoSpaceDN w:val="0"/>
        <w:adjustRightInd w:val="0"/>
        <w:snapToGrid w:val="0"/>
        <w:spacing w:after="100" w:afterAutospacing="1" w:line="360" w:lineRule="auto"/>
        <w:rPr>
          <w:rFonts w:ascii="宋体" w:hAnsi="宋体" w:cs="宋体"/>
          <w:color w:val="auto"/>
          <w:sz w:val="24"/>
        </w:rPr>
      </w:pPr>
      <w:r>
        <w:rPr>
          <w:rFonts w:hint="eastAsia" w:ascii="宋体" w:hAnsi="宋体" w:cs="宋体"/>
          <w:color w:val="auto"/>
          <w:sz w:val="24"/>
        </w:rPr>
        <w:t xml:space="preserve">      日期：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pPr>
        <w:ind w:left="721" w:hanging="721" w:hangingChars="342"/>
        <w:rPr>
          <w:rFonts w:ascii="宋体" w:hAnsi="宋体"/>
          <w:color w:val="auto"/>
          <w:sz w:val="24"/>
        </w:rPr>
      </w:pPr>
      <w:r>
        <w:rPr>
          <w:rFonts w:hint="eastAsia" w:ascii="宋体" w:hAnsi="宋体"/>
          <w:b/>
          <w:color w:val="auto"/>
        </w:rPr>
        <w:t xml:space="preserve">   </w:t>
      </w:r>
    </w:p>
    <w:p>
      <w:pPr>
        <w:spacing w:line="360" w:lineRule="exact"/>
        <w:ind w:firstLine="540" w:firstLineChars="225"/>
        <w:outlineLvl w:val="1"/>
        <w:rPr>
          <w:rFonts w:ascii="宋体" w:hAnsi="宋体"/>
          <w:color w:val="auto"/>
          <w:sz w:val="24"/>
        </w:rPr>
      </w:pPr>
    </w:p>
    <w:p>
      <w:pPr>
        <w:spacing w:line="360" w:lineRule="exact"/>
        <w:ind w:firstLine="540" w:firstLineChars="225"/>
        <w:outlineLvl w:val="1"/>
        <w:rPr>
          <w:rFonts w:ascii="宋体" w:hAnsi="宋体"/>
          <w:color w:val="auto"/>
          <w:sz w:val="24"/>
        </w:rPr>
      </w:pPr>
    </w:p>
    <w:p>
      <w:pPr>
        <w:spacing w:line="360" w:lineRule="exact"/>
        <w:ind w:firstLine="540" w:firstLineChars="225"/>
        <w:outlineLvl w:val="1"/>
        <w:rPr>
          <w:rFonts w:ascii="宋体" w:hAnsi="宋体"/>
          <w:color w:val="auto"/>
          <w:sz w:val="24"/>
        </w:rPr>
      </w:pPr>
      <w:r>
        <w:rPr>
          <w:rFonts w:ascii="宋体" w:hAnsi="宋体"/>
          <w:color w:val="auto"/>
          <w:sz w:val="24"/>
        </w:rPr>
        <w:t xml:space="preserve">                  </w:t>
      </w:r>
      <w:r>
        <w:rPr>
          <w:rFonts w:hint="eastAsia" w:ascii="宋体" w:hAnsi="宋体"/>
          <w:color w:val="auto"/>
          <w:sz w:val="24"/>
        </w:rPr>
        <w:t xml:space="preserve">        </w:t>
      </w:r>
    </w:p>
    <w:p>
      <w:pPr>
        <w:spacing w:line="360" w:lineRule="exact"/>
        <w:ind w:firstLine="540" w:firstLineChars="225"/>
        <w:outlineLvl w:val="1"/>
        <w:rPr>
          <w:rFonts w:ascii="宋体" w:hAnsi="宋体"/>
          <w:color w:val="auto"/>
          <w:sz w:val="24"/>
        </w:rPr>
      </w:pPr>
      <w:r>
        <w:rPr>
          <w:rFonts w:hint="eastAsia" w:ascii="宋体" w:hAnsi="宋体"/>
          <w:color w:val="auto"/>
          <w:sz w:val="24"/>
        </w:rPr>
        <w:t xml:space="preserve">             </w:t>
      </w:r>
    </w:p>
    <w:p>
      <w:pPr>
        <w:spacing w:line="360" w:lineRule="exact"/>
        <w:outlineLvl w:val="1"/>
        <w:rPr>
          <w:rFonts w:ascii="宋体" w:hAnsi="宋体"/>
          <w:b/>
          <w:color w:val="auto"/>
          <w:sz w:val="24"/>
        </w:rPr>
      </w:pPr>
    </w:p>
    <w:p>
      <w:pPr>
        <w:spacing w:after="120" w:line="360" w:lineRule="exact"/>
        <w:jc w:val="center"/>
        <w:rPr>
          <w:rFonts w:ascii="宋体" w:hAnsi="宋体"/>
          <w:b/>
          <w:color w:val="auto"/>
          <w:sz w:val="32"/>
          <w:szCs w:val="32"/>
        </w:rPr>
      </w:pPr>
      <w:r>
        <w:rPr>
          <w:rFonts w:hint="eastAsia" w:ascii="宋体" w:hAnsi="宋体"/>
          <w:b/>
          <w:color w:val="auto"/>
          <w:sz w:val="32"/>
          <w:szCs w:val="32"/>
        </w:rPr>
        <w:t>7、企业荣誉（复印件）</w:t>
      </w:r>
    </w:p>
    <w:p>
      <w:pPr>
        <w:spacing w:after="120" w:line="360" w:lineRule="exact"/>
        <w:ind w:firstLine="118" w:firstLineChars="49"/>
        <w:jc w:val="center"/>
        <w:rPr>
          <w:rFonts w:ascii="宋体" w:hAnsi="宋体"/>
          <w:b/>
          <w:color w:val="auto"/>
          <w:sz w:val="24"/>
        </w:rPr>
      </w:pPr>
      <w:r>
        <w:rPr>
          <w:rFonts w:hint="eastAsia" w:ascii="宋体" w:hAnsi="宋体"/>
          <w:b/>
          <w:color w:val="auto"/>
          <w:sz w:val="24"/>
        </w:rPr>
        <w:t>（非实质性条款）</w:t>
      </w:r>
    </w:p>
    <w:p>
      <w:pPr>
        <w:spacing w:after="120" w:line="360" w:lineRule="exact"/>
        <w:ind w:firstLine="118" w:firstLineChars="49"/>
        <w:jc w:val="center"/>
        <w:rPr>
          <w:rFonts w:ascii="宋体" w:hAnsi="宋体"/>
          <w:b/>
          <w:color w:val="auto"/>
          <w:sz w:val="24"/>
        </w:rPr>
      </w:pPr>
    </w:p>
    <w:p>
      <w:pPr>
        <w:spacing w:after="120" w:line="360" w:lineRule="exact"/>
        <w:ind w:firstLine="118" w:firstLineChars="49"/>
        <w:jc w:val="center"/>
        <w:rPr>
          <w:rFonts w:ascii="宋体" w:hAnsi="宋体"/>
          <w:b/>
          <w:color w:val="auto"/>
          <w:sz w:val="24"/>
        </w:rPr>
      </w:pPr>
    </w:p>
    <w:p>
      <w:pPr>
        <w:spacing w:after="120" w:line="360" w:lineRule="exact"/>
        <w:ind w:firstLine="118" w:firstLineChars="49"/>
        <w:jc w:val="center"/>
        <w:rPr>
          <w:rFonts w:ascii="宋体" w:hAnsi="宋体"/>
          <w:b/>
          <w:color w:val="auto"/>
          <w:sz w:val="24"/>
        </w:rPr>
      </w:pPr>
    </w:p>
    <w:p>
      <w:pPr>
        <w:autoSpaceDE w:val="0"/>
        <w:autoSpaceDN w:val="0"/>
        <w:adjustRightInd w:val="0"/>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rPr>
          <w:color w:val="auto"/>
        </w:rPr>
      </w:pPr>
    </w:p>
    <w:p>
      <w:pPr>
        <w:rPr>
          <w:color w:val="auto"/>
        </w:rPr>
      </w:pPr>
    </w:p>
    <w:p>
      <w:pPr>
        <w:pStyle w:val="3"/>
        <w:rPr>
          <w:rFonts w:ascii="宋体" w:eastAsia="宋体"/>
          <w:color w:val="auto"/>
          <w:sz w:val="28"/>
          <w:szCs w:val="28"/>
        </w:rPr>
      </w:pPr>
      <w:r>
        <w:rPr>
          <w:color w:val="auto"/>
        </w:rPr>
        <w:br w:type="page"/>
      </w:r>
      <w:bookmarkStart w:id="13" w:name="_Toc395168331"/>
      <w:r>
        <w:rPr>
          <w:rFonts w:hint="eastAsia"/>
          <w:color w:val="auto"/>
        </w:rPr>
        <w:t>8、</w:t>
      </w:r>
      <w:bookmarkEnd w:id="13"/>
      <w:r>
        <w:rPr>
          <w:rFonts w:hint="eastAsia" w:ascii="宋体" w:eastAsia="宋体"/>
          <w:color w:val="auto"/>
          <w:sz w:val="28"/>
          <w:szCs w:val="28"/>
        </w:rPr>
        <w:t>售后服务承诺</w:t>
      </w:r>
    </w:p>
    <w:p>
      <w:pPr>
        <w:rPr>
          <w:color w:val="auto"/>
        </w:rPr>
      </w:pPr>
    </w:p>
    <w:p>
      <w:pPr>
        <w:spacing w:line="600" w:lineRule="exact"/>
        <w:rPr>
          <w:rFonts w:ascii="宋体" w:hAnsi="宋体"/>
          <w:color w:val="auto"/>
          <w:szCs w:val="21"/>
        </w:rPr>
      </w:pPr>
      <w:r>
        <w:rPr>
          <w:rFonts w:hint="eastAsia" w:ascii="宋体" w:hAnsi="宋体"/>
          <w:color w:val="auto"/>
          <w:szCs w:val="21"/>
        </w:rPr>
        <w:t>投标人必须提供但不限于提供以下内容：</w:t>
      </w:r>
    </w:p>
    <w:p>
      <w:pPr>
        <w:spacing w:line="600" w:lineRule="exact"/>
        <w:ind w:firstLine="315" w:firstLineChars="150"/>
        <w:rPr>
          <w:rFonts w:ascii="宋体" w:hAnsi="宋体"/>
          <w:color w:val="auto"/>
          <w:szCs w:val="21"/>
        </w:rPr>
      </w:pPr>
      <w:r>
        <w:rPr>
          <w:rFonts w:hint="eastAsia" w:ascii="宋体" w:hAnsi="宋体"/>
          <w:color w:val="auto"/>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color w:val="auto"/>
          <w:szCs w:val="21"/>
        </w:rPr>
      </w:pPr>
      <w:r>
        <w:rPr>
          <w:rFonts w:hint="eastAsia" w:ascii="宋体" w:hAnsi="宋体"/>
          <w:color w:val="auto"/>
          <w:szCs w:val="21"/>
        </w:rPr>
        <w:t>2、该次项目所提供的其他免费物品或服务。</w:t>
      </w:r>
    </w:p>
    <w:p>
      <w:pPr>
        <w:pStyle w:val="3"/>
        <w:rPr>
          <w:color w:val="auto"/>
        </w:rPr>
      </w:pPr>
    </w:p>
    <w:p>
      <w:pPr>
        <w:jc w:val="center"/>
        <w:rPr>
          <w:rFonts w:ascii="宋体" w:hAnsi="宋体"/>
          <w:b/>
          <w:color w:val="auto"/>
          <w:sz w:val="24"/>
        </w:rPr>
      </w:pPr>
    </w:p>
    <w:p>
      <w:pPr>
        <w:rPr>
          <w:color w:val="auto"/>
        </w:rPr>
      </w:pPr>
    </w:p>
    <w:p>
      <w:pPr>
        <w:pStyle w:val="3"/>
        <w:spacing w:line="360" w:lineRule="exact"/>
        <w:rPr>
          <w:rFonts w:ascii="宋体" w:eastAsia="宋体"/>
          <w:color w:val="auto"/>
        </w:rPr>
      </w:pPr>
      <w:r>
        <w:rPr>
          <w:rFonts w:hint="eastAsia" w:ascii="宋体" w:eastAsia="宋体"/>
          <w:color w:val="auto"/>
        </w:rPr>
        <w:t>9、反商业贿赂承诺书</w:t>
      </w:r>
    </w:p>
    <w:p>
      <w:pPr>
        <w:rPr>
          <w:color w:val="auto"/>
        </w:rPr>
      </w:pPr>
    </w:p>
    <w:p>
      <w:pPr>
        <w:spacing w:line="360" w:lineRule="exact"/>
        <w:rPr>
          <w:rFonts w:ascii="宋体" w:hAnsi="宋体"/>
          <w:color w:val="auto"/>
          <w:sz w:val="24"/>
        </w:rPr>
      </w:pPr>
    </w:p>
    <w:p>
      <w:pPr>
        <w:spacing w:line="560" w:lineRule="exact"/>
        <w:rPr>
          <w:rFonts w:ascii="宋体" w:hAnsi="宋体"/>
          <w:color w:val="auto"/>
          <w:sz w:val="24"/>
        </w:rPr>
      </w:pPr>
      <w:r>
        <w:rPr>
          <w:rFonts w:hint="eastAsia" w:ascii="宋体" w:hAnsi="宋体"/>
          <w:color w:val="auto"/>
          <w:sz w:val="24"/>
        </w:rPr>
        <w:t>我公司承诺：</w:t>
      </w:r>
      <w:r>
        <w:rPr>
          <w:rFonts w:hint="eastAsia" w:ascii="宋体" w:hAnsi="宋体"/>
          <w:color w:val="auto"/>
          <w:sz w:val="24"/>
        </w:rPr>
        <w:tab/>
      </w:r>
    </w:p>
    <w:p>
      <w:pPr>
        <w:spacing w:line="560" w:lineRule="exact"/>
        <w:rPr>
          <w:rFonts w:ascii="宋体" w:hAnsi="宋体"/>
          <w:color w:val="auto"/>
          <w:sz w:val="24"/>
        </w:rPr>
      </w:pPr>
      <w:r>
        <w:rPr>
          <w:rFonts w:hint="eastAsia" w:ascii="宋体" w:hAnsi="宋体"/>
          <w:color w:val="auto"/>
          <w:sz w:val="24"/>
        </w:rPr>
        <w:t xml:space="preserve">    在</w:t>
      </w:r>
      <w:r>
        <w:rPr>
          <w:rFonts w:hint="eastAsia" w:ascii="宋体" w:hAnsi="宋体"/>
          <w:color w:val="auto"/>
          <w:sz w:val="24"/>
          <w:u w:val="single"/>
        </w:rPr>
        <w:t>（投标项目名称）</w:t>
      </w:r>
      <w:r>
        <w:rPr>
          <w:rFonts w:hint="eastAsia" w:ascii="宋体" w:hAnsi="宋体"/>
          <w:color w:val="auto"/>
          <w:sz w:val="24"/>
        </w:rPr>
        <w:t>投标活动中，我公司保证做到：</w:t>
      </w:r>
    </w:p>
    <w:p>
      <w:pPr>
        <w:spacing w:line="560" w:lineRule="exact"/>
        <w:ind w:firstLine="480" w:firstLineChars="200"/>
        <w:rPr>
          <w:rFonts w:ascii="宋体" w:hAnsi="宋体"/>
          <w:color w:val="auto"/>
          <w:sz w:val="24"/>
        </w:rPr>
      </w:pPr>
      <w:r>
        <w:rPr>
          <w:rFonts w:hint="eastAsia" w:ascii="宋体" w:hAnsi="宋体"/>
          <w:color w:val="auto"/>
          <w:sz w:val="24"/>
        </w:rPr>
        <w:t>一、公平参加本次投标活动。</w:t>
      </w:r>
    </w:p>
    <w:p>
      <w:pPr>
        <w:spacing w:line="560" w:lineRule="exact"/>
        <w:ind w:firstLine="480" w:firstLineChars="200"/>
        <w:rPr>
          <w:rFonts w:ascii="宋体" w:hAnsi="宋体"/>
          <w:color w:val="auto"/>
          <w:sz w:val="24"/>
        </w:rPr>
      </w:pPr>
      <w:r>
        <w:rPr>
          <w:rFonts w:hint="eastAsia" w:ascii="宋体" w:hAnsi="宋体"/>
          <w:color w:val="auto"/>
          <w:sz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ascii="宋体" w:hAnsi="宋体"/>
          <w:color w:val="auto"/>
          <w:sz w:val="24"/>
        </w:rPr>
      </w:pPr>
      <w:r>
        <w:rPr>
          <w:rFonts w:hint="eastAsia" w:ascii="宋体" w:hAnsi="宋体"/>
          <w:color w:val="auto"/>
          <w:sz w:val="24"/>
        </w:rPr>
        <w:t>三、若出现上述行为，我公司及参与投标的工作人员愿意接受按照国家法律法规等有关规定的处罚。</w:t>
      </w:r>
    </w:p>
    <w:p>
      <w:pPr>
        <w:spacing w:line="560" w:lineRule="exact"/>
        <w:rPr>
          <w:rFonts w:ascii="宋体" w:hAnsi="宋体"/>
          <w:color w:val="auto"/>
          <w:sz w:val="24"/>
        </w:rPr>
      </w:pPr>
    </w:p>
    <w:p>
      <w:pPr>
        <w:spacing w:line="560" w:lineRule="exact"/>
        <w:rPr>
          <w:rFonts w:ascii="宋体" w:hAnsi="宋体"/>
          <w:color w:val="auto"/>
          <w:sz w:val="24"/>
        </w:rPr>
      </w:pPr>
      <w:r>
        <w:rPr>
          <w:rFonts w:ascii="宋体" w:hAnsi="宋体"/>
          <w:color w:val="auto"/>
          <w:sz w:val="24"/>
        </w:rPr>
        <w:t xml:space="preserve">                                  </w:t>
      </w:r>
    </w:p>
    <w:p>
      <w:pPr>
        <w:spacing w:line="560" w:lineRule="exact"/>
        <w:rPr>
          <w:rFonts w:ascii="宋体" w:hAnsi="宋体"/>
          <w:color w:val="auto"/>
          <w:sz w:val="24"/>
        </w:rPr>
      </w:pPr>
      <w:r>
        <w:rPr>
          <w:rFonts w:hint="eastAsia" w:ascii="宋体" w:hAnsi="宋体"/>
          <w:color w:val="auto"/>
          <w:sz w:val="24"/>
        </w:rPr>
        <w:t xml:space="preserve">                            </w:t>
      </w:r>
    </w:p>
    <w:p>
      <w:pPr>
        <w:spacing w:line="560" w:lineRule="exact"/>
        <w:rPr>
          <w:rFonts w:ascii="宋体" w:hAnsi="宋体"/>
          <w:color w:val="auto"/>
          <w:sz w:val="24"/>
        </w:rPr>
      </w:pPr>
    </w:p>
    <w:p>
      <w:pPr>
        <w:spacing w:line="560" w:lineRule="exact"/>
        <w:ind w:firstLine="3360" w:firstLineChars="1400"/>
        <w:rPr>
          <w:rFonts w:ascii="宋体" w:hAnsi="宋体"/>
          <w:color w:val="auto"/>
          <w:sz w:val="24"/>
        </w:rPr>
      </w:pPr>
      <w:r>
        <w:rPr>
          <w:rFonts w:hint="eastAsia" w:ascii="宋体" w:hAnsi="宋体"/>
          <w:color w:val="auto"/>
          <w:sz w:val="24"/>
        </w:rPr>
        <w:t>公司法人代表（签字）</w:t>
      </w:r>
    </w:p>
    <w:p>
      <w:pPr>
        <w:spacing w:line="560" w:lineRule="exact"/>
        <w:rPr>
          <w:rFonts w:ascii="宋体" w:hAnsi="宋体"/>
          <w:color w:val="auto"/>
          <w:sz w:val="24"/>
        </w:rPr>
      </w:pPr>
      <w:r>
        <w:rPr>
          <w:rFonts w:hint="eastAsia" w:ascii="宋体" w:hAnsi="宋体"/>
          <w:color w:val="auto"/>
          <w:sz w:val="24"/>
        </w:rPr>
        <w:t xml:space="preserve">                            法人授权代表（签字）</w:t>
      </w:r>
    </w:p>
    <w:p>
      <w:pPr>
        <w:spacing w:line="560" w:lineRule="exact"/>
        <w:ind w:left="4920" w:hanging="4920" w:hangingChars="2050"/>
        <w:rPr>
          <w:rFonts w:ascii="宋体" w:hAnsi="宋体"/>
          <w:color w:val="auto"/>
          <w:sz w:val="24"/>
        </w:rPr>
      </w:pPr>
      <w:r>
        <w:rPr>
          <w:rFonts w:hint="eastAsia" w:ascii="宋体" w:hAnsi="宋体"/>
          <w:color w:val="auto"/>
          <w:sz w:val="24"/>
        </w:rPr>
        <w:t xml:space="preserve">                                        （公章）</w:t>
      </w:r>
    </w:p>
    <w:p>
      <w:pPr>
        <w:spacing w:line="500" w:lineRule="exact"/>
        <w:ind w:left="4920" w:hanging="4920" w:hangingChars="2050"/>
        <w:rPr>
          <w:rFonts w:ascii="宋体" w:hAnsi="宋体"/>
          <w:color w:val="auto"/>
          <w:sz w:val="24"/>
        </w:rPr>
      </w:pPr>
    </w:p>
    <w:p>
      <w:pPr>
        <w:spacing w:line="500" w:lineRule="exact"/>
        <w:rPr>
          <w:rFonts w:ascii="宋体" w:hAnsi="宋体"/>
          <w:color w:val="auto"/>
          <w:sz w:val="24"/>
        </w:rPr>
      </w:pPr>
      <w:r>
        <w:rPr>
          <w:rFonts w:hint="eastAsia" w:ascii="宋体" w:hAnsi="宋体"/>
          <w:color w:val="auto"/>
          <w:sz w:val="24"/>
        </w:rPr>
        <w:t xml:space="preserve">                                        年   月  日</w:t>
      </w:r>
    </w:p>
    <w:p>
      <w:pPr>
        <w:pStyle w:val="3"/>
        <w:spacing w:line="360" w:lineRule="exact"/>
        <w:rPr>
          <w:rFonts w:ascii="宋体" w:eastAsia="宋体"/>
          <w:color w:val="auto"/>
        </w:rPr>
      </w:pPr>
      <w:r>
        <w:rPr>
          <w:rFonts w:hint="eastAsia" w:ascii="宋体" w:eastAsia="宋体"/>
          <w:color w:val="auto"/>
        </w:rPr>
        <w:t>10、第二轮报价表（仅限于谈判现场填写）</w:t>
      </w:r>
    </w:p>
    <w:p>
      <w:pPr>
        <w:rPr>
          <w:color w:val="auto"/>
        </w:rPr>
      </w:pPr>
    </w:p>
    <w:p>
      <w:pPr>
        <w:pStyle w:val="3"/>
        <w:rPr>
          <w:rFonts w:ascii="宋体" w:eastAsia="宋体"/>
          <w:color w:val="auto"/>
          <w:sz w:val="28"/>
          <w:szCs w:val="28"/>
        </w:rPr>
      </w:pPr>
      <w:r>
        <w:rPr>
          <w:rFonts w:hint="eastAsia" w:ascii="宋体" w:eastAsia="宋体"/>
          <w:color w:val="auto"/>
          <w:sz w:val="28"/>
          <w:szCs w:val="28"/>
        </w:rPr>
        <w:t>开标一览表</w:t>
      </w:r>
    </w:p>
    <w:p>
      <w:pPr>
        <w:spacing w:line="360" w:lineRule="exact"/>
        <w:jc w:val="center"/>
        <w:rPr>
          <w:rFonts w:ascii="宋体" w:hAnsi="宋体"/>
          <w:b/>
          <w:color w:val="auto"/>
          <w:szCs w:val="21"/>
        </w:rPr>
      </w:pPr>
    </w:p>
    <w:tbl>
      <w:tblPr>
        <w:tblStyle w:val="23"/>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r>
              <w:rPr>
                <w:rFonts w:hint="eastAsia" w:ascii="宋体" w:hAnsi="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p>
            <w:pPr>
              <w:spacing w:line="360" w:lineRule="exact"/>
              <w:ind w:firstLine="1575" w:firstLineChars="750"/>
              <w:rPr>
                <w:rFonts w:ascii="宋体" w:hAnsi="宋体"/>
                <w:color w:val="auto"/>
                <w:szCs w:val="21"/>
              </w:rPr>
            </w:pPr>
            <w:r>
              <w:rPr>
                <w:rFonts w:ascii="宋体" w:hAnsi="宋体"/>
                <w:color w:val="auto"/>
                <w:szCs w:val="21"/>
              </w:rPr>
              <mc:AlternateContent>
                <mc:Choice Requires="wps">
                  <w:drawing>
                    <wp:anchor distT="0" distB="0" distL="114300" distR="114300" simplePos="0" relativeHeight="251658240"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3" name="直线 5"/>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169.75pt;margin-top:17.9pt;height:0pt;width:84pt;z-index:251658240;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h9T/ANYAAAAJAQAADwAAAAAAAAABACAAAAAiAAAAZHJz&#10;L2Rvd25yZXYueG1sUEsBAhQAFAAAAAgAh07iQIx28vjNAQAAjQMAAA4AAAAAAAAAAQAgAAAAJQEA&#10;AGRycy9lMm9Eb2MueG1sUEsFBgAAAAAGAAYAWQEAAGQFAAAAAA==&#10;">
                      <v:fill on="f" focussize="0,0"/>
                      <v:stroke color="#000000" joinstyle="round"/>
                      <v:imagedata o:title=""/>
                      <o:lock v:ext="edit" aspectratio="f"/>
                    </v:line>
                  </w:pict>
                </mc:Fallback>
              </mc:AlternateContent>
            </w:r>
            <w:r>
              <w:rPr>
                <w:rFonts w:hint="eastAsia" w:ascii="宋体" w:hAnsi="宋体"/>
                <w:color w:val="auto"/>
                <w:szCs w:val="21"/>
              </w:rPr>
              <w:t>人民币大写：</w:t>
            </w:r>
          </w:p>
          <w:p>
            <w:pPr>
              <w:spacing w:line="360" w:lineRule="exact"/>
              <w:ind w:firstLine="1575" w:firstLineChars="750"/>
              <w:rPr>
                <w:rFonts w:ascii="宋体" w:hAnsi="宋体"/>
                <w:color w:val="auto"/>
                <w:szCs w:val="21"/>
              </w:rPr>
            </w:pPr>
            <w:r>
              <w:rPr>
                <w:rFonts w:ascii="宋体" w:hAnsi="宋体"/>
                <w:color w:val="auto"/>
                <w:szCs w:val="21"/>
              </w:rPr>
              <mc:AlternateContent>
                <mc:Choice Requires="wps">
                  <w:drawing>
                    <wp:anchor distT="0" distB="0" distL="114300" distR="114300" simplePos="0" relativeHeight="251659264"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4" name="直线 6"/>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169.85pt;margin-top:19.1pt;height:0pt;width:84pt;z-index:251659264;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g33G8dYAAAAJAQAADwAAAAAAAAABACAAAAAiAAAAZHJz&#10;L2Rvd25yZXYueG1sUEsBAhQAFAAAAAgAh07iQAp6JmPNAQAAjQMAAA4AAAAAAAAAAQAgAAAAJQEA&#10;AGRycy9lMm9Eb2MueG1sUEsFBgAAAAAGAAYAWQEAAGQFAAAAAA==&#10;">
                      <v:fill on="f" focussize="0,0"/>
                      <v:stroke color="#000000" joinstyle="round"/>
                      <v:imagedata o:title=""/>
                      <o:lock v:ext="edit" aspectratio="f"/>
                    </v:line>
                  </w:pict>
                </mc:Fallback>
              </mc:AlternateContent>
            </w:r>
            <w:r>
              <w:rPr>
                <w:rFonts w:hint="eastAsia" w:ascii="宋体" w:hAnsi="宋体"/>
                <w:color w:val="auto"/>
                <w:szCs w:val="21"/>
              </w:rPr>
              <w:t>人民币小写：</w:t>
            </w:r>
          </w:p>
          <w:p>
            <w:pPr>
              <w:spacing w:line="360" w:lineRule="exact"/>
              <w:jc w:val="center"/>
              <w:rPr>
                <w:rFonts w:ascii="宋体" w:hAnsi="宋体"/>
                <w:color w:val="auto"/>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质 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olor w:val="auto"/>
                <w:szCs w:val="21"/>
              </w:rPr>
            </w:pPr>
            <w:r>
              <w:rPr>
                <w:rFonts w:hint="eastAsia" w:ascii="宋体" w:hAnsi="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r>
              <w:rPr>
                <w:rFonts w:hint="eastAsia" w:ascii="宋体" w:hAnsi="宋体"/>
                <w:color w:val="auto"/>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olor w:val="auto"/>
                <w:szCs w:val="21"/>
              </w:rPr>
            </w:pP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olor w:val="auto"/>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b/>
                <w:color w:val="auto"/>
                <w:szCs w:val="21"/>
              </w:rPr>
            </w:pPr>
            <w:r>
              <w:rPr>
                <w:rFonts w:hint="eastAsia" w:ascii="宋体" w:hAnsi="宋体"/>
                <w:b/>
                <w:color w:val="auto"/>
                <w:szCs w:val="21"/>
              </w:rPr>
              <w:t>说明：</w:t>
            </w:r>
          </w:p>
          <w:p>
            <w:pPr>
              <w:spacing w:line="360" w:lineRule="exact"/>
              <w:rPr>
                <w:rFonts w:ascii="宋体" w:hAnsi="宋体"/>
                <w:color w:val="auto"/>
                <w:szCs w:val="21"/>
              </w:rPr>
            </w:pPr>
            <w:r>
              <w:rPr>
                <w:rFonts w:ascii="宋体" w:hAnsi="宋体"/>
                <w:color w:val="auto"/>
                <w:szCs w:val="21"/>
              </w:rPr>
              <w:t>1</w:t>
            </w:r>
            <w:r>
              <w:rPr>
                <w:rFonts w:hint="eastAsia" w:ascii="宋体" w:hAnsi="宋体"/>
                <w:color w:val="auto"/>
                <w:szCs w:val="21"/>
              </w:rPr>
              <w:t>、本表投标总价应与</w:t>
            </w:r>
            <w:r>
              <w:rPr>
                <w:rFonts w:hint="eastAsia" w:ascii="宋体" w:hAnsi="宋体"/>
                <w:color w:val="auto"/>
                <w:szCs w:val="21"/>
                <w:u w:val="single"/>
              </w:rPr>
              <w:t>投标文件中报价表、投标函的总报价一致</w:t>
            </w:r>
            <w:r>
              <w:rPr>
                <w:rFonts w:hint="eastAsia" w:ascii="宋体" w:hAnsi="宋体"/>
                <w:color w:val="auto"/>
                <w:szCs w:val="21"/>
              </w:rPr>
              <w:t>，不一致者以《投标函》中总报价为准（大小写不一致以大写金额为准），投标人将承担由此造成的一切后果。</w:t>
            </w:r>
          </w:p>
          <w:p>
            <w:pPr>
              <w:spacing w:line="360" w:lineRule="exact"/>
              <w:rPr>
                <w:rFonts w:ascii="宋体" w:hAnsi="宋体"/>
                <w:color w:val="auto"/>
                <w:szCs w:val="21"/>
              </w:rPr>
            </w:pPr>
            <w:r>
              <w:rPr>
                <w:rFonts w:ascii="宋体" w:hAnsi="宋体"/>
                <w:color w:val="auto"/>
                <w:szCs w:val="21"/>
              </w:rPr>
              <w:t>2</w:t>
            </w:r>
            <w:r>
              <w:rPr>
                <w:rFonts w:hint="eastAsia" w:ascii="宋体" w:hAnsi="宋体"/>
                <w:color w:val="auto"/>
                <w:szCs w:val="21"/>
              </w:rPr>
              <w:t>、与本表同时公开唱标的内容包括对其投标文件的修改或撤回通知、投标价折扣声明、其他采购人认为应该宣读的内容等。</w:t>
            </w:r>
          </w:p>
          <w:p>
            <w:pPr>
              <w:spacing w:line="360" w:lineRule="exact"/>
              <w:rPr>
                <w:rFonts w:ascii="宋体" w:hAnsi="宋体"/>
                <w:color w:val="auto"/>
                <w:szCs w:val="21"/>
              </w:rPr>
            </w:pPr>
            <w:r>
              <w:rPr>
                <w:rFonts w:ascii="宋体" w:hAnsi="宋体"/>
                <w:color w:val="auto"/>
                <w:szCs w:val="21"/>
              </w:rPr>
              <w:t>3</w:t>
            </w:r>
            <w:r>
              <w:rPr>
                <w:rFonts w:hint="eastAsia" w:ascii="宋体" w:hAnsi="宋体"/>
                <w:color w:val="auto"/>
                <w:szCs w:val="21"/>
              </w:rPr>
              <w:t>、投标总报价应包含成本、运输、税金、培训、安装调试等一切与之相关费用</w:t>
            </w:r>
            <w:r>
              <w:rPr>
                <w:rFonts w:hint="eastAsia" w:ascii="宋体" w:hAnsi="宋体"/>
                <w:b/>
                <w:color w:val="auto"/>
                <w:szCs w:val="21"/>
              </w:rPr>
              <w:t>。</w:t>
            </w:r>
          </w:p>
        </w:tc>
      </w:tr>
    </w:tbl>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投标人名称（公章）：</w:t>
      </w:r>
    </w:p>
    <w:p>
      <w:pPr>
        <w:pStyle w:val="8"/>
        <w:spacing w:line="520" w:lineRule="exact"/>
        <w:ind w:left="0" w:leftChars="0" w:firstLine="210" w:firstLineChars="100"/>
        <w:rPr>
          <w:rFonts w:ascii="宋体" w:eastAsia="宋体"/>
          <w:b w:val="0"/>
          <w:color w:val="auto"/>
          <w:sz w:val="21"/>
          <w:szCs w:val="21"/>
        </w:rPr>
      </w:pPr>
      <w:r>
        <w:rPr>
          <w:rFonts w:hint="eastAsia" w:ascii="宋体" w:eastAsia="宋体"/>
          <w:b w:val="0"/>
          <w:color w:val="auto"/>
          <w:sz w:val="21"/>
          <w:szCs w:val="21"/>
        </w:rPr>
        <w:t>法定代表人或授权委托人签字:</w:t>
      </w:r>
    </w:p>
    <w:p>
      <w:pPr>
        <w:pStyle w:val="8"/>
        <w:spacing w:line="360" w:lineRule="exact"/>
        <w:rPr>
          <w:rFonts w:ascii="宋体"/>
          <w:color w:val="auto"/>
          <w:szCs w:val="21"/>
        </w:rPr>
      </w:pPr>
    </w:p>
    <w:p>
      <w:pPr>
        <w:spacing w:line="360" w:lineRule="exact"/>
        <w:jc w:val="right"/>
        <w:outlineLvl w:val="1"/>
        <w:rPr>
          <w:rFonts w:ascii="宋体" w:hAnsi="宋体"/>
          <w:color w:val="auto"/>
          <w:sz w:val="24"/>
        </w:rPr>
      </w:pPr>
      <w:r>
        <w:rPr>
          <w:rFonts w:hint="eastAsia" w:ascii="宋体" w:hAnsi="宋体"/>
          <w:color w:val="auto"/>
          <w:szCs w:val="21"/>
        </w:rPr>
        <w:t xml:space="preserve">                                                          年    月   日</w:t>
      </w:r>
    </w:p>
    <w:p>
      <w:pPr>
        <w:spacing w:line="360" w:lineRule="exact"/>
        <w:jc w:val="right"/>
        <w:outlineLvl w:val="1"/>
        <w:rPr>
          <w:rFonts w:ascii="宋体" w:hAnsi="宋体"/>
          <w:b/>
          <w:color w:val="auto"/>
          <w:sz w:val="24"/>
        </w:rPr>
      </w:pPr>
    </w:p>
    <w:p>
      <w:pPr>
        <w:spacing w:line="580" w:lineRule="exact"/>
        <w:rPr>
          <w:rFonts w:ascii="仿宋_GB2312" w:eastAsia="仿宋_GB2312"/>
          <w:color w:val="auto"/>
          <w:sz w:val="32"/>
          <w:szCs w:val="32"/>
        </w:rPr>
      </w:pPr>
      <w:r>
        <w:rPr>
          <w:rFonts w:hint="eastAsia"/>
          <w:color w:val="auto"/>
          <w:sz w:val="24"/>
        </w:rPr>
        <w:t>说明：第二轮报价表加盖公章后现场填写，然后交与谈判小组。</w:t>
      </w: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r>
        <w:rPr>
          <w:rFonts w:hint="eastAsia" w:ascii="宋体" w:eastAsia="宋体"/>
          <w:color w:val="auto"/>
        </w:rPr>
        <w:t>11、资 格 证 明 文 件</w:t>
      </w:r>
    </w:p>
    <w:p>
      <w:pPr>
        <w:rPr>
          <w:color w:val="auto"/>
        </w:rPr>
      </w:pPr>
    </w:p>
    <w:p>
      <w:pPr>
        <w:spacing w:line="600" w:lineRule="exact"/>
        <w:ind w:firstLine="361" w:firstLineChars="150"/>
        <w:rPr>
          <w:rFonts w:ascii="宋体" w:hAnsi="宋体"/>
          <w:b/>
          <w:color w:val="auto"/>
          <w:sz w:val="24"/>
        </w:rPr>
      </w:pPr>
      <w:r>
        <w:rPr>
          <w:rFonts w:hint="eastAsia" w:ascii="宋体" w:hAnsi="宋体"/>
          <w:b/>
          <w:color w:val="auto"/>
          <w:sz w:val="24"/>
        </w:rPr>
        <w:t>营业执照（副本）、组织机构代码证、税务登记证（副本）（三证合一单位只需提供营业执照副本）、法定代表人证明或法定代表人授权委托书及本人身份证、由企业注册地或项目所在地的检察机关出具的行贿犯罪档案查询结果证明、公路交通工程专业承包</w:t>
      </w:r>
      <w:r>
        <w:rPr>
          <w:rFonts w:hint="eastAsia" w:ascii="宋体" w:hAnsi="宋体"/>
          <w:b/>
          <w:color w:val="auto"/>
          <w:sz w:val="24"/>
          <w:lang w:eastAsia="zh-CN"/>
        </w:rPr>
        <w:t>二</w:t>
      </w:r>
      <w:r>
        <w:rPr>
          <w:rFonts w:hint="eastAsia" w:ascii="宋体" w:hAnsi="宋体"/>
          <w:b/>
          <w:color w:val="auto"/>
          <w:sz w:val="24"/>
        </w:rPr>
        <w:t>级</w:t>
      </w:r>
      <w:r>
        <w:rPr>
          <w:rFonts w:hint="eastAsia" w:ascii="宋体" w:hAnsi="宋体"/>
          <w:b/>
          <w:color w:val="auto"/>
          <w:sz w:val="24"/>
          <w:lang w:eastAsia="zh-CN"/>
        </w:rPr>
        <w:t>及以上</w:t>
      </w:r>
      <w:r>
        <w:rPr>
          <w:rFonts w:hint="eastAsia" w:ascii="宋体" w:hAnsi="宋体"/>
          <w:b/>
          <w:color w:val="auto"/>
          <w:sz w:val="24"/>
        </w:rPr>
        <w:t>资质（公路机电工程专业分项），安全生产许可证有效期内，拟派</w:t>
      </w:r>
      <w:r>
        <w:rPr>
          <w:rFonts w:hint="eastAsia" w:ascii="宋体" w:hAnsi="宋体"/>
          <w:b/>
          <w:color w:val="auto"/>
          <w:sz w:val="24"/>
          <w:lang w:eastAsia="zh-CN"/>
        </w:rPr>
        <w:t>项目经理</w:t>
      </w:r>
      <w:r>
        <w:rPr>
          <w:rFonts w:hint="eastAsia" w:ascii="宋体" w:hAnsi="宋体"/>
          <w:b/>
          <w:color w:val="auto"/>
          <w:sz w:val="24"/>
        </w:rPr>
        <w:t>具有公路工程或机电工程专业二级（含二级）以上注册建造师证书及有效的安全生产考核合格证书；2014年1月1日以来类似交通信号灯业绩，（提供中标通知书、合同原件）、投标保证金交付凭证、近期依法缴纳社会保障资金的交款凭证、近期依法纳税证明、近三年财务审计报告、在经营活动中没有重大违法记录声明、谈判文件中规定的其他资料等。</w:t>
      </w:r>
    </w:p>
    <w:p>
      <w:pPr>
        <w:spacing w:line="600" w:lineRule="exact"/>
        <w:ind w:firstLine="361" w:firstLineChars="150"/>
        <w:rPr>
          <w:rFonts w:ascii="宋体" w:hAnsi="宋体"/>
          <w:b/>
          <w:color w:val="auto"/>
          <w:sz w:val="24"/>
        </w:rPr>
      </w:pPr>
      <w:r>
        <w:rPr>
          <w:rFonts w:hint="eastAsia" w:ascii="宋体" w:hAnsi="宋体"/>
          <w:b/>
          <w:color w:val="auto"/>
          <w:sz w:val="24"/>
        </w:rPr>
        <w:t>以上复印件必须加盖单位公章</w:t>
      </w: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422" w:firstLineChars="150"/>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rPr>
          <w:rFonts w:ascii="宋体" w:hAnsi="宋体"/>
          <w:b/>
          <w:color w:val="auto"/>
          <w:sz w:val="28"/>
          <w:szCs w:val="28"/>
        </w:rPr>
      </w:pPr>
    </w:p>
    <w:p>
      <w:pPr>
        <w:spacing w:line="560" w:lineRule="exact"/>
        <w:ind w:firstLine="422" w:firstLineChars="150"/>
        <w:rPr>
          <w:rFonts w:ascii="宋体" w:hAnsi="宋体"/>
          <w:b/>
          <w:color w:val="auto"/>
          <w:sz w:val="28"/>
          <w:szCs w:val="28"/>
        </w:rPr>
      </w:pPr>
    </w:p>
    <w:p>
      <w:pPr>
        <w:jc w:val="center"/>
        <w:rPr>
          <w:rFonts w:ascii="宋体" w:hAnsi="宋体"/>
          <w:b/>
          <w:color w:val="auto"/>
          <w:sz w:val="32"/>
          <w:szCs w:val="32"/>
        </w:rPr>
      </w:pPr>
      <w:r>
        <w:rPr>
          <w:rFonts w:hint="eastAsia" w:ascii="宋体" w:hAnsi="宋体"/>
          <w:b/>
          <w:color w:val="auto"/>
          <w:sz w:val="32"/>
          <w:szCs w:val="32"/>
        </w:rPr>
        <w:t>12、承诺函</w:t>
      </w:r>
    </w:p>
    <w:p>
      <w:pPr>
        <w:spacing w:line="440" w:lineRule="exact"/>
        <w:rPr>
          <w:color w:val="auto"/>
          <w:szCs w:val="21"/>
        </w:rPr>
      </w:pPr>
      <w:r>
        <w:rPr>
          <w:rFonts w:hint="eastAsia"/>
          <w:color w:val="auto"/>
          <w:szCs w:val="21"/>
        </w:rPr>
        <w:t>投标人提供并开具与原有交通信号灯设备互联互通、无缝对接承诺函证明。</w:t>
      </w:r>
    </w:p>
    <w:p>
      <w:pPr>
        <w:spacing w:line="440" w:lineRule="exact"/>
        <w:rPr>
          <w:color w:val="auto"/>
          <w:szCs w:val="21"/>
        </w:rPr>
      </w:pPr>
      <w:r>
        <w:rPr>
          <w:rFonts w:hint="eastAsia"/>
          <w:color w:val="auto"/>
          <w:szCs w:val="21"/>
        </w:rPr>
        <w:t>承诺在领取中标通知书后七日内实现所有承诺，若不能完成取消其中标资格。</w:t>
      </w:r>
    </w:p>
    <w:p>
      <w:pPr>
        <w:spacing w:line="440" w:lineRule="exact"/>
        <w:rPr>
          <w:color w:val="auto"/>
          <w:szCs w:val="21"/>
        </w:rPr>
      </w:pPr>
    </w:p>
    <w:p>
      <w:pPr>
        <w:spacing w:line="440" w:lineRule="exact"/>
        <w:rPr>
          <w:color w:val="auto"/>
          <w:szCs w:val="21"/>
        </w:rPr>
      </w:pPr>
      <w:r>
        <w:rPr>
          <w:rFonts w:hint="eastAsia"/>
          <w:color w:val="auto"/>
          <w:szCs w:val="21"/>
        </w:rPr>
        <w:t xml:space="preserve">                                                                投标单位盖章：</w:t>
      </w:r>
    </w:p>
    <w:p>
      <w:pPr>
        <w:spacing w:line="440" w:lineRule="exact"/>
        <w:jc w:val="right"/>
        <w:rPr>
          <w:color w:val="auto"/>
          <w:szCs w:val="21"/>
        </w:rPr>
      </w:pPr>
      <w:r>
        <w:rPr>
          <w:rFonts w:hint="eastAsia"/>
          <w:color w:val="auto"/>
          <w:szCs w:val="21"/>
        </w:rPr>
        <w:t>法定代表人或授权委托人签字：</w:t>
      </w:r>
    </w:p>
    <w:p>
      <w:pPr>
        <w:spacing w:line="440" w:lineRule="exact"/>
        <w:jc w:val="center"/>
        <w:rPr>
          <w:color w:val="auto"/>
          <w:szCs w:val="21"/>
        </w:rPr>
      </w:pPr>
      <w:r>
        <w:rPr>
          <w:rFonts w:hint="eastAsia"/>
          <w:color w:val="auto"/>
          <w:szCs w:val="21"/>
        </w:rPr>
        <w:t xml:space="preserve">                                           日期：</w:t>
      </w:r>
    </w:p>
    <w:p>
      <w:pPr>
        <w:pStyle w:val="3"/>
        <w:spacing w:line="440" w:lineRule="exact"/>
        <w:rPr>
          <w:rFonts w:ascii="宋体" w:eastAsia="宋体"/>
          <w:color w:val="auto"/>
          <w:sz w:val="28"/>
          <w:szCs w:val="28"/>
        </w:rPr>
      </w:pPr>
    </w:p>
    <w:p>
      <w:pPr>
        <w:pStyle w:val="3"/>
        <w:spacing w:line="360" w:lineRule="exact"/>
        <w:rPr>
          <w:rFonts w:ascii="宋体" w:eastAsia="宋体"/>
          <w:color w:val="auto"/>
        </w:rPr>
      </w:pPr>
    </w:p>
    <w:p>
      <w:pPr>
        <w:pStyle w:val="3"/>
        <w:spacing w:line="440" w:lineRule="exact"/>
        <w:rPr>
          <w:rFonts w:ascii="宋体"/>
          <w:color w:val="auto"/>
          <w:spacing w:val="-20"/>
          <w:szCs w:val="21"/>
        </w:rPr>
      </w:pPr>
      <w:r>
        <w:rPr>
          <w:rFonts w:hint="eastAsia" w:ascii="宋体" w:eastAsia="宋体"/>
          <w:color w:val="auto"/>
        </w:rPr>
        <w:t>13、</w:t>
      </w:r>
      <w:r>
        <w:rPr>
          <w:rFonts w:hint="eastAsia" w:ascii="宋体" w:eastAsia="宋体"/>
          <w:color w:val="auto"/>
          <w:sz w:val="28"/>
          <w:szCs w:val="28"/>
        </w:rPr>
        <w:t>投标人认为需要提供的其它材料</w:t>
      </w:r>
    </w:p>
    <w:p>
      <w:pPr>
        <w:pStyle w:val="3"/>
        <w:spacing w:line="360" w:lineRule="exact"/>
        <w:rPr>
          <w:rFonts w:ascii="宋体" w:eastAsia="宋体"/>
          <w:color w:val="auto"/>
        </w:rPr>
      </w:pPr>
    </w:p>
    <w:p>
      <w:pPr>
        <w:rPr>
          <w:rFonts w:ascii="宋体" w:hAnsi="宋体"/>
          <w:color w:val="auto"/>
          <w:sz w:val="28"/>
          <w:szCs w:val="28"/>
        </w:rPr>
      </w:pPr>
    </w:p>
    <w:p>
      <w:pPr>
        <w:spacing w:line="560" w:lineRule="exact"/>
        <w:ind w:firstLine="422" w:firstLineChars="150"/>
        <w:rPr>
          <w:rFonts w:ascii="宋体" w:hAnsi="宋体"/>
          <w:b/>
          <w:color w:val="auto"/>
          <w:sz w:val="28"/>
          <w:szCs w:val="28"/>
        </w:rPr>
      </w:pPr>
    </w:p>
    <w:p>
      <w:pPr>
        <w:spacing w:line="560" w:lineRule="exact"/>
        <w:ind w:firstLine="315" w:firstLineChars="150"/>
        <w:rPr>
          <w:color w:val="auto"/>
        </w:rPr>
      </w:pPr>
    </w:p>
    <w:p>
      <w:pPr>
        <w:spacing w:line="560" w:lineRule="exact"/>
        <w:ind w:firstLine="315" w:firstLineChars="150"/>
        <w:rPr>
          <w:color w:val="auto"/>
        </w:rPr>
      </w:pPr>
    </w:p>
    <w:p>
      <w:pPr>
        <w:spacing w:line="560" w:lineRule="exact"/>
        <w:rPr>
          <w:color w:val="auto"/>
        </w:rPr>
      </w:pPr>
    </w:p>
    <w:sectPr>
      <w:footerReference r:id="rId3" w:type="default"/>
      <w:pgSz w:w="11907" w:h="16840"/>
      <w:pgMar w:top="1021" w:right="1418" w:bottom="964" w:left="1418" w:header="567" w:footer="669" w:gutter="0"/>
      <w:pgNumType w:fmt="numberInDash"/>
      <w:cols w:space="720" w:num="1"/>
      <w:titlePg/>
      <w:docGrid w:type="lines" w:linePitch="380" w:charSpace="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s>
  <wne:acds>
    <wne:acd wne:argValue="AQAAAAE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方正小标宋简体">
    <w:altName w:val="微软雅黑"/>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方正北魏楷书简体">
    <w:altName w:val="黑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黑体简体">
    <w:altName w:val="黑体"/>
    <w:panose1 w:val="00000000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方正兰亭超细黑简体">
    <w:panose1 w:val="02000000000000000000"/>
    <w:charset w:val="86"/>
    <w:family w:val="auto"/>
    <w:pitch w:val="default"/>
    <w:sig w:usb0="00000001" w:usb1="08000000" w:usb2="00000000" w:usb3="00000000" w:csb0="00040000" w:csb1="00000000"/>
  </w:font>
  <w:font w:name="_5b8b_4f53">
    <w:altName w:val="Times New Roman"/>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roman"/>
    <w:pitch w:val="default"/>
    <w:sig w:usb0="A00002EF" w:usb1="4000207B" w:usb2="00000000" w:usb3="00000000" w:csb0="2000019F"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ÎSå">
    <w:altName w:val="微软雅黑"/>
    <w:panose1 w:val="00000000000000000000"/>
    <w:charset w:val="00"/>
    <w:family w:val="auto"/>
    <w:pitch w:val="default"/>
    <w:sig w:usb0="00000000" w:usb1="00000000" w:usb2="00000000"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- 2 -</w:t>
    </w:r>
    <w:r>
      <w:rPr>
        <w:rFonts w:ascii="Times New Roman" w:hAnsi="Times New Roman" w:eastAsia="仿宋_GB2312"/>
        <w:sz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914C4"/>
    <w:multiLevelType w:val="singleLevel"/>
    <w:tmpl w:val="598914C4"/>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08FA"/>
    <w:rsid w:val="0007276A"/>
    <w:rsid w:val="0009450A"/>
    <w:rsid w:val="001346DB"/>
    <w:rsid w:val="00157A54"/>
    <w:rsid w:val="00172A27"/>
    <w:rsid w:val="00175B16"/>
    <w:rsid w:val="00184933"/>
    <w:rsid w:val="001E6892"/>
    <w:rsid w:val="001F4AF7"/>
    <w:rsid w:val="00202BCF"/>
    <w:rsid w:val="00234E38"/>
    <w:rsid w:val="00250AE7"/>
    <w:rsid w:val="002A5181"/>
    <w:rsid w:val="0030008A"/>
    <w:rsid w:val="0032036F"/>
    <w:rsid w:val="00363915"/>
    <w:rsid w:val="00383100"/>
    <w:rsid w:val="003D25A5"/>
    <w:rsid w:val="003D3DD9"/>
    <w:rsid w:val="00413621"/>
    <w:rsid w:val="00434CB8"/>
    <w:rsid w:val="00523941"/>
    <w:rsid w:val="005B7EE3"/>
    <w:rsid w:val="005C5046"/>
    <w:rsid w:val="00612A22"/>
    <w:rsid w:val="006C22A6"/>
    <w:rsid w:val="006D7A41"/>
    <w:rsid w:val="00764FBA"/>
    <w:rsid w:val="007C03FA"/>
    <w:rsid w:val="007D5E26"/>
    <w:rsid w:val="007E1286"/>
    <w:rsid w:val="00832920"/>
    <w:rsid w:val="00833B6C"/>
    <w:rsid w:val="008873A2"/>
    <w:rsid w:val="008A0F6F"/>
    <w:rsid w:val="008B7BEC"/>
    <w:rsid w:val="008D327B"/>
    <w:rsid w:val="00902D65"/>
    <w:rsid w:val="00923642"/>
    <w:rsid w:val="009249D6"/>
    <w:rsid w:val="00955B82"/>
    <w:rsid w:val="00976F8E"/>
    <w:rsid w:val="009A6C74"/>
    <w:rsid w:val="009A6F8F"/>
    <w:rsid w:val="009B00AF"/>
    <w:rsid w:val="009E70DA"/>
    <w:rsid w:val="00A4773B"/>
    <w:rsid w:val="00A6736D"/>
    <w:rsid w:val="00A82F2A"/>
    <w:rsid w:val="00A86965"/>
    <w:rsid w:val="00AA1EC3"/>
    <w:rsid w:val="00AE70BC"/>
    <w:rsid w:val="00B13FB1"/>
    <w:rsid w:val="00B23836"/>
    <w:rsid w:val="00B36EDA"/>
    <w:rsid w:val="00BA1073"/>
    <w:rsid w:val="00BA40BC"/>
    <w:rsid w:val="00BF7710"/>
    <w:rsid w:val="00C3118B"/>
    <w:rsid w:val="00C65B23"/>
    <w:rsid w:val="00C9374C"/>
    <w:rsid w:val="00CA34E0"/>
    <w:rsid w:val="00CA5189"/>
    <w:rsid w:val="00CC6696"/>
    <w:rsid w:val="00D06445"/>
    <w:rsid w:val="00D2410F"/>
    <w:rsid w:val="00D25B73"/>
    <w:rsid w:val="00D7539C"/>
    <w:rsid w:val="00DB6229"/>
    <w:rsid w:val="00E01DFC"/>
    <w:rsid w:val="00E154A6"/>
    <w:rsid w:val="00E9402E"/>
    <w:rsid w:val="00ED288C"/>
    <w:rsid w:val="00EF336A"/>
    <w:rsid w:val="00F522E8"/>
    <w:rsid w:val="00F7319D"/>
    <w:rsid w:val="00F87B4B"/>
    <w:rsid w:val="00FE5F31"/>
    <w:rsid w:val="012D3022"/>
    <w:rsid w:val="016637C0"/>
    <w:rsid w:val="01D21CD9"/>
    <w:rsid w:val="02262316"/>
    <w:rsid w:val="02754CF4"/>
    <w:rsid w:val="03A27284"/>
    <w:rsid w:val="03A94F46"/>
    <w:rsid w:val="04684820"/>
    <w:rsid w:val="0491110B"/>
    <w:rsid w:val="04F2372E"/>
    <w:rsid w:val="062318A1"/>
    <w:rsid w:val="06354825"/>
    <w:rsid w:val="07CA2ED7"/>
    <w:rsid w:val="07D51CFF"/>
    <w:rsid w:val="085C198B"/>
    <w:rsid w:val="09A11A77"/>
    <w:rsid w:val="09D57586"/>
    <w:rsid w:val="09EC30B3"/>
    <w:rsid w:val="0A101EB6"/>
    <w:rsid w:val="0A554DC5"/>
    <w:rsid w:val="0AAB559A"/>
    <w:rsid w:val="0AEA2EEE"/>
    <w:rsid w:val="0B1D0E84"/>
    <w:rsid w:val="0B1E618F"/>
    <w:rsid w:val="0B4831A8"/>
    <w:rsid w:val="0B623412"/>
    <w:rsid w:val="0D90652A"/>
    <w:rsid w:val="0E064F10"/>
    <w:rsid w:val="0F2F1463"/>
    <w:rsid w:val="0F411414"/>
    <w:rsid w:val="103C0FA5"/>
    <w:rsid w:val="109D3CDB"/>
    <w:rsid w:val="110972DE"/>
    <w:rsid w:val="11192EF9"/>
    <w:rsid w:val="11A92206"/>
    <w:rsid w:val="123231B0"/>
    <w:rsid w:val="12341D49"/>
    <w:rsid w:val="12F7648E"/>
    <w:rsid w:val="139615FE"/>
    <w:rsid w:val="144072C9"/>
    <w:rsid w:val="160968B4"/>
    <w:rsid w:val="17647DDF"/>
    <w:rsid w:val="17A726CD"/>
    <w:rsid w:val="18F5250B"/>
    <w:rsid w:val="19D43C3A"/>
    <w:rsid w:val="19DD6513"/>
    <w:rsid w:val="1D607735"/>
    <w:rsid w:val="1DF63B37"/>
    <w:rsid w:val="1F271CAA"/>
    <w:rsid w:val="20EB18B6"/>
    <w:rsid w:val="22360EDC"/>
    <w:rsid w:val="22F7311E"/>
    <w:rsid w:val="23AC6D7A"/>
    <w:rsid w:val="24335B6F"/>
    <w:rsid w:val="270E0271"/>
    <w:rsid w:val="274C65CC"/>
    <w:rsid w:val="28114516"/>
    <w:rsid w:val="29F27D25"/>
    <w:rsid w:val="2A0C4A0C"/>
    <w:rsid w:val="2B9D609C"/>
    <w:rsid w:val="2CAC6259"/>
    <w:rsid w:val="2D5126C5"/>
    <w:rsid w:val="2DD227B8"/>
    <w:rsid w:val="2DE7275E"/>
    <w:rsid w:val="2E7510C8"/>
    <w:rsid w:val="2E982E59"/>
    <w:rsid w:val="2F6969EF"/>
    <w:rsid w:val="2FBA00DA"/>
    <w:rsid w:val="2FD056FE"/>
    <w:rsid w:val="302A5F6B"/>
    <w:rsid w:val="30D95D59"/>
    <w:rsid w:val="3174229B"/>
    <w:rsid w:val="31C01BD8"/>
    <w:rsid w:val="32460A89"/>
    <w:rsid w:val="329F2FE6"/>
    <w:rsid w:val="32FA31C9"/>
    <w:rsid w:val="336B4FE8"/>
    <w:rsid w:val="33CA351C"/>
    <w:rsid w:val="341C4469"/>
    <w:rsid w:val="34FC057C"/>
    <w:rsid w:val="357E6FD1"/>
    <w:rsid w:val="35F62EDB"/>
    <w:rsid w:val="36B50916"/>
    <w:rsid w:val="378613AC"/>
    <w:rsid w:val="38E278D6"/>
    <w:rsid w:val="38F81807"/>
    <w:rsid w:val="39527217"/>
    <w:rsid w:val="39F252A2"/>
    <w:rsid w:val="3A1B67E7"/>
    <w:rsid w:val="3A5728BB"/>
    <w:rsid w:val="3A7612D5"/>
    <w:rsid w:val="3AAF565E"/>
    <w:rsid w:val="3ABD2EB5"/>
    <w:rsid w:val="3B59226A"/>
    <w:rsid w:val="3B8E4CC3"/>
    <w:rsid w:val="3C111A19"/>
    <w:rsid w:val="3C2E52EF"/>
    <w:rsid w:val="3C5D4096"/>
    <w:rsid w:val="3E162F64"/>
    <w:rsid w:val="3EA92D18"/>
    <w:rsid w:val="3EF14A8A"/>
    <w:rsid w:val="421621A4"/>
    <w:rsid w:val="42592426"/>
    <w:rsid w:val="43B3461E"/>
    <w:rsid w:val="44DC630A"/>
    <w:rsid w:val="45095864"/>
    <w:rsid w:val="46895BAD"/>
    <w:rsid w:val="4A7F40B6"/>
    <w:rsid w:val="4AF20F6F"/>
    <w:rsid w:val="4BFC3126"/>
    <w:rsid w:val="4C7A7005"/>
    <w:rsid w:val="4D9C51B1"/>
    <w:rsid w:val="4E0A4298"/>
    <w:rsid w:val="4FFD7F4B"/>
    <w:rsid w:val="502F3E68"/>
    <w:rsid w:val="52BF41BF"/>
    <w:rsid w:val="544B02E2"/>
    <w:rsid w:val="54F83D6E"/>
    <w:rsid w:val="553F171A"/>
    <w:rsid w:val="557028F9"/>
    <w:rsid w:val="55DE75B5"/>
    <w:rsid w:val="5604752C"/>
    <w:rsid w:val="567D62B5"/>
    <w:rsid w:val="56B66FF3"/>
    <w:rsid w:val="5782362C"/>
    <w:rsid w:val="579447BF"/>
    <w:rsid w:val="57FF4CF2"/>
    <w:rsid w:val="582102A7"/>
    <w:rsid w:val="582E2F18"/>
    <w:rsid w:val="59A96428"/>
    <w:rsid w:val="59BA7877"/>
    <w:rsid w:val="59DE0E81"/>
    <w:rsid w:val="5B000F34"/>
    <w:rsid w:val="5B9A269D"/>
    <w:rsid w:val="5BB136BE"/>
    <w:rsid w:val="5D011340"/>
    <w:rsid w:val="5DA55801"/>
    <w:rsid w:val="5E1512BE"/>
    <w:rsid w:val="5EFE127C"/>
    <w:rsid w:val="5F0B78E0"/>
    <w:rsid w:val="5F39190B"/>
    <w:rsid w:val="5F995DE3"/>
    <w:rsid w:val="5F9D46E8"/>
    <w:rsid w:val="60510E15"/>
    <w:rsid w:val="60D777F7"/>
    <w:rsid w:val="60FE69AF"/>
    <w:rsid w:val="61054CC4"/>
    <w:rsid w:val="612E1706"/>
    <w:rsid w:val="628334B7"/>
    <w:rsid w:val="62934650"/>
    <w:rsid w:val="630A6B01"/>
    <w:rsid w:val="63512297"/>
    <w:rsid w:val="63DF0A7F"/>
    <w:rsid w:val="651127FD"/>
    <w:rsid w:val="65810A72"/>
    <w:rsid w:val="65FF44E4"/>
    <w:rsid w:val="66CF38B7"/>
    <w:rsid w:val="676550B0"/>
    <w:rsid w:val="67C3149C"/>
    <w:rsid w:val="68C32B43"/>
    <w:rsid w:val="690C1F68"/>
    <w:rsid w:val="6B5439D1"/>
    <w:rsid w:val="6B62463B"/>
    <w:rsid w:val="6B6A4173"/>
    <w:rsid w:val="6B803B58"/>
    <w:rsid w:val="6CEC0968"/>
    <w:rsid w:val="6E113A8B"/>
    <w:rsid w:val="6E1E298F"/>
    <w:rsid w:val="6F2757D1"/>
    <w:rsid w:val="71F940AD"/>
    <w:rsid w:val="72140235"/>
    <w:rsid w:val="74921553"/>
    <w:rsid w:val="755C3362"/>
    <w:rsid w:val="75644CB1"/>
    <w:rsid w:val="76F44F37"/>
    <w:rsid w:val="775B6494"/>
    <w:rsid w:val="775F6B0F"/>
    <w:rsid w:val="77EC0DDF"/>
    <w:rsid w:val="77F24424"/>
    <w:rsid w:val="783A3050"/>
    <w:rsid w:val="7A3857C3"/>
    <w:rsid w:val="7AD355F2"/>
    <w:rsid w:val="7AF5296F"/>
    <w:rsid w:val="7B974162"/>
    <w:rsid w:val="7C8E7766"/>
    <w:rsid w:val="7D19688F"/>
    <w:rsid w:val="7D3127F3"/>
    <w:rsid w:val="7D9A1A31"/>
    <w:rsid w:val="7E566D52"/>
    <w:rsid w:val="7EC27845"/>
    <w:rsid w:val="7EE221B9"/>
    <w:rsid w:val="7EE65766"/>
    <w:rsid w:val="7FC02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spacing w:line="560" w:lineRule="exact"/>
      <w:jc w:val="center"/>
      <w:outlineLvl w:val="1"/>
    </w:pPr>
    <w:rPr>
      <w:rFonts w:ascii="方正小标宋简体" w:hAnsi="宋体" w:eastAsia="方正小标宋简体"/>
      <w:b/>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2" w:lineRule="auto"/>
      <w:outlineLvl w:val="3"/>
    </w:pPr>
    <w:rPr>
      <w:rFonts w:ascii="Cambria" w:hAnsi="Cambria"/>
      <w:b/>
      <w:bCs/>
      <w:sz w:val="28"/>
      <w:szCs w:val="28"/>
    </w:rPr>
  </w:style>
  <w:style w:type="paragraph" w:styleId="6">
    <w:name w:val="heading 5"/>
    <w:basedOn w:val="1"/>
    <w:next w:val="1"/>
    <w:qFormat/>
    <w:uiPriority w:val="0"/>
    <w:pPr>
      <w:keepNext/>
      <w:keepLines/>
      <w:spacing w:before="280" w:after="290" w:line="372" w:lineRule="auto"/>
      <w:outlineLvl w:val="4"/>
    </w:pPr>
    <w:rPr>
      <w:b/>
      <w:bCs/>
      <w:sz w:val="28"/>
      <w:szCs w:val="28"/>
    </w:rPr>
  </w:style>
  <w:style w:type="character" w:default="1" w:styleId="19">
    <w:name w:val="Default Paragraph Font"/>
    <w:unhideWhenUsed/>
    <w:qFormat/>
    <w:uiPriority w:val="1"/>
  </w:style>
  <w:style w:type="table" w:default="1" w:styleId="23">
    <w:name w:val="Normal Table"/>
    <w:unhideWhenUsed/>
    <w:qFormat/>
    <w:uiPriority w:val="99"/>
    <w:tblPr>
      <w:tblLayout w:type="fixed"/>
      <w:tblCellMar>
        <w:top w:w="0" w:type="dxa"/>
        <w:left w:w="108" w:type="dxa"/>
        <w:bottom w:w="0" w:type="dxa"/>
        <w:right w:w="108" w:type="dxa"/>
      </w:tblCellMar>
    </w:tblPr>
  </w:style>
  <w:style w:type="paragraph" w:styleId="7">
    <w:name w:val="Body Text"/>
    <w:basedOn w:val="1"/>
    <w:qFormat/>
    <w:uiPriority w:val="0"/>
    <w:pPr>
      <w:adjustRightInd w:val="0"/>
      <w:spacing w:after="60" w:line="360" w:lineRule="atLeast"/>
      <w:ind w:left="72" w:leftChars="30" w:right="30" w:rightChars="30"/>
      <w:jc w:val="center"/>
      <w:textAlignment w:val="baseline"/>
    </w:pPr>
    <w:rPr>
      <w:rFonts w:ascii="Times New Roman" w:hAnsi="Times New Roman"/>
    </w:rPr>
  </w:style>
  <w:style w:type="paragraph" w:styleId="8">
    <w:name w:val="Body Text Indent"/>
    <w:basedOn w:val="1"/>
    <w:link w:val="25"/>
    <w:qFormat/>
    <w:uiPriority w:val="0"/>
    <w:pPr>
      <w:spacing w:after="120"/>
      <w:ind w:left="420" w:leftChars="200"/>
    </w:pPr>
    <w:rPr>
      <w:rFonts w:ascii="方正小标宋简体" w:hAnsi="宋体" w:eastAsia="方正小标宋简体"/>
      <w:b/>
      <w:sz w:val="32"/>
      <w:szCs w:val="32"/>
    </w:rPr>
  </w:style>
  <w:style w:type="paragraph" w:styleId="9">
    <w:name w:val="toc 5"/>
    <w:basedOn w:val="1"/>
    <w:next w:val="1"/>
    <w:qFormat/>
    <w:uiPriority w:val="0"/>
    <w:pPr>
      <w:tabs>
        <w:tab w:val="right" w:leader="dot" w:pos="8296"/>
      </w:tabs>
      <w:ind w:left="1050" w:leftChars="500"/>
    </w:pPr>
  </w:style>
  <w:style w:type="paragraph" w:styleId="10">
    <w:name w:val="toc 3"/>
    <w:basedOn w:val="1"/>
    <w:next w:val="1"/>
    <w:qFormat/>
    <w:uiPriority w:val="0"/>
    <w:pPr>
      <w:ind w:left="840" w:leftChars="400"/>
    </w:pPr>
  </w:style>
  <w:style w:type="paragraph" w:styleId="11">
    <w:name w:val="Plain Text"/>
    <w:basedOn w:val="1"/>
    <w:qFormat/>
    <w:uiPriority w:val="0"/>
    <w:rPr>
      <w:rFonts w:ascii="宋体" w:hAnsi="Courier New" w:cs="Courier New"/>
      <w:szCs w:val="21"/>
    </w:rPr>
  </w:style>
  <w:style w:type="paragraph" w:styleId="12">
    <w:name w:val="Date"/>
    <w:basedOn w:val="1"/>
    <w:next w:val="1"/>
    <w:qFormat/>
    <w:uiPriority w:val="0"/>
    <w:pPr>
      <w:ind w:left="100" w:leftChars="2500"/>
    </w:pPr>
  </w:style>
  <w:style w:type="paragraph" w:styleId="13">
    <w:name w:val="Body Text Indent 2"/>
    <w:basedOn w:val="1"/>
    <w:qFormat/>
    <w:uiPriority w:val="0"/>
    <w:pPr>
      <w:spacing w:after="120" w:line="480" w:lineRule="auto"/>
      <w:ind w:left="420" w:leftChars="200"/>
    </w:pPr>
    <w:rPr>
      <w:rFonts w:ascii="Times New Roman" w:hAnsi="Times New Roman"/>
      <w:sz w:val="24"/>
    </w:rPr>
  </w:style>
  <w:style w:type="paragraph" w:styleId="14">
    <w:name w:val="footer"/>
    <w:basedOn w:val="1"/>
    <w:link w:val="26"/>
    <w:qFormat/>
    <w:uiPriority w:val="0"/>
    <w:pPr>
      <w:tabs>
        <w:tab w:val="center" w:pos="4153"/>
        <w:tab w:val="right" w:pos="8306"/>
      </w:tabs>
      <w:snapToGrid w:val="0"/>
      <w:jc w:val="left"/>
    </w:pPr>
    <w:rPr>
      <w:sz w:val="18"/>
    </w:rPr>
  </w:style>
  <w:style w:type="paragraph" w:styleId="15">
    <w:name w:val="header"/>
    <w:basedOn w:val="1"/>
    <w:link w:val="3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4"/>
    <w:basedOn w:val="1"/>
    <w:next w:val="1"/>
    <w:qFormat/>
    <w:uiPriority w:val="0"/>
    <w:pPr>
      <w:tabs>
        <w:tab w:val="left" w:pos="1890"/>
        <w:tab w:val="right" w:leader="dot" w:pos="8296"/>
      </w:tabs>
      <w:ind w:left="630" w:leftChars="300"/>
    </w:pPr>
  </w:style>
  <w:style w:type="paragraph" w:styleId="17">
    <w:name w:val="Body Text 2"/>
    <w:basedOn w:val="1"/>
    <w:qFormat/>
    <w:uiPriority w:val="0"/>
    <w:pPr>
      <w:spacing w:after="120" w:line="480" w:lineRule="auto"/>
    </w:pPr>
    <w:rPr>
      <w:rFonts w:ascii="Times New Roman" w:hAnsi="Times New Roman"/>
    </w:rPr>
  </w:style>
  <w:style w:type="paragraph" w:styleId="1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20">
    <w:name w:val="page number"/>
    <w:basedOn w:val="19"/>
    <w:qFormat/>
    <w:uiPriority w:val="0"/>
  </w:style>
  <w:style w:type="character" w:styleId="21">
    <w:name w:val="Hyperlink"/>
    <w:basedOn w:val="19"/>
    <w:qFormat/>
    <w:uiPriority w:val="0"/>
    <w:rPr>
      <w:color w:val="0000FF"/>
      <w:u w:val="single"/>
    </w:rPr>
  </w:style>
  <w:style w:type="character" w:styleId="22">
    <w:name w:val="annotation reference"/>
    <w:qFormat/>
    <w:uiPriority w:val="0"/>
    <w:rPr>
      <w:rFonts w:cs="Times New Roman"/>
      <w:sz w:val="21"/>
      <w:szCs w:val="21"/>
    </w:rPr>
  </w:style>
  <w:style w:type="table" w:styleId="24">
    <w:name w:val="Table Grid"/>
    <w:basedOn w:val="2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5">
    <w:name w:val="正文文本缩进 Char"/>
    <w:link w:val="8"/>
    <w:qFormat/>
    <w:uiPriority w:val="0"/>
    <w:rPr>
      <w:rFonts w:ascii="方正小标宋简体" w:hAnsi="宋体" w:eastAsia="方正小标宋简体"/>
      <w:b/>
      <w:kern w:val="2"/>
      <w:sz w:val="32"/>
      <w:szCs w:val="32"/>
      <w:lang w:val="en-US" w:eastAsia="zh-CN" w:bidi="ar-SA"/>
    </w:rPr>
  </w:style>
  <w:style w:type="character" w:customStyle="1" w:styleId="26">
    <w:name w:val="页脚 Char"/>
    <w:basedOn w:val="19"/>
    <w:link w:val="14"/>
    <w:qFormat/>
    <w:uiPriority w:val="0"/>
    <w:rPr>
      <w:rFonts w:ascii="Book Antiqua" w:hAnsi="Book Antiqua"/>
      <w:kern w:val="2"/>
      <w:sz w:val="18"/>
      <w:szCs w:val="24"/>
    </w:rPr>
  </w:style>
  <w:style w:type="character" w:customStyle="1" w:styleId="27">
    <w:name w:val="font41"/>
    <w:basedOn w:val="19"/>
    <w:qFormat/>
    <w:uiPriority w:val="0"/>
    <w:rPr>
      <w:rFonts w:hint="eastAsia" w:ascii="宋体" w:hAnsi="宋体" w:eastAsia="宋体" w:cs="宋体"/>
      <w:color w:val="000000"/>
      <w:sz w:val="24"/>
      <w:szCs w:val="24"/>
      <w:u w:val="none"/>
      <w:vertAlign w:val="superscript"/>
    </w:rPr>
  </w:style>
  <w:style w:type="character" w:customStyle="1" w:styleId="28">
    <w:name w:val="标题 2 Char"/>
    <w:link w:val="3"/>
    <w:qFormat/>
    <w:uiPriority w:val="0"/>
    <w:rPr>
      <w:rFonts w:ascii="方正小标宋简体" w:hAnsi="宋体" w:eastAsia="方正小标宋简体"/>
      <w:b/>
      <w:kern w:val="2"/>
      <w:sz w:val="32"/>
      <w:szCs w:val="32"/>
      <w:lang w:val="en-US" w:eastAsia="zh-CN" w:bidi="ar-SA"/>
    </w:rPr>
  </w:style>
  <w:style w:type="character" w:customStyle="1" w:styleId="29">
    <w:name w:val="font21"/>
    <w:basedOn w:val="19"/>
    <w:qFormat/>
    <w:uiPriority w:val="0"/>
    <w:rPr>
      <w:rFonts w:hint="eastAsia" w:ascii="宋体" w:hAnsi="宋体" w:eastAsia="宋体" w:cs="宋体"/>
      <w:color w:val="000000"/>
      <w:sz w:val="22"/>
      <w:szCs w:val="22"/>
      <w:u w:val="none"/>
    </w:rPr>
  </w:style>
  <w:style w:type="character" w:customStyle="1" w:styleId="30">
    <w:name w:val="font161"/>
    <w:qFormat/>
    <w:uiPriority w:val="0"/>
    <w:rPr>
      <w:b/>
      <w:bCs/>
      <w:sz w:val="32"/>
      <w:szCs w:val="32"/>
    </w:rPr>
  </w:style>
  <w:style w:type="character" w:customStyle="1" w:styleId="31">
    <w:name w:val="页眉 Char"/>
    <w:basedOn w:val="19"/>
    <w:link w:val="15"/>
    <w:qFormat/>
    <w:uiPriority w:val="0"/>
    <w:rPr>
      <w:kern w:val="2"/>
      <w:sz w:val="18"/>
      <w:szCs w:val="24"/>
    </w:rPr>
  </w:style>
  <w:style w:type="character" w:customStyle="1" w:styleId="32">
    <w:name w:val="Char Char6"/>
    <w:qFormat/>
    <w:uiPriority w:val="0"/>
    <w:rPr>
      <w:rFonts w:ascii="方正小标宋简体" w:hAnsi="宋体" w:eastAsia="方正小标宋简体"/>
      <w:b/>
      <w:kern w:val="2"/>
      <w:sz w:val="32"/>
      <w:szCs w:val="32"/>
      <w:lang w:val="en-US" w:eastAsia="zh-CN" w:bidi="ar-SA"/>
    </w:rPr>
  </w:style>
  <w:style w:type="paragraph" w:customStyle="1" w:styleId="33">
    <w:name w:val="p0"/>
    <w:basedOn w:val="1"/>
    <w:qFormat/>
    <w:uiPriority w:val="0"/>
    <w:pPr>
      <w:widowControl/>
    </w:pPr>
    <w:rPr>
      <w:rFonts w:ascii="Times New Roman" w:hAnsi="Times New Roman"/>
      <w:kern w:val="0"/>
      <w:szCs w:val="21"/>
    </w:rPr>
  </w:style>
  <w:style w:type="paragraph" w:customStyle="1" w:styleId="34">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35">
    <w:name w:val="TOC Heading"/>
    <w:basedOn w:val="2"/>
    <w:next w:val="1"/>
    <w:qFormat/>
    <w:uiPriority w:val="0"/>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2974</Words>
  <Characters>16952</Characters>
  <Lines>141</Lines>
  <Paragraphs>39</Paragraphs>
  <ScaleCrop>false</ScaleCrop>
  <LinksUpToDate>false</LinksUpToDate>
  <CharactersWithSpaces>19887</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2017-08-14T10:43:00Z</dcterms:created>
  <dc:creator>Administrator</dc:creator>
  <cp:lastModifiedBy>lianxiang</cp:lastModifiedBy>
  <cp:lastPrinted>2017-09-01T08:15:00Z</cp:lastPrinted>
  <dcterms:modified xsi:type="dcterms:W3CDTF">2017-09-01T09:11:03Z</dcterms:modified>
  <dc:title>温县采购项目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