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40" w:lineRule="exact"/>
        <w:rPr>
          <w:rFonts w:ascii="仿宋" w:hAnsi="仿宋" w:eastAsia="仿宋"/>
          <w:b/>
          <w:bCs/>
          <w:color w:val="auto"/>
          <w:sz w:val="72"/>
          <w:szCs w:val="72"/>
        </w:rPr>
      </w:pPr>
      <w:bookmarkStart w:id="0" w:name="OLE_LINK2"/>
    </w:p>
    <w:p>
      <w:pPr>
        <w:spacing w:line="360" w:lineRule="auto"/>
        <w:jc w:val="center"/>
        <w:rPr>
          <w:b/>
          <w:bCs/>
          <w:color w:val="auto"/>
          <w:sz w:val="52"/>
          <w:szCs w:val="52"/>
        </w:rPr>
      </w:pPr>
      <w:r>
        <w:rPr>
          <w:rFonts w:hint="eastAsia" w:ascii="仿宋" w:hAnsi="仿宋" w:eastAsia="仿宋"/>
          <w:b/>
          <w:bCs/>
          <w:color w:val="auto"/>
          <w:sz w:val="52"/>
          <w:szCs w:val="52"/>
        </w:rPr>
        <w:t>温县公安交通警察大队更新、新增交通信号灯、电子警察、建设智能信号灯指挥平台等交通设施项目(一标段)</w:t>
      </w:r>
    </w:p>
    <w:p>
      <w:pPr>
        <w:spacing w:line="540" w:lineRule="exact"/>
        <w:jc w:val="center"/>
        <w:rPr>
          <w:b/>
          <w:color w:val="auto"/>
          <w:sz w:val="44"/>
          <w:szCs w:val="44"/>
        </w:rPr>
      </w:pPr>
    </w:p>
    <w:p>
      <w:pPr>
        <w:spacing w:line="540" w:lineRule="exact"/>
        <w:jc w:val="center"/>
        <w:rPr>
          <w:b/>
          <w:color w:val="auto"/>
          <w:sz w:val="44"/>
          <w:szCs w:val="44"/>
        </w:rPr>
      </w:pPr>
    </w:p>
    <w:p>
      <w:pPr>
        <w:spacing w:line="540" w:lineRule="exact"/>
        <w:rPr>
          <w:color w:val="auto"/>
        </w:rPr>
      </w:pPr>
      <w:r>
        <w:rPr>
          <w:color w:val="auto"/>
        </w:rPr>
        <w:t xml:space="preserve">                          </w:t>
      </w:r>
    </w:p>
    <w:p>
      <w:pPr>
        <w:spacing w:line="540" w:lineRule="exact"/>
        <w:rPr>
          <w:color w:val="auto"/>
        </w:rPr>
      </w:pPr>
      <w:r>
        <w:rPr>
          <w:color w:val="auto"/>
        </w:rPr>
        <w:t xml:space="preserve">   </w:t>
      </w:r>
    </w:p>
    <w:p>
      <w:pPr>
        <w:spacing w:line="540" w:lineRule="exact"/>
        <w:rPr>
          <w:color w:val="auto"/>
        </w:rPr>
      </w:pPr>
    </w:p>
    <w:p>
      <w:pPr>
        <w:spacing w:line="540" w:lineRule="exact"/>
        <w:jc w:val="center"/>
        <w:rPr>
          <w:rFonts w:ascii="黑体" w:hAnsi="黑体" w:eastAsia="黑体"/>
          <w:b/>
          <w:shadow/>
          <w:color w:val="auto"/>
          <w:sz w:val="72"/>
          <w:szCs w:val="72"/>
        </w:rPr>
      </w:pPr>
    </w:p>
    <w:p>
      <w:pPr>
        <w:spacing w:line="720" w:lineRule="auto"/>
        <w:jc w:val="center"/>
        <w:rPr>
          <w:rFonts w:ascii="黑体" w:hAnsi="黑体" w:eastAsia="黑体"/>
          <w:b/>
          <w:shadow/>
          <w:color w:val="auto"/>
          <w:sz w:val="72"/>
          <w:szCs w:val="72"/>
        </w:rPr>
      </w:pPr>
      <w:r>
        <w:rPr>
          <w:rFonts w:hint="eastAsia" w:ascii="黑体" w:hAnsi="黑体" w:eastAsia="黑体"/>
          <w:b/>
          <w:shadow/>
          <w:color w:val="auto"/>
          <w:sz w:val="72"/>
          <w:szCs w:val="72"/>
        </w:rPr>
        <w:t>招标文件</w:t>
      </w:r>
    </w:p>
    <w:p>
      <w:pPr>
        <w:spacing w:line="540" w:lineRule="exact"/>
        <w:jc w:val="center"/>
        <w:rPr>
          <w:rFonts w:ascii="宋体" w:hAnsi="宋体"/>
          <w:b/>
          <w:color w:val="auto"/>
          <w:sz w:val="24"/>
        </w:rPr>
      </w:pPr>
    </w:p>
    <w:p>
      <w:pPr>
        <w:spacing w:line="540" w:lineRule="exact"/>
        <w:jc w:val="center"/>
        <w:rPr>
          <w:rFonts w:ascii="宋体" w:hAnsi="宋体" w:cs="宋体"/>
          <w:b/>
          <w:color w:val="auto"/>
          <w:kern w:val="0"/>
          <w:sz w:val="28"/>
          <w:szCs w:val="28"/>
        </w:rPr>
      </w:pPr>
      <w:r>
        <w:rPr>
          <w:rFonts w:hint="eastAsia" w:ascii="宋体" w:hAnsi="宋体"/>
          <w:b/>
          <w:color w:val="auto"/>
          <w:sz w:val="28"/>
          <w:szCs w:val="28"/>
        </w:rPr>
        <w:t>项目编号：</w:t>
      </w:r>
      <w:r>
        <w:rPr>
          <w:rFonts w:hint="eastAsia" w:ascii="宋体" w:hAnsi="宋体" w:cs="宋体"/>
          <w:b/>
          <w:color w:val="auto"/>
          <w:kern w:val="0"/>
          <w:sz w:val="28"/>
          <w:szCs w:val="28"/>
        </w:rPr>
        <w:t>温交易[2017]35号</w:t>
      </w:r>
    </w:p>
    <w:p>
      <w:pPr>
        <w:spacing w:line="540" w:lineRule="exact"/>
        <w:jc w:val="center"/>
        <w:rPr>
          <w:rFonts w:ascii="宋体" w:hAnsi="宋体" w:cs="宋体"/>
          <w:b/>
          <w:color w:val="auto"/>
          <w:kern w:val="0"/>
          <w:sz w:val="28"/>
          <w:szCs w:val="28"/>
        </w:rPr>
      </w:pPr>
      <w:r>
        <w:rPr>
          <w:rFonts w:hint="eastAsia" w:ascii="宋体" w:hAnsi="宋体" w:cs="宋体"/>
          <w:b/>
          <w:color w:val="auto"/>
          <w:kern w:val="0"/>
          <w:sz w:val="28"/>
          <w:szCs w:val="28"/>
        </w:rPr>
        <w:t>采购编号：温政采[2017]25号</w:t>
      </w:r>
    </w:p>
    <w:p>
      <w:pPr>
        <w:spacing w:line="540" w:lineRule="exact"/>
        <w:jc w:val="center"/>
        <w:rPr>
          <w:rFonts w:ascii="宋体" w:hAnsi="宋体" w:cs="宋体"/>
          <w:b/>
          <w:color w:val="auto"/>
          <w:kern w:val="0"/>
          <w:sz w:val="28"/>
          <w:szCs w:val="28"/>
        </w:rPr>
      </w:pPr>
    </w:p>
    <w:p>
      <w:pPr>
        <w:spacing w:line="540" w:lineRule="exact"/>
        <w:jc w:val="center"/>
        <w:rPr>
          <w:rFonts w:ascii="宋体" w:hAnsi="宋体" w:cs="宋体"/>
          <w:b/>
          <w:color w:val="auto"/>
          <w:kern w:val="0"/>
          <w:sz w:val="28"/>
          <w:szCs w:val="28"/>
        </w:rPr>
      </w:pPr>
    </w:p>
    <w:p>
      <w:pPr>
        <w:spacing w:line="540" w:lineRule="exact"/>
        <w:jc w:val="center"/>
        <w:rPr>
          <w:color w:val="auto"/>
          <w:sz w:val="32"/>
          <w:szCs w:val="32"/>
        </w:rPr>
      </w:pPr>
      <w:r>
        <w:rPr>
          <w:rFonts w:hint="eastAsia" w:ascii="宋体" w:hAnsi="宋体" w:cs="宋体"/>
          <w:b/>
          <w:color w:val="auto"/>
          <w:kern w:val="0"/>
          <w:sz w:val="24"/>
        </w:rPr>
        <w:t xml:space="preserve">                   </w:t>
      </w:r>
    </w:p>
    <w:p>
      <w:pPr>
        <w:spacing w:line="540" w:lineRule="exact"/>
        <w:ind w:firstLine="1626" w:firstLineChars="506"/>
        <w:rPr>
          <w:b/>
          <w:color w:val="auto"/>
          <w:sz w:val="32"/>
          <w:szCs w:val="32"/>
        </w:rPr>
      </w:pPr>
      <w:r>
        <w:rPr>
          <w:rFonts w:hint="eastAsia"/>
          <w:b/>
          <w:color w:val="auto"/>
          <w:sz w:val="32"/>
          <w:szCs w:val="32"/>
        </w:rPr>
        <w:t>采   购   人：温县公安交通警察大队</w:t>
      </w:r>
    </w:p>
    <w:p>
      <w:pPr>
        <w:spacing w:line="540" w:lineRule="exact"/>
        <w:ind w:firstLine="1626" w:firstLineChars="506"/>
        <w:rPr>
          <w:rFonts w:ascii="宋体" w:hAnsi="宋体"/>
          <w:b/>
          <w:color w:val="auto"/>
          <w:sz w:val="32"/>
          <w:szCs w:val="32"/>
        </w:rPr>
      </w:pPr>
      <w:r>
        <w:rPr>
          <w:rFonts w:hint="eastAsia" w:ascii="宋体" w:hAnsi="宋体"/>
          <w:b/>
          <w:color w:val="auto"/>
          <w:sz w:val="32"/>
          <w:szCs w:val="32"/>
        </w:rPr>
        <w:t>采购代理机构：河南方大建设工程管理股份有限公司</w:t>
      </w:r>
    </w:p>
    <w:p>
      <w:pPr>
        <w:spacing w:line="540" w:lineRule="exact"/>
        <w:ind w:firstLine="1606" w:firstLineChars="500"/>
        <w:rPr>
          <w:rFonts w:ascii="宋体" w:hAnsi="宋体"/>
          <w:b/>
          <w:color w:val="auto"/>
          <w:sz w:val="32"/>
          <w:szCs w:val="32"/>
        </w:rPr>
      </w:pPr>
      <w:r>
        <w:rPr>
          <w:rFonts w:hint="eastAsia" w:ascii="宋体" w:hAnsi="宋体"/>
          <w:b/>
          <w:color w:val="auto"/>
          <w:sz w:val="32"/>
          <w:szCs w:val="32"/>
        </w:rPr>
        <w:t>日        期：二〇一七年三月</w:t>
      </w:r>
    </w:p>
    <w:p>
      <w:pPr>
        <w:spacing w:line="440" w:lineRule="exact"/>
        <w:ind w:firstLine="1050" w:firstLineChars="500"/>
        <w:rPr>
          <w:rFonts w:ascii="宋体" w:hAnsi="宋体"/>
          <w:color w:val="auto"/>
          <w:szCs w:val="21"/>
        </w:rPr>
        <w:sectPr>
          <w:headerReference r:id="rId6" w:type="first"/>
          <w:footerReference r:id="rId9" w:type="first"/>
          <w:headerReference r:id="rId4" w:type="default"/>
          <w:footerReference r:id="rId7" w:type="default"/>
          <w:headerReference r:id="rId5" w:type="even"/>
          <w:footerReference r:id="rId8" w:type="even"/>
          <w:pgSz w:w="11907" w:h="16840"/>
          <w:pgMar w:top="1418" w:right="927" w:bottom="1418" w:left="1247" w:header="851" w:footer="992" w:gutter="0"/>
          <w:pgNumType w:start="1"/>
          <w:cols w:space="720" w:num="1"/>
          <w:titlePg/>
          <w:docGrid w:type="linesAndChars" w:linePitch="312"/>
        </w:sectPr>
      </w:pPr>
    </w:p>
    <w:bookmarkEnd w:id="0"/>
    <w:p>
      <w:pPr>
        <w:spacing w:line="440" w:lineRule="exact"/>
        <w:ind w:firstLine="1050" w:firstLineChars="500"/>
        <w:rPr>
          <w:rFonts w:ascii="宋体" w:hAnsi="宋体"/>
          <w:color w:val="auto"/>
          <w:szCs w:val="21"/>
        </w:rPr>
      </w:pPr>
    </w:p>
    <w:p>
      <w:pPr>
        <w:spacing w:line="440" w:lineRule="exact"/>
        <w:jc w:val="center"/>
        <w:rPr>
          <w:rFonts w:ascii="宋体" w:hAnsi="宋体"/>
          <w:b/>
          <w:color w:val="auto"/>
          <w:sz w:val="28"/>
          <w:szCs w:val="28"/>
        </w:rPr>
      </w:pPr>
      <w:r>
        <w:rPr>
          <w:rFonts w:hint="eastAsia" w:ascii="宋体" w:hAnsi="宋体"/>
          <w:b/>
          <w:color w:val="auto"/>
          <w:sz w:val="28"/>
          <w:szCs w:val="28"/>
        </w:rPr>
        <w:t>目    录</w:t>
      </w:r>
    </w:p>
    <w:p>
      <w:pPr>
        <w:spacing w:line="440" w:lineRule="exact"/>
        <w:jc w:val="center"/>
        <w:rPr>
          <w:rFonts w:ascii="宋体" w:hAnsi="宋体"/>
          <w:color w:val="auto"/>
          <w:szCs w:val="21"/>
        </w:rPr>
      </w:pPr>
    </w:p>
    <w:p>
      <w:pPr>
        <w:pStyle w:val="16"/>
        <w:tabs>
          <w:tab w:val="right" w:leader="dot" w:pos="9733"/>
        </w:tabs>
        <w:rPr>
          <w:color w:val="auto"/>
        </w:rPr>
      </w:pPr>
      <w:r>
        <w:rPr>
          <w:rFonts w:ascii="宋体" w:hAnsi="宋体"/>
          <w:color w:val="auto"/>
          <w:szCs w:val="21"/>
        </w:rPr>
        <w:fldChar w:fldCharType="begin"/>
      </w:r>
      <w:r>
        <w:rPr>
          <w:rFonts w:ascii="宋体" w:hAnsi="宋体"/>
          <w:color w:val="auto"/>
          <w:szCs w:val="21"/>
        </w:rPr>
        <w:instrText xml:space="preserve"> </w:instrText>
      </w:r>
      <w:r>
        <w:rPr>
          <w:rFonts w:hint="eastAsia" w:ascii="宋体" w:hAnsi="宋体"/>
          <w:color w:val="auto"/>
          <w:szCs w:val="21"/>
        </w:rPr>
        <w:instrText xml:space="preserve">TOC \o "1-2" \h \z \u</w:instrText>
      </w:r>
      <w:r>
        <w:rPr>
          <w:rFonts w:ascii="宋体" w:hAnsi="宋体"/>
          <w:color w:val="auto"/>
          <w:szCs w:val="21"/>
        </w:rPr>
        <w:instrText xml:space="preserve"> </w:instrText>
      </w:r>
      <w:r>
        <w:rPr>
          <w:rFonts w:ascii="宋体" w:hAnsi="宋体"/>
          <w:color w:val="auto"/>
          <w:szCs w:val="21"/>
        </w:rPr>
        <w:fldChar w:fldCharType="separate"/>
      </w:r>
      <w:r>
        <w:rPr>
          <w:color w:val="auto"/>
        </w:rPr>
        <w:fldChar w:fldCharType="begin"/>
      </w:r>
      <w:r>
        <w:rPr>
          <w:color w:val="auto"/>
        </w:rPr>
        <w:instrText xml:space="preserve"> HYPERLINK \l "_Toc9070" </w:instrText>
      </w:r>
      <w:r>
        <w:rPr>
          <w:color w:val="auto"/>
        </w:rPr>
        <w:fldChar w:fldCharType="separate"/>
      </w:r>
      <w:r>
        <w:rPr>
          <w:color w:val="auto"/>
        </w:rPr>
        <w:t>第</w:t>
      </w:r>
      <w:r>
        <w:rPr>
          <w:rFonts w:hint="eastAsia" w:ascii="方正黑体简体" w:hAnsi="宋体" w:eastAsia="方正黑体简体"/>
          <w:color w:val="auto"/>
          <w:kern w:val="0"/>
          <w:szCs w:val="44"/>
        </w:rPr>
        <w:t xml:space="preserve">一章 </w:t>
      </w:r>
      <w:r>
        <w:rPr>
          <w:rFonts w:hint="eastAsia" w:ascii="方正黑体简体" w:eastAsia="方正黑体简体"/>
          <w:color w:val="auto"/>
          <w:szCs w:val="44"/>
        </w:rPr>
        <w:t>招标公告</w:t>
      </w:r>
      <w:r>
        <w:rPr>
          <w:color w:val="auto"/>
        </w:rPr>
        <w:tab/>
      </w:r>
      <w:r>
        <w:rPr>
          <w:color w:val="auto"/>
        </w:rPr>
        <w:fldChar w:fldCharType="end"/>
      </w:r>
      <w:r>
        <w:rPr>
          <w:rFonts w:hint="eastAsia"/>
          <w:color w:val="auto"/>
        </w:rPr>
        <w:t>3</w:t>
      </w:r>
    </w:p>
    <w:p>
      <w:pPr>
        <w:pStyle w:val="16"/>
        <w:tabs>
          <w:tab w:val="right" w:leader="dot" w:pos="9733"/>
        </w:tabs>
        <w:rPr>
          <w:color w:val="auto"/>
        </w:rPr>
      </w:pPr>
      <w:r>
        <w:rPr>
          <w:color w:val="auto"/>
        </w:rPr>
        <w:fldChar w:fldCharType="begin"/>
      </w:r>
      <w:r>
        <w:rPr>
          <w:color w:val="auto"/>
        </w:rPr>
        <w:instrText xml:space="preserve"> HYPERLINK \l "_Toc3775" </w:instrText>
      </w:r>
      <w:r>
        <w:rPr>
          <w:color w:val="auto"/>
        </w:rPr>
        <w:fldChar w:fldCharType="separate"/>
      </w:r>
      <w:r>
        <w:rPr>
          <w:rFonts w:hint="eastAsia" w:ascii="方正黑体简体" w:eastAsia="方正黑体简体"/>
          <w:color w:val="auto"/>
          <w:szCs w:val="44"/>
        </w:rPr>
        <w:t>第二章  投标人须知</w:t>
      </w:r>
      <w:r>
        <w:rPr>
          <w:color w:val="auto"/>
        </w:rPr>
        <w:tab/>
      </w:r>
      <w:r>
        <w:rPr>
          <w:color w:val="auto"/>
        </w:rPr>
        <w:fldChar w:fldCharType="end"/>
      </w:r>
      <w:r>
        <w:rPr>
          <w:rFonts w:hint="eastAsia"/>
          <w:color w:val="auto"/>
        </w:rPr>
        <w:t>5</w:t>
      </w:r>
    </w:p>
    <w:p>
      <w:pPr>
        <w:pStyle w:val="17"/>
        <w:tabs>
          <w:tab w:val="right" w:leader="dot" w:pos="9733"/>
        </w:tabs>
        <w:rPr>
          <w:color w:val="auto"/>
        </w:rPr>
      </w:pPr>
      <w:r>
        <w:rPr>
          <w:color w:val="auto"/>
        </w:rPr>
        <w:fldChar w:fldCharType="begin"/>
      </w:r>
      <w:r>
        <w:rPr>
          <w:color w:val="auto"/>
        </w:rPr>
        <w:instrText xml:space="preserve"> HYPERLINK \l "_Toc8752" </w:instrText>
      </w:r>
      <w:r>
        <w:rPr>
          <w:color w:val="auto"/>
        </w:rPr>
        <w:fldChar w:fldCharType="separate"/>
      </w:r>
      <w:r>
        <w:rPr>
          <w:rFonts w:hint="eastAsia" w:ascii="宋体"/>
          <w:color w:val="auto"/>
          <w:szCs w:val="28"/>
        </w:rPr>
        <w:t>投标人须知前附表</w:t>
      </w:r>
      <w:r>
        <w:rPr>
          <w:color w:val="auto"/>
        </w:rPr>
        <w:tab/>
      </w:r>
      <w:r>
        <w:rPr>
          <w:color w:val="auto"/>
        </w:rPr>
        <w:fldChar w:fldCharType="end"/>
      </w:r>
      <w:r>
        <w:rPr>
          <w:rFonts w:hint="eastAsia"/>
          <w:color w:val="auto"/>
        </w:rPr>
        <w:t>8</w:t>
      </w:r>
    </w:p>
    <w:p>
      <w:pPr>
        <w:pStyle w:val="17"/>
        <w:tabs>
          <w:tab w:val="right" w:leader="dot" w:pos="9733"/>
        </w:tabs>
        <w:rPr>
          <w:color w:val="auto"/>
        </w:rPr>
      </w:pPr>
      <w:r>
        <w:rPr>
          <w:color w:val="auto"/>
        </w:rPr>
        <w:fldChar w:fldCharType="begin"/>
      </w:r>
      <w:r>
        <w:rPr>
          <w:color w:val="auto"/>
        </w:rPr>
        <w:instrText xml:space="preserve"> HYPERLINK \l "_Toc26598" </w:instrText>
      </w:r>
      <w:r>
        <w:rPr>
          <w:color w:val="auto"/>
        </w:rPr>
        <w:fldChar w:fldCharType="separate"/>
      </w:r>
      <w:r>
        <w:rPr>
          <w:color w:val="auto"/>
        </w:rPr>
        <w:t>1</w:t>
      </w:r>
      <w:r>
        <w:rPr>
          <w:rFonts w:hint="eastAsia" w:ascii="方正黑体简体" w:hAnsi="宋体" w:eastAsia="方正黑体简体"/>
          <w:color w:val="auto"/>
          <w:kern w:val="0"/>
          <w:szCs w:val="32"/>
        </w:rPr>
        <w:t>. 总则</w:t>
      </w:r>
      <w:r>
        <w:rPr>
          <w:color w:val="auto"/>
        </w:rPr>
        <w:tab/>
      </w:r>
      <w:r>
        <w:rPr>
          <w:color w:val="auto"/>
        </w:rPr>
        <w:fldChar w:fldCharType="end"/>
      </w:r>
      <w:r>
        <w:rPr>
          <w:rFonts w:hint="eastAsia"/>
          <w:color w:val="auto"/>
        </w:rPr>
        <w:t>9</w:t>
      </w:r>
    </w:p>
    <w:p>
      <w:pPr>
        <w:pStyle w:val="17"/>
        <w:tabs>
          <w:tab w:val="right" w:leader="dot" w:pos="9733"/>
        </w:tabs>
        <w:rPr>
          <w:color w:val="auto"/>
        </w:rPr>
      </w:pPr>
      <w:r>
        <w:rPr>
          <w:color w:val="auto"/>
        </w:rPr>
        <w:fldChar w:fldCharType="begin"/>
      </w:r>
      <w:r>
        <w:rPr>
          <w:color w:val="auto"/>
        </w:rPr>
        <w:instrText xml:space="preserve"> HYPERLINK \l "_Toc22039" </w:instrText>
      </w:r>
      <w:r>
        <w:rPr>
          <w:color w:val="auto"/>
        </w:rPr>
        <w:fldChar w:fldCharType="separate"/>
      </w:r>
      <w:r>
        <w:rPr>
          <w:color w:val="auto"/>
        </w:rPr>
        <w:t>2</w:t>
      </w:r>
      <w:r>
        <w:rPr>
          <w:rFonts w:hint="eastAsia" w:ascii="方正黑体简体" w:hAnsi="宋体" w:eastAsia="方正黑体简体"/>
          <w:color w:val="auto"/>
          <w:kern w:val="0"/>
          <w:szCs w:val="32"/>
        </w:rPr>
        <w:t>. 招标文件</w:t>
      </w:r>
      <w:r>
        <w:rPr>
          <w:color w:val="auto"/>
        </w:rPr>
        <w:tab/>
      </w:r>
      <w:r>
        <w:rPr>
          <w:color w:val="auto"/>
        </w:rPr>
        <w:fldChar w:fldCharType="end"/>
      </w:r>
      <w:r>
        <w:rPr>
          <w:rFonts w:hint="eastAsia"/>
          <w:color w:val="auto"/>
        </w:rPr>
        <w:t>10</w:t>
      </w:r>
    </w:p>
    <w:p>
      <w:pPr>
        <w:pStyle w:val="17"/>
        <w:tabs>
          <w:tab w:val="right" w:leader="dot" w:pos="9733"/>
        </w:tabs>
        <w:rPr>
          <w:color w:val="auto"/>
        </w:rPr>
      </w:pPr>
      <w:r>
        <w:rPr>
          <w:color w:val="auto"/>
        </w:rPr>
        <w:fldChar w:fldCharType="begin"/>
      </w:r>
      <w:r>
        <w:rPr>
          <w:color w:val="auto"/>
        </w:rPr>
        <w:instrText xml:space="preserve"> HYPERLINK \l "_Toc20278" </w:instrText>
      </w:r>
      <w:r>
        <w:rPr>
          <w:color w:val="auto"/>
        </w:rPr>
        <w:fldChar w:fldCharType="separate"/>
      </w:r>
      <w:r>
        <w:rPr>
          <w:color w:val="auto"/>
        </w:rPr>
        <w:t>3</w:t>
      </w:r>
      <w:r>
        <w:rPr>
          <w:rFonts w:hint="eastAsia" w:ascii="方正黑体简体" w:hAnsi="宋体" w:eastAsia="方正黑体简体"/>
          <w:color w:val="auto"/>
          <w:kern w:val="0"/>
          <w:szCs w:val="32"/>
        </w:rPr>
        <w:t>. 投标文件</w:t>
      </w:r>
      <w:r>
        <w:rPr>
          <w:color w:val="auto"/>
        </w:rPr>
        <w:tab/>
      </w:r>
      <w:r>
        <w:rPr>
          <w:color w:val="auto"/>
        </w:rPr>
        <w:fldChar w:fldCharType="end"/>
      </w:r>
      <w:r>
        <w:rPr>
          <w:rFonts w:hint="eastAsia"/>
          <w:color w:val="auto"/>
        </w:rPr>
        <w:t>10</w:t>
      </w:r>
    </w:p>
    <w:p>
      <w:pPr>
        <w:pStyle w:val="17"/>
        <w:tabs>
          <w:tab w:val="right" w:leader="dot" w:pos="9733"/>
        </w:tabs>
        <w:rPr>
          <w:color w:val="auto"/>
        </w:rPr>
      </w:pPr>
      <w:r>
        <w:rPr>
          <w:color w:val="auto"/>
        </w:rPr>
        <w:fldChar w:fldCharType="begin"/>
      </w:r>
      <w:r>
        <w:rPr>
          <w:color w:val="auto"/>
        </w:rPr>
        <w:instrText xml:space="preserve"> HYPERLINK \l "_Toc21427" </w:instrText>
      </w:r>
      <w:r>
        <w:rPr>
          <w:color w:val="auto"/>
        </w:rPr>
        <w:fldChar w:fldCharType="separate"/>
      </w:r>
      <w:r>
        <w:rPr>
          <w:rFonts w:hint="eastAsia" w:ascii="方正黑体简体" w:hAnsi="宋体" w:eastAsia="方正黑体简体"/>
          <w:color w:val="auto"/>
          <w:kern w:val="0"/>
          <w:szCs w:val="32"/>
        </w:rPr>
        <w:t>4.投标</w:t>
      </w:r>
      <w:r>
        <w:rPr>
          <w:color w:val="auto"/>
        </w:rPr>
        <w:tab/>
      </w:r>
      <w:r>
        <w:rPr>
          <w:color w:val="auto"/>
        </w:rPr>
        <w:fldChar w:fldCharType="end"/>
      </w:r>
      <w:r>
        <w:rPr>
          <w:rFonts w:hint="eastAsia"/>
          <w:color w:val="auto"/>
        </w:rPr>
        <w:t>13</w:t>
      </w:r>
    </w:p>
    <w:p>
      <w:pPr>
        <w:pStyle w:val="17"/>
        <w:tabs>
          <w:tab w:val="right" w:leader="dot" w:pos="9733"/>
        </w:tabs>
        <w:rPr>
          <w:color w:val="auto"/>
        </w:rPr>
      </w:pPr>
      <w:r>
        <w:rPr>
          <w:color w:val="auto"/>
        </w:rPr>
        <w:fldChar w:fldCharType="begin"/>
      </w:r>
      <w:r>
        <w:rPr>
          <w:color w:val="auto"/>
        </w:rPr>
        <w:instrText xml:space="preserve"> HYPERLINK \l "_Toc1503" </w:instrText>
      </w:r>
      <w:r>
        <w:rPr>
          <w:color w:val="auto"/>
        </w:rPr>
        <w:fldChar w:fldCharType="separate"/>
      </w:r>
      <w:r>
        <w:rPr>
          <w:rFonts w:hint="eastAsia" w:ascii="方正黑体简体" w:hAnsi="宋体" w:eastAsia="方正黑体简体"/>
          <w:color w:val="auto"/>
          <w:kern w:val="0"/>
          <w:szCs w:val="32"/>
        </w:rPr>
        <w:t>5.开标</w:t>
      </w:r>
      <w:r>
        <w:rPr>
          <w:color w:val="auto"/>
        </w:rPr>
        <w:tab/>
      </w:r>
      <w:r>
        <w:rPr>
          <w:color w:val="auto"/>
        </w:rPr>
        <w:fldChar w:fldCharType="end"/>
      </w:r>
      <w:r>
        <w:rPr>
          <w:rFonts w:hint="eastAsia"/>
          <w:color w:val="auto"/>
        </w:rPr>
        <w:t>14</w:t>
      </w:r>
    </w:p>
    <w:p>
      <w:pPr>
        <w:pStyle w:val="17"/>
        <w:tabs>
          <w:tab w:val="right" w:leader="dot" w:pos="9733"/>
        </w:tabs>
        <w:rPr>
          <w:color w:val="auto"/>
        </w:rPr>
      </w:pPr>
      <w:r>
        <w:rPr>
          <w:color w:val="auto"/>
        </w:rPr>
        <w:fldChar w:fldCharType="begin"/>
      </w:r>
      <w:r>
        <w:rPr>
          <w:color w:val="auto"/>
        </w:rPr>
        <w:instrText xml:space="preserve"> HYPERLINK \l "_Toc17124" </w:instrText>
      </w:r>
      <w:r>
        <w:rPr>
          <w:color w:val="auto"/>
        </w:rPr>
        <w:fldChar w:fldCharType="separate"/>
      </w:r>
      <w:r>
        <w:rPr>
          <w:rFonts w:hint="eastAsia" w:ascii="方正黑体简体" w:hAnsi="宋体" w:eastAsia="方正黑体简体"/>
          <w:color w:val="auto"/>
          <w:kern w:val="0"/>
          <w:szCs w:val="32"/>
        </w:rPr>
        <w:t>6.评标</w:t>
      </w:r>
      <w:r>
        <w:rPr>
          <w:color w:val="auto"/>
        </w:rPr>
        <w:tab/>
      </w:r>
      <w:r>
        <w:rPr>
          <w:color w:val="auto"/>
        </w:rPr>
        <w:fldChar w:fldCharType="end"/>
      </w:r>
      <w:r>
        <w:rPr>
          <w:rFonts w:hint="eastAsia"/>
          <w:color w:val="auto"/>
        </w:rPr>
        <w:t>15</w:t>
      </w:r>
    </w:p>
    <w:p>
      <w:pPr>
        <w:pStyle w:val="17"/>
        <w:tabs>
          <w:tab w:val="right" w:leader="dot" w:pos="9733"/>
        </w:tabs>
        <w:rPr>
          <w:color w:val="auto"/>
        </w:rPr>
      </w:pPr>
      <w:r>
        <w:rPr>
          <w:color w:val="auto"/>
        </w:rPr>
        <w:fldChar w:fldCharType="begin"/>
      </w:r>
      <w:r>
        <w:rPr>
          <w:color w:val="auto"/>
        </w:rPr>
        <w:instrText xml:space="preserve"> HYPERLINK \l "_Toc6631" </w:instrText>
      </w:r>
      <w:r>
        <w:rPr>
          <w:color w:val="auto"/>
        </w:rPr>
        <w:fldChar w:fldCharType="separate"/>
      </w:r>
      <w:r>
        <w:rPr>
          <w:rFonts w:hint="eastAsia" w:ascii="方正黑体简体" w:hAnsi="宋体" w:eastAsia="方正黑体简体"/>
          <w:color w:val="auto"/>
          <w:kern w:val="0"/>
          <w:szCs w:val="32"/>
        </w:rPr>
        <w:t>7.合同授予</w:t>
      </w:r>
      <w:r>
        <w:rPr>
          <w:color w:val="auto"/>
        </w:rPr>
        <w:tab/>
      </w:r>
      <w:r>
        <w:rPr>
          <w:color w:val="auto"/>
        </w:rPr>
        <w:fldChar w:fldCharType="end"/>
      </w:r>
      <w:r>
        <w:rPr>
          <w:rFonts w:hint="eastAsia"/>
          <w:color w:val="auto"/>
        </w:rPr>
        <w:t>16</w:t>
      </w:r>
    </w:p>
    <w:p>
      <w:pPr>
        <w:pStyle w:val="17"/>
        <w:tabs>
          <w:tab w:val="right" w:leader="dot" w:pos="9733"/>
        </w:tabs>
        <w:rPr>
          <w:color w:val="auto"/>
        </w:rPr>
      </w:pPr>
      <w:r>
        <w:rPr>
          <w:color w:val="auto"/>
        </w:rPr>
        <w:fldChar w:fldCharType="begin"/>
      </w:r>
      <w:r>
        <w:rPr>
          <w:color w:val="auto"/>
        </w:rPr>
        <w:instrText xml:space="preserve"> HYPERLINK \l "_Toc4251" </w:instrText>
      </w:r>
      <w:r>
        <w:rPr>
          <w:color w:val="auto"/>
        </w:rPr>
        <w:fldChar w:fldCharType="separate"/>
      </w:r>
      <w:r>
        <w:rPr>
          <w:rFonts w:hint="eastAsia" w:ascii="方正黑体简体" w:hAnsi="宋体" w:eastAsia="方正黑体简体" w:cs="宋体"/>
          <w:bCs/>
          <w:color w:val="auto"/>
          <w:kern w:val="0"/>
          <w:szCs w:val="32"/>
        </w:rPr>
        <w:t>8．行贿犯罪查询记录</w:t>
      </w:r>
      <w:r>
        <w:rPr>
          <w:color w:val="auto"/>
        </w:rPr>
        <w:tab/>
      </w:r>
      <w:r>
        <w:rPr>
          <w:color w:val="auto"/>
        </w:rPr>
        <w:fldChar w:fldCharType="end"/>
      </w:r>
      <w:r>
        <w:rPr>
          <w:rFonts w:hint="eastAsia"/>
          <w:color w:val="auto"/>
        </w:rPr>
        <w:t>16</w:t>
      </w:r>
    </w:p>
    <w:p>
      <w:pPr>
        <w:pStyle w:val="17"/>
        <w:tabs>
          <w:tab w:val="right" w:leader="dot" w:pos="9733"/>
        </w:tabs>
        <w:rPr>
          <w:color w:val="auto"/>
        </w:rPr>
      </w:pPr>
      <w:r>
        <w:rPr>
          <w:color w:val="auto"/>
        </w:rPr>
        <w:fldChar w:fldCharType="begin"/>
      </w:r>
      <w:r>
        <w:rPr>
          <w:color w:val="auto"/>
        </w:rPr>
        <w:instrText xml:space="preserve"> HYPERLINK \l "_Toc1910" </w:instrText>
      </w:r>
      <w:r>
        <w:rPr>
          <w:color w:val="auto"/>
        </w:rPr>
        <w:fldChar w:fldCharType="separate"/>
      </w:r>
      <w:r>
        <w:rPr>
          <w:rFonts w:hint="eastAsia" w:ascii="方正黑体简体" w:hAnsi="宋体" w:eastAsia="方正黑体简体" w:cs="宋体"/>
          <w:bCs/>
          <w:color w:val="auto"/>
          <w:kern w:val="0"/>
          <w:szCs w:val="32"/>
        </w:rPr>
        <w:t>9. 需要补充的其他内容</w:t>
      </w:r>
      <w:r>
        <w:rPr>
          <w:color w:val="auto"/>
        </w:rPr>
        <w:tab/>
      </w:r>
      <w:r>
        <w:rPr>
          <w:color w:val="auto"/>
        </w:rPr>
        <w:fldChar w:fldCharType="end"/>
      </w:r>
      <w:r>
        <w:rPr>
          <w:rFonts w:hint="eastAsia"/>
          <w:color w:val="auto"/>
        </w:rPr>
        <w:t>17</w:t>
      </w:r>
    </w:p>
    <w:p>
      <w:pPr>
        <w:pStyle w:val="16"/>
        <w:tabs>
          <w:tab w:val="right" w:leader="dot" w:pos="9733"/>
        </w:tabs>
        <w:rPr>
          <w:color w:val="auto"/>
        </w:rPr>
      </w:pPr>
      <w:r>
        <w:rPr>
          <w:color w:val="auto"/>
        </w:rPr>
        <w:fldChar w:fldCharType="begin"/>
      </w:r>
      <w:r>
        <w:rPr>
          <w:color w:val="auto"/>
        </w:rPr>
        <w:instrText xml:space="preserve"> HYPERLINK \l "_Toc26480" </w:instrText>
      </w:r>
      <w:r>
        <w:rPr>
          <w:color w:val="auto"/>
        </w:rPr>
        <w:fldChar w:fldCharType="separate"/>
      </w:r>
      <w:r>
        <w:rPr>
          <w:rFonts w:hint="eastAsia" w:ascii="方正黑体简体" w:eastAsia="方正黑体简体"/>
          <w:color w:val="auto"/>
          <w:szCs w:val="44"/>
        </w:rPr>
        <w:t>第三章  评 标 方 法</w:t>
      </w:r>
      <w:r>
        <w:rPr>
          <w:color w:val="auto"/>
        </w:rPr>
        <w:tab/>
      </w:r>
      <w:r>
        <w:rPr>
          <w:color w:val="auto"/>
        </w:rPr>
        <w:fldChar w:fldCharType="end"/>
      </w:r>
      <w:r>
        <w:rPr>
          <w:rFonts w:hint="eastAsia"/>
          <w:color w:val="auto"/>
        </w:rPr>
        <w:t>17</w:t>
      </w:r>
    </w:p>
    <w:p>
      <w:pPr>
        <w:pStyle w:val="17"/>
        <w:tabs>
          <w:tab w:val="right" w:leader="dot" w:pos="9733"/>
        </w:tabs>
        <w:rPr>
          <w:color w:val="auto"/>
        </w:rPr>
      </w:pPr>
      <w:r>
        <w:rPr>
          <w:color w:val="auto"/>
        </w:rPr>
        <w:fldChar w:fldCharType="begin"/>
      </w:r>
      <w:r>
        <w:rPr>
          <w:color w:val="auto"/>
        </w:rPr>
        <w:instrText xml:space="preserve"> HYPERLINK \l "_Toc14734" </w:instrText>
      </w:r>
      <w:r>
        <w:rPr>
          <w:color w:val="auto"/>
        </w:rPr>
        <w:fldChar w:fldCharType="separate"/>
      </w:r>
      <w:r>
        <w:rPr>
          <w:rFonts w:hint="eastAsia" w:ascii="宋体"/>
          <w:color w:val="auto"/>
        </w:rPr>
        <w:t>1.评标准则和评标方法</w:t>
      </w:r>
      <w:r>
        <w:rPr>
          <w:color w:val="auto"/>
        </w:rPr>
        <w:tab/>
      </w:r>
      <w:r>
        <w:rPr>
          <w:color w:val="auto"/>
        </w:rPr>
        <w:fldChar w:fldCharType="end"/>
      </w:r>
      <w:r>
        <w:rPr>
          <w:rFonts w:hint="eastAsia"/>
          <w:color w:val="auto"/>
        </w:rPr>
        <w:t>17</w:t>
      </w:r>
    </w:p>
    <w:p>
      <w:pPr>
        <w:pStyle w:val="17"/>
        <w:tabs>
          <w:tab w:val="right" w:leader="dot" w:pos="9733"/>
        </w:tabs>
        <w:rPr>
          <w:color w:val="auto"/>
        </w:rPr>
      </w:pPr>
      <w:r>
        <w:rPr>
          <w:color w:val="auto"/>
        </w:rPr>
        <w:fldChar w:fldCharType="begin"/>
      </w:r>
      <w:r>
        <w:rPr>
          <w:color w:val="auto"/>
        </w:rPr>
        <w:instrText xml:space="preserve"> HYPERLINK \l "_Toc28161" </w:instrText>
      </w:r>
      <w:r>
        <w:rPr>
          <w:color w:val="auto"/>
        </w:rPr>
        <w:fldChar w:fldCharType="separate"/>
      </w:r>
      <w:r>
        <w:rPr>
          <w:rFonts w:hint="eastAsia" w:ascii="宋体"/>
          <w:color w:val="auto"/>
        </w:rPr>
        <w:t>2.评审标准</w:t>
      </w:r>
      <w:r>
        <w:rPr>
          <w:color w:val="auto"/>
        </w:rPr>
        <w:tab/>
      </w:r>
      <w:r>
        <w:rPr>
          <w:color w:val="auto"/>
        </w:rPr>
        <w:fldChar w:fldCharType="end"/>
      </w:r>
      <w:r>
        <w:rPr>
          <w:rFonts w:hint="eastAsia"/>
          <w:color w:val="auto"/>
        </w:rPr>
        <w:t>19</w:t>
      </w:r>
    </w:p>
    <w:p>
      <w:pPr>
        <w:pStyle w:val="17"/>
        <w:tabs>
          <w:tab w:val="right" w:leader="dot" w:pos="9733"/>
        </w:tabs>
        <w:rPr>
          <w:color w:val="auto"/>
        </w:rPr>
      </w:pPr>
      <w:r>
        <w:rPr>
          <w:color w:val="auto"/>
        </w:rPr>
        <w:fldChar w:fldCharType="begin"/>
      </w:r>
      <w:r>
        <w:rPr>
          <w:color w:val="auto"/>
        </w:rPr>
        <w:instrText xml:space="preserve"> HYPERLINK \l "_Toc3441" </w:instrText>
      </w:r>
      <w:r>
        <w:rPr>
          <w:color w:val="auto"/>
        </w:rPr>
        <w:fldChar w:fldCharType="separate"/>
      </w:r>
      <w:r>
        <w:rPr>
          <w:rFonts w:hint="eastAsia" w:ascii="宋体"/>
          <w:color w:val="auto"/>
        </w:rPr>
        <w:t>3.评标程序</w:t>
      </w:r>
      <w:r>
        <w:rPr>
          <w:color w:val="auto"/>
        </w:rPr>
        <w:tab/>
      </w:r>
      <w:r>
        <w:rPr>
          <w:color w:val="auto"/>
        </w:rPr>
        <w:fldChar w:fldCharType="end"/>
      </w:r>
      <w:r>
        <w:rPr>
          <w:rFonts w:hint="eastAsia"/>
          <w:color w:val="auto"/>
        </w:rPr>
        <w:t>21</w:t>
      </w:r>
    </w:p>
    <w:p>
      <w:pPr>
        <w:pStyle w:val="16"/>
        <w:tabs>
          <w:tab w:val="right" w:leader="dot" w:pos="9733"/>
        </w:tabs>
        <w:rPr>
          <w:color w:val="auto"/>
        </w:rPr>
      </w:pPr>
      <w:r>
        <w:rPr>
          <w:color w:val="auto"/>
        </w:rPr>
        <w:fldChar w:fldCharType="begin"/>
      </w:r>
      <w:r>
        <w:rPr>
          <w:color w:val="auto"/>
        </w:rPr>
        <w:instrText xml:space="preserve"> HYPERLINK \l "_Toc315" </w:instrText>
      </w:r>
      <w:r>
        <w:rPr>
          <w:color w:val="auto"/>
        </w:rPr>
        <w:fldChar w:fldCharType="separate"/>
      </w:r>
      <w:r>
        <w:rPr>
          <w:rFonts w:hint="eastAsia"/>
          <w:color w:val="auto"/>
          <w:szCs w:val="44"/>
        </w:rPr>
        <w:t>第四章  招标项目参数</w:t>
      </w:r>
      <w:r>
        <w:rPr>
          <w:color w:val="auto"/>
        </w:rPr>
        <w:tab/>
      </w:r>
      <w:r>
        <w:rPr>
          <w:color w:val="auto"/>
        </w:rPr>
        <w:fldChar w:fldCharType="end"/>
      </w:r>
      <w:r>
        <w:rPr>
          <w:rFonts w:hint="eastAsia"/>
          <w:color w:val="auto"/>
        </w:rPr>
        <w:t>21</w:t>
      </w:r>
    </w:p>
    <w:p>
      <w:pPr>
        <w:pStyle w:val="16"/>
        <w:tabs>
          <w:tab w:val="right" w:leader="dot" w:pos="9733"/>
        </w:tabs>
        <w:rPr>
          <w:color w:val="auto"/>
        </w:rPr>
      </w:pPr>
      <w:r>
        <w:rPr>
          <w:color w:val="auto"/>
        </w:rPr>
        <w:fldChar w:fldCharType="begin"/>
      </w:r>
      <w:r>
        <w:rPr>
          <w:color w:val="auto"/>
        </w:rPr>
        <w:instrText xml:space="preserve"> HYPERLINK \l "_Toc22079" </w:instrText>
      </w:r>
      <w:r>
        <w:rPr>
          <w:color w:val="auto"/>
        </w:rPr>
        <w:fldChar w:fldCharType="separate"/>
      </w:r>
      <w:r>
        <w:rPr>
          <w:rFonts w:hint="eastAsia"/>
          <w:color w:val="auto"/>
        </w:rPr>
        <w:t>第五章   合同签订及条款</w:t>
      </w:r>
      <w:r>
        <w:rPr>
          <w:color w:val="auto"/>
        </w:rPr>
        <w:tab/>
      </w:r>
      <w:r>
        <w:rPr>
          <w:color w:val="auto"/>
        </w:rPr>
        <w:fldChar w:fldCharType="end"/>
      </w:r>
      <w:r>
        <w:rPr>
          <w:rFonts w:hint="eastAsia"/>
          <w:color w:val="auto"/>
        </w:rPr>
        <w:t>28</w:t>
      </w:r>
    </w:p>
    <w:p>
      <w:pPr>
        <w:pStyle w:val="17"/>
        <w:tabs>
          <w:tab w:val="right" w:leader="dot" w:pos="9733"/>
        </w:tabs>
        <w:rPr>
          <w:color w:val="auto"/>
        </w:rPr>
      </w:pPr>
      <w:r>
        <w:rPr>
          <w:color w:val="auto"/>
        </w:rPr>
        <w:fldChar w:fldCharType="begin"/>
      </w:r>
      <w:r>
        <w:rPr>
          <w:color w:val="auto"/>
        </w:rPr>
        <w:instrText xml:space="preserve"> HYPERLINK \l "_Toc4603" </w:instrText>
      </w:r>
      <w:r>
        <w:rPr>
          <w:color w:val="auto"/>
        </w:rPr>
        <w:fldChar w:fldCharType="separate"/>
      </w:r>
      <w:r>
        <w:rPr>
          <w:rFonts w:hint="eastAsia"/>
          <w:color w:val="auto"/>
        </w:rPr>
        <w:t>1.合同签订</w:t>
      </w:r>
      <w:r>
        <w:rPr>
          <w:color w:val="auto"/>
        </w:rPr>
        <w:tab/>
      </w:r>
      <w:r>
        <w:rPr>
          <w:color w:val="auto"/>
        </w:rPr>
        <w:fldChar w:fldCharType="end"/>
      </w:r>
      <w:r>
        <w:rPr>
          <w:rFonts w:hint="eastAsia"/>
          <w:color w:val="auto"/>
        </w:rPr>
        <w:t>29</w:t>
      </w:r>
    </w:p>
    <w:p>
      <w:pPr>
        <w:pStyle w:val="17"/>
        <w:tabs>
          <w:tab w:val="right" w:leader="dot" w:pos="9733"/>
        </w:tabs>
        <w:rPr>
          <w:color w:val="auto"/>
        </w:rPr>
      </w:pPr>
      <w:r>
        <w:rPr>
          <w:color w:val="auto"/>
        </w:rPr>
        <w:fldChar w:fldCharType="begin"/>
      </w:r>
      <w:r>
        <w:rPr>
          <w:color w:val="auto"/>
        </w:rPr>
        <w:instrText xml:space="preserve"> HYPERLINK \l "_Toc2717" </w:instrText>
      </w:r>
      <w:r>
        <w:rPr>
          <w:color w:val="auto"/>
        </w:rPr>
        <w:fldChar w:fldCharType="separate"/>
      </w:r>
      <w:r>
        <w:rPr>
          <w:rFonts w:hint="eastAsia" w:ascii="方正黑体简体" w:eastAsia="方正黑体简体"/>
          <w:color w:val="auto"/>
          <w:szCs w:val="28"/>
        </w:rPr>
        <w:t>2.合同一般条款</w:t>
      </w:r>
      <w:r>
        <w:rPr>
          <w:color w:val="auto"/>
        </w:rPr>
        <w:tab/>
      </w:r>
      <w:r>
        <w:rPr>
          <w:color w:val="auto"/>
        </w:rPr>
        <w:fldChar w:fldCharType="end"/>
      </w:r>
      <w:r>
        <w:rPr>
          <w:rFonts w:hint="eastAsia"/>
          <w:color w:val="auto"/>
        </w:rPr>
        <w:t>30</w:t>
      </w:r>
    </w:p>
    <w:p>
      <w:pPr>
        <w:pStyle w:val="17"/>
        <w:tabs>
          <w:tab w:val="right" w:leader="dot" w:pos="9733"/>
        </w:tabs>
        <w:rPr>
          <w:color w:val="auto"/>
        </w:rPr>
      </w:pPr>
      <w:r>
        <w:rPr>
          <w:color w:val="auto"/>
        </w:rPr>
        <w:fldChar w:fldCharType="begin"/>
      </w:r>
      <w:r>
        <w:rPr>
          <w:color w:val="auto"/>
        </w:rPr>
        <w:instrText xml:space="preserve"> HYPERLINK \l "_Toc18602" </w:instrText>
      </w:r>
      <w:r>
        <w:rPr>
          <w:color w:val="auto"/>
        </w:rPr>
        <w:fldChar w:fldCharType="separate"/>
      </w:r>
      <w:r>
        <w:rPr>
          <w:rFonts w:hint="eastAsia" w:ascii="方正黑体简体" w:eastAsia="方正黑体简体"/>
          <w:color w:val="auto"/>
          <w:szCs w:val="28"/>
        </w:rPr>
        <w:t>3．合同专用条款（特别约定条款）</w:t>
      </w:r>
      <w:r>
        <w:rPr>
          <w:color w:val="auto"/>
        </w:rPr>
        <w:tab/>
      </w:r>
      <w:r>
        <w:rPr>
          <w:color w:val="auto"/>
        </w:rPr>
        <w:fldChar w:fldCharType="end"/>
      </w:r>
      <w:r>
        <w:rPr>
          <w:rFonts w:hint="eastAsia"/>
          <w:color w:val="auto"/>
        </w:rPr>
        <w:t>30</w:t>
      </w:r>
    </w:p>
    <w:p>
      <w:pPr>
        <w:pStyle w:val="16"/>
        <w:tabs>
          <w:tab w:val="right" w:leader="dot" w:pos="9733"/>
        </w:tabs>
        <w:rPr>
          <w:color w:val="auto"/>
        </w:rPr>
      </w:pPr>
      <w:r>
        <w:rPr>
          <w:color w:val="auto"/>
        </w:rPr>
        <w:fldChar w:fldCharType="begin"/>
      </w:r>
      <w:r>
        <w:rPr>
          <w:color w:val="auto"/>
        </w:rPr>
        <w:instrText xml:space="preserve"> HYPERLINK \l "_Toc21592" </w:instrText>
      </w:r>
      <w:r>
        <w:rPr>
          <w:color w:val="auto"/>
        </w:rPr>
        <w:fldChar w:fldCharType="separate"/>
      </w:r>
      <w:r>
        <w:rPr>
          <w:rFonts w:hint="eastAsia" w:ascii="方正黑体简体" w:eastAsia="方正黑体简体"/>
          <w:color w:val="auto"/>
          <w:szCs w:val="44"/>
        </w:rPr>
        <w:t>第六章  投标文件格式</w:t>
      </w:r>
      <w:r>
        <w:rPr>
          <w:color w:val="auto"/>
        </w:rPr>
        <w:tab/>
      </w:r>
      <w:r>
        <w:rPr>
          <w:color w:val="auto"/>
        </w:rPr>
        <w:fldChar w:fldCharType="end"/>
      </w:r>
      <w:r>
        <w:rPr>
          <w:rFonts w:hint="eastAsia"/>
          <w:color w:val="auto"/>
        </w:rPr>
        <w:t>32</w:t>
      </w:r>
    </w:p>
    <w:p>
      <w:pPr>
        <w:pStyle w:val="17"/>
        <w:tabs>
          <w:tab w:val="right" w:leader="dot" w:pos="9733"/>
        </w:tabs>
        <w:rPr>
          <w:color w:val="auto"/>
        </w:rPr>
      </w:pPr>
      <w:r>
        <w:rPr>
          <w:color w:val="auto"/>
        </w:rPr>
        <w:fldChar w:fldCharType="begin"/>
      </w:r>
      <w:r>
        <w:rPr>
          <w:color w:val="auto"/>
        </w:rPr>
        <w:instrText xml:space="preserve"> HYPERLINK \l "_Toc26304" </w:instrText>
      </w:r>
      <w:r>
        <w:rPr>
          <w:color w:val="auto"/>
        </w:rPr>
        <w:fldChar w:fldCharType="separate"/>
      </w:r>
      <w:r>
        <w:rPr>
          <w:rFonts w:hint="eastAsia" w:ascii="宋体"/>
          <w:color w:val="auto"/>
          <w:szCs w:val="28"/>
        </w:rPr>
        <w:t>一、投 标 函</w:t>
      </w:r>
      <w:r>
        <w:rPr>
          <w:color w:val="auto"/>
        </w:rPr>
        <w:tab/>
      </w:r>
      <w:r>
        <w:rPr>
          <w:color w:val="auto"/>
        </w:rPr>
        <w:fldChar w:fldCharType="end"/>
      </w:r>
      <w:r>
        <w:rPr>
          <w:rFonts w:hint="eastAsia"/>
          <w:color w:val="auto"/>
        </w:rPr>
        <w:t>34</w:t>
      </w:r>
    </w:p>
    <w:p>
      <w:pPr>
        <w:pStyle w:val="17"/>
        <w:tabs>
          <w:tab w:val="right" w:leader="dot" w:pos="9733"/>
        </w:tabs>
        <w:rPr>
          <w:color w:val="auto"/>
        </w:rPr>
      </w:pPr>
      <w:r>
        <w:rPr>
          <w:color w:val="auto"/>
        </w:rPr>
        <w:fldChar w:fldCharType="begin"/>
      </w:r>
      <w:r>
        <w:rPr>
          <w:color w:val="auto"/>
        </w:rPr>
        <w:instrText xml:space="preserve"> HYPERLINK \l "_Toc14949" </w:instrText>
      </w:r>
      <w:r>
        <w:rPr>
          <w:color w:val="auto"/>
        </w:rPr>
        <w:fldChar w:fldCharType="separate"/>
      </w:r>
      <w:r>
        <w:rPr>
          <w:rFonts w:hint="eastAsia" w:ascii="宋体"/>
          <w:color w:val="auto"/>
          <w:szCs w:val="28"/>
        </w:rPr>
        <w:t>二、开标一览表</w:t>
      </w:r>
      <w:r>
        <w:rPr>
          <w:color w:val="auto"/>
        </w:rPr>
        <w:tab/>
      </w:r>
      <w:r>
        <w:rPr>
          <w:color w:val="auto"/>
        </w:rPr>
        <w:fldChar w:fldCharType="end"/>
      </w:r>
      <w:r>
        <w:rPr>
          <w:rFonts w:hint="eastAsia"/>
          <w:color w:val="auto"/>
        </w:rPr>
        <w:t>35</w:t>
      </w:r>
    </w:p>
    <w:p>
      <w:pPr>
        <w:pStyle w:val="17"/>
        <w:tabs>
          <w:tab w:val="right" w:leader="dot" w:pos="9733"/>
        </w:tabs>
        <w:rPr>
          <w:color w:val="auto"/>
        </w:rPr>
      </w:pPr>
      <w:r>
        <w:rPr>
          <w:color w:val="auto"/>
        </w:rPr>
        <w:fldChar w:fldCharType="begin"/>
      </w:r>
      <w:r>
        <w:rPr>
          <w:color w:val="auto"/>
        </w:rPr>
        <w:instrText xml:space="preserve"> HYPERLINK \l "_Toc23887" </w:instrText>
      </w:r>
      <w:r>
        <w:rPr>
          <w:color w:val="auto"/>
        </w:rPr>
        <w:fldChar w:fldCharType="separate"/>
      </w:r>
      <w:r>
        <w:rPr>
          <w:rFonts w:hint="eastAsia" w:ascii="宋体"/>
          <w:color w:val="auto"/>
          <w:szCs w:val="28"/>
        </w:rPr>
        <w:t>四、技术规格和商务条款偏差表</w:t>
      </w:r>
      <w:r>
        <w:rPr>
          <w:color w:val="auto"/>
        </w:rPr>
        <w:tab/>
      </w:r>
      <w:r>
        <w:rPr>
          <w:color w:val="auto"/>
        </w:rPr>
        <w:fldChar w:fldCharType="end"/>
      </w:r>
      <w:r>
        <w:rPr>
          <w:rFonts w:hint="eastAsia"/>
          <w:color w:val="auto"/>
        </w:rPr>
        <w:t>37</w:t>
      </w:r>
    </w:p>
    <w:p>
      <w:pPr>
        <w:pStyle w:val="17"/>
        <w:tabs>
          <w:tab w:val="right" w:leader="dot" w:pos="9733"/>
        </w:tabs>
        <w:rPr>
          <w:color w:val="auto"/>
        </w:rPr>
      </w:pPr>
      <w:r>
        <w:rPr>
          <w:color w:val="auto"/>
        </w:rPr>
        <w:fldChar w:fldCharType="begin"/>
      </w:r>
      <w:r>
        <w:rPr>
          <w:color w:val="auto"/>
        </w:rPr>
        <w:instrText xml:space="preserve"> HYPERLINK \l "_Toc8115" </w:instrText>
      </w:r>
      <w:r>
        <w:rPr>
          <w:color w:val="auto"/>
        </w:rPr>
        <w:fldChar w:fldCharType="separate"/>
      </w:r>
      <w:r>
        <w:rPr>
          <w:rFonts w:hint="eastAsia" w:ascii="宋体"/>
          <w:color w:val="auto"/>
          <w:szCs w:val="28"/>
        </w:rPr>
        <w:t>五、</w:t>
      </w:r>
      <w:r>
        <w:rPr>
          <w:color w:val="auto"/>
        </w:rPr>
        <w:t>法定代表人身份证明</w:t>
      </w:r>
      <w:r>
        <w:rPr>
          <w:color w:val="auto"/>
        </w:rPr>
        <w:tab/>
      </w:r>
      <w:r>
        <w:rPr>
          <w:color w:val="auto"/>
        </w:rPr>
        <w:fldChar w:fldCharType="end"/>
      </w:r>
      <w:r>
        <w:rPr>
          <w:rFonts w:hint="eastAsia"/>
          <w:color w:val="auto"/>
        </w:rPr>
        <w:t>38</w:t>
      </w:r>
    </w:p>
    <w:p>
      <w:pPr>
        <w:pStyle w:val="17"/>
        <w:tabs>
          <w:tab w:val="right" w:leader="dot" w:pos="9733"/>
        </w:tabs>
        <w:rPr>
          <w:color w:val="auto"/>
        </w:rPr>
      </w:pPr>
      <w:r>
        <w:rPr>
          <w:color w:val="auto"/>
        </w:rPr>
        <w:fldChar w:fldCharType="begin"/>
      </w:r>
      <w:r>
        <w:rPr>
          <w:color w:val="auto"/>
        </w:rPr>
        <w:instrText xml:space="preserve"> HYPERLINK \l "_Toc2316" </w:instrText>
      </w:r>
      <w:r>
        <w:rPr>
          <w:color w:val="auto"/>
        </w:rPr>
        <w:fldChar w:fldCharType="separate"/>
      </w:r>
      <w:r>
        <w:rPr>
          <w:rFonts w:hint="eastAsia" w:ascii="宋体"/>
          <w:color w:val="auto"/>
          <w:szCs w:val="28"/>
        </w:rPr>
        <w:t>六、</w:t>
      </w:r>
      <w:r>
        <w:rPr>
          <w:color w:val="auto"/>
        </w:rPr>
        <w:t>授权委托书</w:t>
      </w:r>
      <w:r>
        <w:rPr>
          <w:color w:val="auto"/>
        </w:rPr>
        <w:tab/>
      </w:r>
      <w:r>
        <w:rPr>
          <w:color w:val="auto"/>
        </w:rPr>
        <w:fldChar w:fldCharType="end"/>
      </w:r>
      <w:r>
        <w:rPr>
          <w:rFonts w:hint="eastAsia"/>
          <w:color w:val="auto"/>
        </w:rPr>
        <w:t>39</w:t>
      </w:r>
    </w:p>
    <w:p>
      <w:pPr>
        <w:pStyle w:val="17"/>
        <w:tabs>
          <w:tab w:val="right" w:leader="dot" w:pos="9733"/>
        </w:tabs>
        <w:rPr>
          <w:color w:val="auto"/>
        </w:rPr>
      </w:pPr>
      <w:r>
        <w:rPr>
          <w:color w:val="auto"/>
        </w:rPr>
        <w:fldChar w:fldCharType="begin"/>
      </w:r>
      <w:r>
        <w:rPr>
          <w:color w:val="auto"/>
        </w:rPr>
        <w:instrText xml:space="preserve"> HYPERLINK \l "_Toc26018" </w:instrText>
      </w:r>
      <w:r>
        <w:rPr>
          <w:color w:val="auto"/>
        </w:rPr>
        <w:fldChar w:fldCharType="separate"/>
      </w:r>
      <w:r>
        <w:rPr>
          <w:rFonts w:hint="eastAsia"/>
          <w:color w:val="auto"/>
        </w:rPr>
        <w:t>七、投标人基本情况表</w:t>
      </w:r>
      <w:r>
        <w:rPr>
          <w:color w:val="auto"/>
        </w:rPr>
        <w:tab/>
      </w:r>
      <w:r>
        <w:rPr>
          <w:color w:val="auto"/>
        </w:rPr>
        <w:fldChar w:fldCharType="end"/>
      </w:r>
      <w:r>
        <w:rPr>
          <w:rFonts w:hint="eastAsia"/>
          <w:color w:val="auto"/>
        </w:rPr>
        <w:t>40</w:t>
      </w:r>
    </w:p>
    <w:p>
      <w:pPr>
        <w:pStyle w:val="17"/>
        <w:tabs>
          <w:tab w:val="right" w:leader="dot" w:pos="9733"/>
        </w:tabs>
        <w:rPr>
          <w:color w:val="auto"/>
        </w:rPr>
      </w:pPr>
      <w:r>
        <w:rPr>
          <w:color w:val="auto"/>
        </w:rPr>
        <w:fldChar w:fldCharType="begin"/>
      </w:r>
      <w:r>
        <w:rPr>
          <w:color w:val="auto"/>
        </w:rPr>
        <w:instrText xml:space="preserve"> HYPERLINK \l "_Toc18283" </w:instrText>
      </w:r>
      <w:r>
        <w:rPr>
          <w:color w:val="auto"/>
        </w:rPr>
        <w:fldChar w:fldCharType="separate"/>
      </w:r>
      <w:r>
        <w:rPr>
          <w:rFonts w:hint="eastAsia"/>
          <w:color w:val="auto"/>
        </w:rPr>
        <w:t>八、</w:t>
      </w:r>
      <w:r>
        <w:rPr>
          <w:rFonts w:hint="eastAsia"/>
          <w:color w:val="auto"/>
        </w:rPr>
        <w:t>业绩</w:t>
      </w:r>
      <w:r>
        <w:rPr>
          <w:color w:val="auto"/>
        </w:rPr>
        <w:tab/>
      </w:r>
      <w:r>
        <w:rPr>
          <w:color w:val="auto"/>
        </w:rPr>
        <w:fldChar w:fldCharType="end"/>
      </w:r>
      <w:r>
        <w:rPr>
          <w:rFonts w:hint="eastAsia"/>
          <w:color w:val="auto"/>
        </w:rPr>
        <w:t>41</w:t>
      </w:r>
    </w:p>
    <w:p>
      <w:pPr>
        <w:pStyle w:val="17"/>
        <w:tabs>
          <w:tab w:val="right" w:leader="dot" w:pos="9733"/>
        </w:tabs>
        <w:rPr>
          <w:color w:val="auto"/>
        </w:rPr>
      </w:pPr>
      <w:r>
        <w:rPr>
          <w:color w:val="auto"/>
        </w:rPr>
        <w:fldChar w:fldCharType="begin"/>
      </w:r>
      <w:r>
        <w:rPr>
          <w:color w:val="auto"/>
        </w:rPr>
        <w:instrText xml:space="preserve"> HYPERLINK \l "_Toc14112" </w:instrText>
      </w:r>
      <w:r>
        <w:rPr>
          <w:color w:val="auto"/>
        </w:rPr>
        <w:fldChar w:fldCharType="separate"/>
      </w:r>
      <w:r>
        <w:rPr>
          <w:rFonts w:hint="eastAsia"/>
          <w:color w:val="auto"/>
        </w:rPr>
        <w:t>九、企业荣誉</w:t>
      </w:r>
      <w:r>
        <w:rPr>
          <w:color w:val="auto"/>
        </w:rPr>
        <w:tab/>
      </w:r>
      <w:r>
        <w:rPr>
          <w:color w:val="auto"/>
        </w:rPr>
        <w:fldChar w:fldCharType="end"/>
      </w:r>
      <w:r>
        <w:rPr>
          <w:rFonts w:hint="eastAsia"/>
          <w:color w:val="auto"/>
        </w:rPr>
        <w:t>42</w:t>
      </w:r>
    </w:p>
    <w:p>
      <w:pPr>
        <w:pStyle w:val="17"/>
        <w:tabs>
          <w:tab w:val="right" w:leader="dot" w:pos="9733"/>
        </w:tabs>
        <w:rPr>
          <w:color w:val="auto"/>
        </w:rPr>
      </w:pPr>
      <w:r>
        <w:rPr>
          <w:color w:val="auto"/>
        </w:rPr>
        <w:fldChar w:fldCharType="begin"/>
      </w:r>
      <w:r>
        <w:rPr>
          <w:color w:val="auto"/>
        </w:rPr>
        <w:instrText xml:space="preserve"> HYPERLINK \l "_Toc30150" </w:instrText>
      </w:r>
      <w:r>
        <w:rPr>
          <w:color w:val="auto"/>
        </w:rPr>
        <w:fldChar w:fldCharType="separate"/>
      </w:r>
      <w:r>
        <w:rPr>
          <w:rFonts w:hint="eastAsia" w:ascii="宋体"/>
          <w:color w:val="auto"/>
          <w:szCs w:val="28"/>
        </w:rPr>
        <w:t>（非实质性条款）</w:t>
      </w:r>
      <w:r>
        <w:rPr>
          <w:color w:val="auto"/>
        </w:rPr>
        <w:tab/>
      </w:r>
      <w:r>
        <w:rPr>
          <w:color w:val="auto"/>
        </w:rPr>
        <w:fldChar w:fldCharType="end"/>
      </w:r>
      <w:r>
        <w:rPr>
          <w:rFonts w:hint="eastAsia"/>
          <w:color w:val="auto"/>
        </w:rPr>
        <w:t>43</w:t>
      </w:r>
    </w:p>
    <w:p>
      <w:pPr>
        <w:pStyle w:val="17"/>
        <w:tabs>
          <w:tab w:val="right" w:leader="dot" w:pos="9733"/>
        </w:tabs>
        <w:rPr>
          <w:color w:val="auto"/>
        </w:rPr>
      </w:pPr>
      <w:r>
        <w:rPr>
          <w:color w:val="auto"/>
        </w:rPr>
        <w:fldChar w:fldCharType="begin"/>
      </w:r>
      <w:r>
        <w:rPr>
          <w:color w:val="auto"/>
        </w:rPr>
        <w:instrText xml:space="preserve"> HYPERLINK \l "_Toc27061" </w:instrText>
      </w:r>
      <w:r>
        <w:rPr>
          <w:color w:val="auto"/>
        </w:rPr>
        <w:fldChar w:fldCharType="separate"/>
      </w:r>
      <w:r>
        <w:rPr>
          <w:rFonts w:hint="eastAsia"/>
          <w:color w:val="auto"/>
        </w:rPr>
        <w:t>十、售后服务承诺及质量保证承诺</w:t>
      </w:r>
      <w:r>
        <w:rPr>
          <w:color w:val="auto"/>
        </w:rPr>
        <w:tab/>
      </w:r>
      <w:r>
        <w:rPr>
          <w:color w:val="auto"/>
        </w:rPr>
        <w:fldChar w:fldCharType="end"/>
      </w:r>
      <w:r>
        <w:rPr>
          <w:rFonts w:hint="eastAsia"/>
          <w:color w:val="auto"/>
        </w:rPr>
        <w:t>44</w:t>
      </w:r>
    </w:p>
    <w:p>
      <w:pPr>
        <w:pStyle w:val="17"/>
        <w:tabs>
          <w:tab w:val="right" w:leader="dot" w:pos="9733"/>
        </w:tabs>
        <w:rPr>
          <w:color w:val="auto"/>
        </w:rPr>
      </w:pPr>
      <w:r>
        <w:rPr>
          <w:color w:val="auto"/>
        </w:rPr>
        <w:fldChar w:fldCharType="begin"/>
      </w:r>
      <w:r>
        <w:rPr>
          <w:color w:val="auto"/>
        </w:rPr>
        <w:instrText xml:space="preserve"> HYPERLINK \l "_Toc12977" </w:instrText>
      </w:r>
      <w:r>
        <w:rPr>
          <w:color w:val="auto"/>
        </w:rPr>
        <w:fldChar w:fldCharType="separate"/>
      </w:r>
      <w:r>
        <w:rPr>
          <w:rFonts w:hint="eastAsia"/>
          <w:color w:val="auto"/>
        </w:rPr>
        <w:t>十一、反商业贿赂承诺书</w:t>
      </w:r>
      <w:r>
        <w:rPr>
          <w:color w:val="auto"/>
        </w:rPr>
        <w:tab/>
      </w:r>
      <w:r>
        <w:rPr>
          <w:color w:val="auto"/>
        </w:rPr>
        <w:fldChar w:fldCharType="end"/>
      </w:r>
      <w:r>
        <w:rPr>
          <w:rFonts w:hint="eastAsia"/>
          <w:color w:val="auto"/>
        </w:rPr>
        <w:t>44</w:t>
      </w:r>
    </w:p>
    <w:p>
      <w:pPr>
        <w:pStyle w:val="17"/>
        <w:tabs>
          <w:tab w:val="right" w:leader="dot" w:pos="9733"/>
        </w:tabs>
        <w:rPr>
          <w:rFonts w:ascii="宋体" w:hAnsi="宋体"/>
          <w:color w:val="auto"/>
          <w:szCs w:val="21"/>
        </w:rPr>
      </w:pPr>
      <w:r>
        <w:rPr>
          <w:color w:val="auto"/>
        </w:rPr>
        <w:fldChar w:fldCharType="begin"/>
      </w:r>
      <w:r>
        <w:rPr>
          <w:color w:val="auto"/>
        </w:rPr>
        <w:instrText xml:space="preserve"> HYPERLINK \l "_Toc3090" </w:instrText>
      </w:r>
      <w:r>
        <w:rPr>
          <w:color w:val="auto"/>
        </w:rPr>
        <w:fldChar w:fldCharType="separate"/>
      </w:r>
      <w:r>
        <w:rPr>
          <w:rFonts w:hint="eastAsia" w:ascii="宋体"/>
          <w:color w:val="auto"/>
          <w:szCs w:val="28"/>
        </w:rPr>
        <w:t>十二、资 格 证 明 文 件</w:t>
      </w:r>
      <w:r>
        <w:rPr>
          <w:color w:val="auto"/>
        </w:rPr>
        <w:tab/>
      </w:r>
      <w:r>
        <w:rPr>
          <w:color w:val="auto"/>
        </w:rPr>
        <w:fldChar w:fldCharType="end"/>
      </w:r>
      <w:r>
        <w:rPr>
          <w:rFonts w:hint="eastAsia"/>
          <w:color w:val="auto"/>
        </w:rPr>
        <w:t>45</w:t>
      </w:r>
    </w:p>
    <w:p>
      <w:pPr>
        <w:jc w:val="left"/>
        <w:rPr>
          <w:color w:val="auto"/>
        </w:rPr>
      </w:pPr>
      <w:r>
        <w:rPr>
          <w:rFonts w:hint="eastAsia" w:ascii="宋体" w:hAnsi="宋体"/>
          <w:color w:val="auto"/>
          <w:szCs w:val="21"/>
        </w:rPr>
        <w:t xml:space="preserve">    </w:t>
      </w:r>
      <w:r>
        <w:rPr>
          <w:color w:val="auto"/>
        </w:rPr>
        <w:fldChar w:fldCharType="begin"/>
      </w:r>
      <w:r>
        <w:rPr>
          <w:color w:val="auto"/>
        </w:rPr>
        <w:instrText xml:space="preserve"> HYPERLINK \l "_Toc15073" </w:instrText>
      </w:r>
      <w:r>
        <w:rPr>
          <w:color w:val="auto"/>
        </w:rPr>
        <w:fldChar w:fldCharType="separate"/>
      </w:r>
      <w:r>
        <w:rPr>
          <w:rFonts w:hint="eastAsia" w:ascii="宋体"/>
          <w:color w:val="auto"/>
          <w:szCs w:val="28"/>
        </w:rPr>
        <w:t>十三、中小企业声明函</w:t>
      </w:r>
      <w:r>
        <w:rPr>
          <w:rFonts w:hint="eastAsia"/>
          <w:color w:val="auto"/>
          <w:u w:val="dotted"/>
        </w:rPr>
        <w:t xml:space="preserve">                                                                   </w:t>
      </w:r>
      <w:r>
        <w:rPr>
          <w:rFonts w:hint="eastAsia"/>
          <w:color w:val="auto"/>
          <w:u w:val="dotted"/>
        </w:rPr>
        <w:fldChar w:fldCharType="end"/>
      </w:r>
      <w:r>
        <w:rPr>
          <w:rFonts w:hint="eastAsia"/>
          <w:color w:val="auto"/>
          <w:u w:val="dotted"/>
        </w:rPr>
        <w:t>46</w:t>
      </w:r>
    </w:p>
    <w:p>
      <w:pPr>
        <w:pStyle w:val="17"/>
        <w:tabs>
          <w:tab w:val="right" w:leader="dot" w:pos="9733"/>
        </w:tabs>
        <w:rPr>
          <w:rFonts w:ascii="宋体"/>
          <w:color w:val="auto"/>
          <w:szCs w:val="28"/>
        </w:rPr>
      </w:pPr>
      <w:r>
        <w:rPr>
          <w:color w:val="auto"/>
        </w:rPr>
        <w:fldChar w:fldCharType="begin"/>
      </w:r>
      <w:r>
        <w:rPr>
          <w:color w:val="auto"/>
        </w:rPr>
        <w:instrText xml:space="preserve"> HYPERLINK \l "_Toc15073" </w:instrText>
      </w:r>
      <w:r>
        <w:rPr>
          <w:color w:val="auto"/>
        </w:rPr>
        <w:fldChar w:fldCharType="separate"/>
      </w:r>
      <w:r>
        <w:rPr>
          <w:rFonts w:hint="eastAsia" w:ascii="宋体"/>
          <w:color w:val="auto"/>
          <w:szCs w:val="28"/>
        </w:rPr>
        <w:t>十四、承诺函</w:t>
      </w:r>
      <w:r>
        <w:rPr>
          <w:rFonts w:hint="eastAsia"/>
          <w:color w:val="auto"/>
          <w:u w:val="dotted"/>
        </w:rPr>
        <w:t xml:space="preserve">                                                                         46</w:t>
      </w:r>
    </w:p>
    <w:p>
      <w:pPr>
        <w:pStyle w:val="17"/>
        <w:tabs>
          <w:tab w:val="right" w:leader="dot" w:pos="9733"/>
        </w:tabs>
        <w:rPr>
          <w:color w:val="auto"/>
        </w:rPr>
      </w:pPr>
      <w:r>
        <w:rPr>
          <w:rFonts w:hint="eastAsia" w:ascii="宋体"/>
          <w:color w:val="auto"/>
          <w:szCs w:val="28"/>
        </w:rPr>
        <w:t>十五、投标人认为需要提供的其它材料</w:t>
      </w:r>
      <w:r>
        <w:rPr>
          <w:color w:val="auto"/>
        </w:rPr>
        <w:tab/>
      </w:r>
      <w:r>
        <w:rPr>
          <w:color w:val="auto"/>
        </w:rPr>
        <w:fldChar w:fldCharType="end"/>
      </w:r>
      <w:r>
        <w:rPr>
          <w:rFonts w:hint="eastAsia"/>
          <w:color w:val="auto"/>
        </w:rPr>
        <w:t>46</w:t>
      </w:r>
    </w:p>
    <w:p>
      <w:pPr>
        <w:spacing w:line="340" w:lineRule="exact"/>
        <w:jc w:val="center"/>
        <w:rPr>
          <w:rFonts w:ascii="宋体" w:hAnsi="宋体"/>
          <w:color w:val="auto"/>
          <w:szCs w:val="21"/>
        </w:rPr>
      </w:pPr>
      <w:r>
        <w:rPr>
          <w:rFonts w:ascii="宋体" w:hAnsi="宋体"/>
          <w:color w:val="auto"/>
          <w:szCs w:val="21"/>
        </w:rPr>
        <w:fldChar w:fldCharType="end"/>
      </w:r>
    </w:p>
    <w:p>
      <w:pPr>
        <w:spacing w:line="440" w:lineRule="exact"/>
        <w:jc w:val="center"/>
        <w:rPr>
          <w:rFonts w:ascii="宋体" w:hAnsi="宋体"/>
          <w:b/>
          <w:color w:val="auto"/>
          <w:szCs w:val="21"/>
        </w:rPr>
      </w:pPr>
    </w:p>
    <w:p>
      <w:pPr>
        <w:pStyle w:val="2"/>
        <w:spacing w:line="440" w:lineRule="exact"/>
        <w:jc w:val="both"/>
        <w:rPr>
          <w:rFonts w:ascii="方正黑体简体" w:eastAsia="方正黑体简体"/>
          <w:color w:val="auto"/>
          <w:sz w:val="44"/>
          <w:szCs w:val="44"/>
        </w:rPr>
      </w:pPr>
    </w:p>
    <w:p>
      <w:pPr>
        <w:pStyle w:val="2"/>
        <w:numPr>
          <w:ilvl w:val="0"/>
          <w:numId w:val="2"/>
        </w:numPr>
        <w:spacing w:line="440" w:lineRule="exact"/>
        <w:rPr>
          <w:rFonts w:ascii="方正黑体简体" w:eastAsia="方正黑体简体"/>
          <w:color w:val="auto"/>
          <w:sz w:val="44"/>
          <w:szCs w:val="44"/>
        </w:rPr>
      </w:pPr>
      <w:bookmarkStart w:id="1" w:name="_Toc9070"/>
      <w:r>
        <w:rPr>
          <w:rFonts w:hint="eastAsia" w:ascii="方正黑体简体" w:eastAsia="方正黑体简体"/>
          <w:color w:val="auto"/>
          <w:sz w:val="44"/>
          <w:szCs w:val="44"/>
        </w:rPr>
        <w:t>招标公告</w:t>
      </w:r>
      <w:bookmarkEnd w:id="1"/>
    </w:p>
    <w:p>
      <w:pPr>
        <w:pStyle w:val="19"/>
        <w:shd w:val="clear" w:color="auto" w:fill="FFFFFF"/>
        <w:spacing w:before="0" w:beforeAutospacing="0" w:after="0" w:afterAutospacing="0" w:line="460" w:lineRule="exact"/>
        <w:jc w:val="center"/>
        <w:rPr>
          <w:rFonts w:ascii="微软雅黑" w:hAnsi="微软雅黑" w:eastAsia="微软雅黑" w:cs="微软雅黑"/>
          <w:color w:val="auto"/>
          <w:sz w:val="18"/>
          <w:szCs w:val="18"/>
        </w:rPr>
      </w:pPr>
      <w:r>
        <w:rPr>
          <w:rFonts w:hint="eastAsia"/>
          <w:b/>
          <w:color w:val="auto"/>
          <w:sz w:val="32"/>
          <w:szCs w:val="32"/>
          <w:shd w:val="clear" w:color="auto" w:fill="FFFFFF"/>
        </w:rPr>
        <w:t>温县公安交通警察大队更新、新增交通信号灯、电子警察、建设智能信号灯指挥平台等交通设施项目招标公告</w:t>
      </w:r>
    </w:p>
    <w:p>
      <w:pPr>
        <w:pStyle w:val="19"/>
        <w:shd w:val="clear" w:color="auto" w:fill="FFFFFF"/>
        <w:spacing w:before="0" w:beforeAutospacing="0" w:after="0" w:afterAutospacing="0" w:line="460" w:lineRule="exact"/>
        <w:rPr>
          <w:color w:val="auto"/>
          <w:sz w:val="21"/>
          <w:szCs w:val="21"/>
          <w:shd w:val="clear" w:color="auto" w:fill="FFFFFF"/>
        </w:rPr>
      </w:pPr>
      <w:r>
        <w:rPr>
          <w:rFonts w:hint="eastAsia"/>
          <w:color w:val="auto"/>
          <w:shd w:val="clear" w:color="auto" w:fill="FFFFFF"/>
        </w:rPr>
        <w:t xml:space="preserve">    </w:t>
      </w:r>
      <w:r>
        <w:rPr>
          <w:rFonts w:hint="eastAsia"/>
          <w:color w:val="auto"/>
          <w:sz w:val="21"/>
          <w:szCs w:val="21"/>
        </w:rPr>
        <w:t>河南方大建设工程管理股份有限公司</w:t>
      </w:r>
      <w:r>
        <w:rPr>
          <w:rFonts w:hint="eastAsia"/>
          <w:color w:val="auto"/>
          <w:sz w:val="21"/>
          <w:szCs w:val="21"/>
          <w:shd w:val="clear" w:color="auto" w:fill="FFFFFF"/>
        </w:rPr>
        <w:t>受</w:t>
      </w:r>
      <w:r>
        <w:rPr>
          <w:rFonts w:hint="eastAsia"/>
          <w:color w:val="auto"/>
          <w:sz w:val="21"/>
          <w:szCs w:val="21"/>
        </w:rPr>
        <w:t>温县公安交通警察大队</w:t>
      </w:r>
      <w:r>
        <w:rPr>
          <w:rFonts w:hint="eastAsia"/>
          <w:color w:val="auto"/>
          <w:sz w:val="21"/>
          <w:szCs w:val="21"/>
          <w:shd w:val="clear" w:color="auto" w:fill="FFFFFF"/>
        </w:rPr>
        <w:t>的委托就温县公安交通警察大队更新、新增交通信号灯、电子警察、建设智能信号灯指挥平台等交通设施项目进行公开招标采购，欢迎符合相关条件的投标人参加投标。</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b/>
          <w:color w:val="auto"/>
          <w:sz w:val="21"/>
          <w:szCs w:val="21"/>
          <w:shd w:val="clear" w:color="auto" w:fill="FFFFFF"/>
        </w:rPr>
        <w:t>一、采购项目名称：</w:t>
      </w:r>
      <w:r>
        <w:rPr>
          <w:rFonts w:hint="eastAsia"/>
          <w:bCs/>
          <w:color w:val="auto"/>
          <w:sz w:val="21"/>
          <w:szCs w:val="21"/>
          <w:shd w:val="clear" w:color="auto" w:fill="FFFFFF"/>
        </w:rPr>
        <w:t>温县公安交通警察大队更新、新增交通信号灯、电子警察、建设智能信号灯指挥平台等交通设施项目</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b/>
          <w:color w:val="auto"/>
          <w:sz w:val="21"/>
          <w:szCs w:val="21"/>
          <w:shd w:val="clear" w:color="auto" w:fill="FFFFFF"/>
        </w:rPr>
        <w:t>二、项目编号：</w:t>
      </w:r>
      <w:r>
        <w:rPr>
          <w:rFonts w:hint="eastAsia"/>
          <w:color w:val="auto"/>
          <w:sz w:val="21"/>
          <w:szCs w:val="21"/>
        </w:rPr>
        <w:t>温交易[2017]35号</w:t>
      </w:r>
      <w:r>
        <w:rPr>
          <w:rFonts w:hint="eastAsia"/>
          <w:color w:val="auto"/>
          <w:sz w:val="21"/>
          <w:szCs w:val="21"/>
          <w:shd w:val="clear" w:color="auto" w:fill="FFFFFF"/>
        </w:rPr>
        <w:t>  采购编号：</w:t>
      </w:r>
      <w:r>
        <w:rPr>
          <w:rFonts w:hint="eastAsia"/>
          <w:color w:val="auto"/>
          <w:sz w:val="21"/>
          <w:szCs w:val="21"/>
        </w:rPr>
        <w:t>温政采[2017]25号</w:t>
      </w:r>
    </w:p>
    <w:p>
      <w:pPr>
        <w:pStyle w:val="19"/>
        <w:shd w:val="clear" w:color="auto" w:fill="FFFFFF"/>
        <w:spacing w:before="0" w:beforeAutospacing="0" w:after="0" w:afterAutospacing="0" w:line="460" w:lineRule="exact"/>
        <w:rPr>
          <w:b/>
          <w:color w:val="auto"/>
          <w:sz w:val="21"/>
          <w:szCs w:val="21"/>
          <w:shd w:val="clear" w:color="auto" w:fill="FFFFFF"/>
        </w:rPr>
      </w:pPr>
      <w:r>
        <w:rPr>
          <w:rFonts w:hint="eastAsia"/>
          <w:b/>
          <w:color w:val="auto"/>
          <w:sz w:val="21"/>
          <w:szCs w:val="21"/>
          <w:shd w:val="clear" w:color="auto" w:fill="FFFFFF"/>
        </w:rPr>
        <w:t>三、采购项目简要说明：</w:t>
      </w:r>
      <w:r>
        <w:rPr>
          <w:rFonts w:hint="eastAsia"/>
          <w:bCs/>
          <w:color w:val="auto"/>
          <w:sz w:val="21"/>
          <w:szCs w:val="21"/>
          <w:shd w:val="clear" w:color="auto" w:fill="FFFFFF"/>
        </w:rPr>
        <w:t>温县公安交通警察大队更新、新增交通信号灯、电子警察、建设智能信号灯指挥平台等交通设施项目主要内容：该项目共分为两个标段：</w:t>
      </w:r>
    </w:p>
    <w:p>
      <w:pPr>
        <w:pStyle w:val="19"/>
        <w:shd w:val="clear" w:color="auto" w:fill="FFFFFF"/>
        <w:spacing w:before="0" w:beforeAutospacing="0" w:after="0" w:afterAutospacing="0" w:line="460" w:lineRule="exact"/>
        <w:rPr>
          <w:bCs/>
          <w:color w:val="auto"/>
          <w:sz w:val="21"/>
          <w:szCs w:val="21"/>
          <w:shd w:val="clear" w:color="auto" w:fill="FFFFFF"/>
        </w:rPr>
      </w:pPr>
      <w:r>
        <w:rPr>
          <w:rFonts w:hint="eastAsia"/>
          <w:bCs/>
          <w:color w:val="auto"/>
          <w:sz w:val="21"/>
          <w:szCs w:val="21"/>
          <w:shd w:val="clear" w:color="auto" w:fill="FFFFFF"/>
        </w:rPr>
        <w:t>一标段：为新增</w:t>
      </w:r>
      <w:r>
        <w:rPr>
          <w:rFonts w:hint="eastAsia"/>
          <w:bCs/>
          <w:color w:val="auto"/>
          <w:sz w:val="21"/>
          <w:szCs w:val="21"/>
          <w:shd w:val="clear" w:color="auto" w:fill="FFFFFF"/>
        </w:rPr>
        <w:t>及</w:t>
      </w:r>
      <w:r>
        <w:rPr>
          <w:rFonts w:hint="eastAsia"/>
          <w:bCs/>
          <w:color w:val="auto"/>
          <w:sz w:val="21"/>
          <w:szCs w:val="21"/>
          <w:shd w:val="clear" w:color="auto" w:fill="FFFFFF"/>
        </w:rPr>
        <w:t>更新信号灯各两处、建设智能交通信号灯指挥平台、安装机动车分道牌、指路牌、施划</w:t>
      </w:r>
      <w:r>
        <w:rPr>
          <w:rFonts w:hint="eastAsia"/>
          <w:bCs/>
          <w:color w:val="auto"/>
          <w:sz w:val="21"/>
          <w:szCs w:val="21"/>
          <w:shd w:val="clear" w:color="auto" w:fill="FFFFFF"/>
        </w:rPr>
        <w:t>信号灯处</w:t>
      </w:r>
      <w:r>
        <w:rPr>
          <w:rFonts w:hint="eastAsia"/>
          <w:bCs/>
          <w:color w:val="auto"/>
          <w:sz w:val="21"/>
          <w:szCs w:val="21"/>
          <w:shd w:val="clear" w:color="auto" w:fill="FFFFFF"/>
        </w:rPr>
        <w:t>热熔标线等；</w:t>
      </w:r>
      <w:r>
        <w:rPr>
          <w:rFonts w:hint="eastAsia"/>
          <w:color w:val="auto"/>
          <w:sz w:val="21"/>
          <w:szCs w:val="21"/>
          <w:shd w:val="clear" w:color="auto" w:fill="FFFFFF"/>
        </w:rPr>
        <w:t>（数量及技术参数详见招标文件）。</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bCs/>
          <w:color w:val="auto"/>
          <w:sz w:val="21"/>
          <w:szCs w:val="21"/>
          <w:shd w:val="clear" w:color="auto" w:fill="FFFFFF"/>
        </w:rPr>
        <w:t>二标段：为电子警察设备。</w:t>
      </w:r>
      <w:r>
        <w:rPr>
          <w:rFonts w:hint="eastAsia"/>
          <w:color w:val="auto"/>
          <w:sz w:val="21"/>
          <w:szCs w:val="21"/>
          <w:shd w:val="clear" w:color="auto" w:fill="FFFFFF"/>
        </w:rPr>
        <w:t>（数量及技术参数详见招标文件）。</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b/>
          <w:color w:val="auto"/>
          <w:sz w:val="21"/>
          <w:szCs w:val="21"/>
          <w:shd w:val="clear" w:color="auto" w:fill="FFFFFF"/>
        </w:rPr>
        <w:t>四、投标人资质要求：</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1、投标人须符合《政府采购法》第二十二条规定的条件，</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（1）具有独立承担民事责任的能力； </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（2）具有良好的商业信誉和健全的财务会计制度； </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（3）具有履行合同所必需的设备和专业技术能力； </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（4）有依法缴纳税收和社会保障资金的良好记录； </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（5）参加政府采购活动前三年内，在经营活动中没有重大违法记录； </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（6）法律、行政法规规定的其他条件。 </w:t>
      </w:r>
    </w:p>
    <w:p>
      <w:pPr>
        <w:pStyle w:val="19"/>
        <w:shd w:val="clear" w:color="auto" w:fill="FFFFFF"/>
        <w:spacing w:before="0" w:beforeAutospacing="0" w:after="0" w:afterAutospacing="0" w:line="460" w:lineRule="exact"/>
        <w:rPr>
          <w:color w:val="auto"/>
          <w:sz w:val="21"/>
          <w:szCs w:val="21"/>
          <w:shd w:val="clear" w:color="auto" w:fill="FFFFFF"/>
        </w:rPr>
      </w:pPr>
      <w:r>
        <w:rPr>
          <w:rFonts w:hint="eastAsia"/>
          <w:color w:val="auto"/>
          <w:sz w:val="21"/>
          <w:szCs w:val="21"/>
          <w:shd w:val="clear" w:color="auto" w:fill="FFFFFF"/>
        </w:rPr>
        <w:t xml:space="preserve">  2、投标人具备独立法人资格，且经营范围符合本项目要求的</w:t>
      </w:r>
      <w:r>
        <w:rPr>
          <w:rFonts w:hint="eastAsia"/>
          <w:color w:val="auto"/>
          <w:sz w:val="21"/>
          <w:szCs w:val="21"/>
          <w:shd w:val="clear" w:color="auto" w:fill="FFFFFF"/>
        </w:rPr>
        <w:t>生产企业或经销商；</w:t>
      </w:r>
    </w:p>
    <w:p>
      <w:pPr>
        <w:pStyle w:val="19"/>
        <w:shd w:val="clear" w:color="auto" w:fill="FFFFFF"/>
        <w:spacing w:before="0" w:beforeAutospacing="0" w:after="0" w:afterAutospacing="0" w:line="440" w:lineRule="exact"/>
        <w:ind w:firstLine="105" w:firstLineChars="50"/>
        <w:rPr>
          <w:color w:val="auto"/>
          <w:sz w:val="21"/>
          <w:szCs w:val="21"/>
          <w:shd w:val="clear" w:color="auto" w:fill="FFFFFF"/>
        </w:rPr>
      </w:pPr>
      <w:r>
        <w:rPr>
          <w:rFonts w:hint="eastAsia"/>
          <w:color w:val="auto"/>
          <w:sz w:val="21"/>
          <w:szCs w:val="21"/>
          <w:shd w:val="clear" w:color="auto" w:fill="FFFFFF"/>
        </w:rPr>
        <w:t xml:space="preserve"> 3、</w:t>
      </w:r>
      <w:r>
        <w:rPr>
          <w:rFonts w:hint="eastAsia"/>
          <w:color w:val="auto"/>
          <w:sz w:val="21"/>
          <w:szCs w:val="21"/>
          <w:shd w:val="clear" w:color="auto" w:fill="FFFFFF"/>
        </w:rPr>
        <w:t>第一标段资质要求：公路交通工程专业承包一级资质（公路机电工程专业分项），安全生产许可证有效期内，拟派建造师具有公路工程或机电工程专业二级（含二级）以上注册建造师证书及有效的安全生产考核合格证书；</w:t>
      </w:r>
    </w:p>
    <w:p>
      <w:pPr>
        <w:pStyle w:val="19"/>
        <w:shd w:val="clear" w:color="auto" w:fill="FFFFFF"/>
        <w:spacing w:before="0" w:beforeAutospacing="0" w:after="0" w:afterAutospacing="0" w:line="440" w:lineRule="exact"/>
        <w:ind w:firstLine="105" w:firstLineChars="50"/>
        <w:rPr>
          <w:color w:val="auto"/>
          <w:sz w:val="21"/>
          <w:szCs w:val="21"/>
          <w:shd w:val="clear" w:color="auto" w:fill="FFFFFF"/>
        </w:rPr>
      </w:pPr>
      <w:r>
        <w:rPr>
          <w:rFonts w:hint="eastAsia"/>
          <w:color w:val="auto"/>
          <w:sz w:val="21"/>
          <w:szCs w:val="21"/>
          <w:shd w:val="clear" w:color="auto" w:fill="FFFFFF"/>
        </w:rPr>
        <w:t>第二标段资质要求：信息系统集成及服务三级及以上资质；</w:t>
      </w:r>
    </w:p>
    <w:p>
      <w:pPr>
        <w:pStyle w:val="19"/>
        <w:shd w:val="clear" w:color="auto" w:fill="FFFFFF"/>
        <w:spacing w:before="0" w:beforeAutospacing="0" w:after="0" w:afterAutospacing="0" w:line="460" w:lineRule="exact"/>
        <w:rPr>
          <w:color w:val="auto"/>
          <w:sz w:val="21"/>
          <w:szCs w:val="21"/>
          <w:shd w:val="clear" w:color="auto" w:fill="FFFFFF"/>
        </w:rPr>
      </w:pPr>
      <w:r>
        <w:rPr>
          <w:rFonts w:hint="eastAsia"/>
          <w:color w:val="auto"/>
          <w:sz w:val="21"/>
          <w:szCs w:val="21"/>
          <w:shd w:val="clear" w:color="auto" w:fill="FFFFFF"/>
        </w:rPr>
        <w:t xml:space="preserve"> </w:t>
      </w:r>
      <w:r>
        <w:rPr>
          <w:rFonts w:hint="eastAsia"/>
          <w:color w:val="auto"/>
          <w:sz w:val="21"/>
          <w:szCs w:val="21"/>
          <w:shd w:val="clear" w:color="auto" w:fill="FFFFFF"/>
        </w:rPr>
        <w:t xml:space="preserve"> 4、第一标段：投标人具有2014年1月1日以来类似交通信号灯业绩，（提供中标通知书、合同原件）；</w:t>
      </w:r>
    </w:p>
    <w:p>
      <w:pPr>
        <w:pStyle w:val="19"/>
        <w:shd w:val="clear" w:color="auto" w:fill="FFFFFF"/>
        <w:spacing w:before="0" w:beforeAutospacing="0" w:after="0" w:afterAutospacing="0" w:line="460" w:lineRule="exact"/>
        <w:rPr>
          <w:color w:val="auto"/>
          <w:sz w:val="21"/>
          <w:szCs w:val="21"/>
          <w:shd w:val="clear" w:color="auto" w:fill="FFFFFF"/>
        </w:rPr>
      </w:pPr>
      <w:r>
        <w:rPr>
          <w:rFonts w:hint="eastAsia"/>
          <w:color w:val="auto"/>
          <w:sz w:val="21"/>
          <w:szCs w:val="21"/>
          <w:shd w:val="clear" w:color="auto" w:fill="FFFFFF"/>
        </w:rPr>
        <w:t xml:space="preserve">     第二标段：投标人具有2014年1月1日以来类似电子警察业绩，（提供中标通知书、合同原件）；</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5、本次招标不接受联合体投标；</w:t>
      </w:r>
    </w:p>
    <w:p>
      <w:pPr>
        <w:pStyle w:val="19"/>
        <w:shd w:val="clear" w:color="auto" w:fill="FFFFFF"/>
        <w:spacing w:before="0" w:beforeAutospacing="0" w:after="0" w:afterAutospacing="0" w:line="460" w:lineRule="exact"/>
        <w:rPr>
          <w:color w:val="auto"/>
          <w:sz w:val="21"/>
          <w:szCs w:val="21"/>
          <w:shd w:val="clear" w:color="auto" w:fill="FFFFFF"/>
        </w:rPr>
      </w:pPr>
      <w:r>
        <w:rPr>
          <w:rFonts w:hint="eastAsia"/>
          <w:color w:val="auto"/>
          <w:sz w:val="21"/>
          <w:szCs w:val="21"/>
          <w:shd w:val="clear" w:color="auto" w:fill="FFFFFF"/>
        </w:rPr>
        <w:t xml:space="preserve">  6、投标人应在开标时提供由企业注册地或项目所在地的检察机关出具的行贿犯罪档案查询结果证明（查询近三年法人、法定代表人、法定代表人委托人）原件，否则取消其投标资格。</w:t>
      </w:r>
    </w:p>
    <w:p>
      <w:pPr>
        <w:pStyle w:val="19"/>
        <w:numPr>
          <w:ilvl w:val="0"/>
          <w:numId w:val="3"/>
        </w:numPr>
        <w:shd w:val="clear" w:color="auto" w:fill="FFFFFF"/>
        <w:spacing w:before="0" w:beforeAutospacing="0" w:after="0" w:afterAutospacing="0" w:line="460" w:lineRule="exact"/>
        <w:rPr>
          <w:b/>
          <w:bCs/>
          <w:color w:val="auto"/>
          <w:sz w:val="21"/>
          <w:szCs w:val="21"/>
          <w:shd w:val="clear" w:color="auto" w:fill="FFFFFF"/>
        </w:rPr>
      </w:pPr>
      <w:r>
        <w:rPr>
          <w:rFonts w:hint="eastAsia"/>
          <w:b/>
          <w:bCs/>
          <w:color w:val="auto"/>
          <w:sz w:val="21"/>
          <w:szCs w:val="21"/>
          <w:shd w:val="clear" w:color="auto" w:fill="FFFFFF"/>
        </w:rPr>
        <w:t>需要落实的政府采购政策</w:t>
      </w:r>
    </w:p>
    <w:p>
      <w:pPr>
        <w:pStyle w:val="19"/>
        <w:shd w:val="clear" w:color="auto" w:fill="FFFFFF"/>
        <w:spacing w:before="0" w:beforeAutospacing="0" w:after="0" w:afterAutospacing="0" w:line="460" w:lineRule="exact"/>
        <w:ind w:firstLine="422" w:firstLineChars="200"/>
        <w:rPr>
          <w:color w:val="auto"/>
          <w:sz w:val="21"/>
          <w:szCs w:val="21"/>
          <w:shd w:val="clear" w:color="auto" w:fill="FFFFFF"/>
        </w:rPr>
      </w:pPr>
      <w:r>
        <w:rPr>
          <w:rFonts w:hint="eastAsia"/>
          <w:b/>
          <w:bCs/>
          <w:color w:val="auto"/>
          <w:sz w:val="21"/>
          <w:szCs w:val="21"/>
          <w:shd w:val="clear" w:color="auto" w:fill="FFFFFF"/>
        </w:rPr>
        <w:t>促进中小企业发展扶持政策、政府强制采购节能产品强制采购、节能产品及环境标志产品优先采购。</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b/>
          <w:color w:val="auto"/>
          <w:sz w:val="21"/>
          <w:szCs w:val="21"/>
          <w:shd w:val="clear" w:color="auto" w:fill="FFFFFF"/>
        </w:rPr>
        <w:t>六、招标信息</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1、报名须知</w:t>
      </w:r>
    </w:p>
    <w:p>
      <w:pPr>
        <w:pStyle w:val="19"/>
        <w:shd w:val="clear" w:color="auto" w:fill="FFFFFF"/>
        <w:spacing w:before="0" w:beforeAutospacing="0" w:after="0" w:afterAutospacing="0" w:line="460" w:lineRule="exact"/>
        <w:rPr>
          <w:color w:val="auto"/>
          <w:sz w:val="21"/>
          <w:szCs w:val="21"/>
          <w:shd w:val="clear" w:color="auto" w:fill="FFFFFF"/>
        </w:rPr>
      </w:pPr>
      <w:r>
        <w:rPr>
          <w:rFonts w:hint="eastAsia"/>
          <w:color w:val="auto"/>
          <w:sz w:val="21"/>
          <w:szCs w:val="21"/>
          <w:shd w:val="clear" w:color="auto" w:fill="FFFFFF"/>
        </w:rPr>
        <w:t xml:space="preserve">  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pStyle w:val="19"/>
        <w:shd w:val="clear" w:color="auto" w:fill="FFFFFF"/>
        <w:spacing w:before="0" w:beforeAutospacing="0" w:after="0" w:afterAutospacing="0" w:line="46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2、报名时间</w:t>
      </w:r>
    </w:p>
    <w:p>
      <w:pPr>
        <w:pStyle w:val="19"/>
        <w:shd w:val="clear" w:color="auto" w:fill="FFFFFF"/>
        <w:spacing w:before="0" w:beforeAutospacing="0" w:after="0" w:afterAutospacing="0" w:line="460" w:lineRule="exact"/>
        <w:rPr>
          <w:color w:val="auto"/>
          <w:sz w:val="21"/>
          <w:szCs w:val="21"/>
          <w:shd w:val="clear" w:color="auto" w:fill="FFFFFF"/>
        </w:rPr>
      </w:pPr>
      <w:r>
        <w:rPr>
          <w:rFonts w:hint="eastAsia"/>
          <w:color w:val="auto"/>
          <w:sz w:val="21"/>
          <w:szCs w:val="21"/>
          <w:shd w:val="clear" w:color="auto" w:fill="FFFFFF"/>
        </w:rPr>
        <w:t xml:space="preserve">  2017年   月   日9时00分-2017年   月   日17时30分（节假日除外）</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3、招标文件的下载</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3.1、2017年   月   日9时00分-2017年   月   日17时30分，通过温县公共资源交易中心网站招标投标交易管理系统在报名后自行下载。</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3.2、通过个人网银购买招标文件，招标文件300元/标段、手续费交易金额的7%，0.5元封底，20元封顶。</w:t>
      </w:r>
    </w:p>
    <w:p>
      <w:pPr>
        <w:pStyle w:val="19"/>
        <w:shd w:val="clear" w:color="auto" w:fill="FFFFFF"/>
        <w:spacing w:before="0" w:beforeAutospacing="0" w:after="0" w:afterAutospacing="0" w:line="440" w:lineRule="exact"/>
        <w:rPr>
          <w:b/>
          <w:color w:val="auto"/>
          <w:sz w:val="21"/>
          <w:szCs w:val="21"/>
          <w:shd w:val="clear" w:color="auto" w:fill="FFFFFF"/>
        </w:rPr>
      </w:pPr>
      <w:r>
        <w:rPr>
          <w:rFonts w:hint="eastAsia"/>
          <w:b/>
          <w:color w:val="auto"/>
          <w:sz w:val="21"/>
          <w:szCs w:val="21"/>
          <w:shd w:val="clear" w:color="auto" w:fill="FFFFFF"/>
        </w:rPr>
        <w:t>七、投标文件的递交</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1、投标文件接收截止时间（投标截止时间，下同）为2017年   月   日   时   分，地点为温县公共资源交易中心三楼开标厅。</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2、逾期送达或者未按要求密封的投标文件，采购人不予受理。</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b/>
          <w:color w:val="auto"/>
          <w:sz w:val="21"/>
          <w:szCs w:val="21"/>
          <w:shd w:val="clear" w:color="auto" w:fill="FFFFFF"/>
        </w:rPr>
        <w:t>八、发布公告的媒介</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本次招标公告同时在《河南省政府采购网》、《温县公共资源交易中心网》上发布。</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b/>
          <w:color w:val="auto"/>
          <w:sz w:val="21"/>
          <w:szCs w:val="21"/>
          <w:shd w:val="clear" w:color="auto" w:fill="FFFFFF"/>
        </w:rPr>
        <w:t>九、其他</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投标保证金的形式：网上在线支付</w:t>
      </w:r>
    </w:p>
    <w:p>
      <w:pPr>
        <w:pStyle w:val="19"/>
        <w:shd w:val="clear" w:color="auto" w:fill="FFFFFF"/>
        <w:spacing w:before="0" w:beforeAutospacing="0" w:after="0" w:afterAutospacing="0" w:line="440" w:lineRule="exact"/>
        <w:rPr>
          <w:color w:val="auto"/>
          <w:sz w:val="21"/>
          <w:szCs w:val="21"/>
          <w:shd w:val="clear" w:color="auto" w:fill="FFFFFF"/>
        </w:rPr>
      </w:pPr>
      <w:r>
        <w:rPr>
          <w:rFonts w:hint="eastAsia"/>
          <w:color w:val="auto"/>
          <w:sz w:val="21"/>
          <w:szCs w:val="21"/>
          <w:shd w:val="clear" w:color="auto" w:fill="FFFFFF"/>
        </w:rPr>
        <w:t xml:space="preserve">  投标保证金的金额：</w:t>
      </w:r>
      <w:r>
        <w:rPr>
          <w:rFonts w:hint="eastAsia"/>
          <w:b/>
          <w:bCs/>
          <w:color w:val="auto"/>
          <w:sz w:val="21"/>
          <w:szCs w:val="21"/>
          <w:shd w:val="clear" w:color="auto" w:fill="FFFFFF"/>
        </w:rPr>
        <w:t>一标段：人民币</w:t>
      </w:r>
      <w:r>
        <w:rPr>
          <w:rFonts w:hint="eastAsia"/>
          <w:b/>
          <w:bCs/>
          <w:color w:val="auto"/>
          <w:sz w:val="21"/>
          <w:szCs w:val="21"/>
          <w:shd w:val="clear" w:color="auto" w:fill="FFFFFF"/>
          <w:lang w:eastAsia="zh-CN"/>
        </w:rPr>
        <w:t>壹万肆仟</w:t>
      </w:r>
      <w:r>
        <w:rPr>
          <w:rFonts w:hint="eastAsia"/>
          <w:b/>
          <w:bCs/>
          <w:color w:val="auto"/>
          <w:sz w:val="21"/>
          <w:szCs w:val="21"/>
          <w:shd w:val="clear" w:color="auto" w:fill="FFFFFF"/>
        </w:rPr>
        <w:t>元整 二标段：人民币</w:t>
      </w:r>
      <w:r>
        <w:rPr>
          <w:rFonts w:hint="eastAsia"/>
          <w:b/>
          <w:bCs/>
          <w:color w:val="auto"/>
          <w:sz w:val="21"/>
          <w:szCs w:val="21"/>
          <w:shd w:val="clear" w:color="auto" w:fill="FFFFFF"/>
          <w:lang w:eastAsia="zh-CN"/>
        </w:rPr>
        <w:t>玖仟伍佰</w:t>
      </w:r>
      <w:r>
        <w:rPr>
          <w:rFonts w:hint="eastAsia"/>
          <w:b/>
          <w:bCs/>
          <w:color w:val="auto"/>
          <w:sz w:val="21"/>
          <w:szCs w:val="21"/>
          <w:shd w:val="clear" w:color="auto" w:fill="FFFFFF"/>
        </w:rPr>
        <w:t>元整</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递交时间：2017年   月   日16时前，以系统确认为准。</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具体详见温县公共资源交易中心文件《温县公共资源交易中心关于面向全国征集电子招投标会员的公告》及《温县公共资源交易中心面向全国征集会员的补充公告》。</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b/>
          <w:color w:val="auto"/>
          <w:sz w:val="21"/>
          <w:szCs w:val="21"/>
          <w:shd w:val="clear" w:color="auto" w:fill="FFFFFF"/>
        </w:rPr>
        <w:t>十、本次采购项目联系事项</w:t>
      </w:r>
    </w:p>
    <w:p>
      <w:pPr>
        <w:pStyle w:val="19"/>
        <w:shd w:val="clear" w:color="auto" w:fill="FFFFFF"/>
        <w:spacing w:before="0" w:beforeAutospacing="0" w:after="0" w:afterAutospacing="0" w:line="440" w:lineRule="exact"/>
        <w:rPr>
          <w:color w:val="auto"/>
          <w:sz w:val="21"/>
          <w:szCs w:val="21"/>
        </w:rPr>
      </w:pPr>
      <w:r>
        <w:rPr>
          <w:rFonts w:hint="eastAsia"/>
          <w:color w:val="auto"/>
          <w:sz w:val="21"/>
          <w:szCs w:val="21"/>
          <w:shd w:val="clear" w:color="auto" w:fill="FFFFFF"/>
        </w:rPr>
        <w:t xml:space="preserve">  采购人：</w:t>
      </w:r>
      <w:r>
        <w:rPr>
          <w:rFonts w:hint="eastAsia"/>
          <w:color w:val="auto"/>
          <w:sz w:val="21"/>
          <w:szCs w:val="21"/>
        </w:rPr>
        <w:t>温县公安交通警察大队</w:t>
      </w:r>
    </w:p>
    <w:p>
      <w:pPr>
        <w:pStyle w:val="19"/>
        <w:shd w:val="clear" w:color="auto" w:fill="FFFFFF"/>
        <w:spacing w:before="0" w:beforeAutospacing="0" w:after="0" w:afterAutospacing="0" w:line="440" w:lineRule="exact"/>
        <w:rPr>
          <w:color w:val="auto"/>
          <w:sz w:val="21"/>
          <w:szCs w:val="21"/>
        </w:rPr>
      </w:pPr>
      <w:r>
        <w:rPr>
          <w:rFonts w:hint="eastAsia"/>
          <w:color w:val="auto"/>
          <w:sz w:val="21"/>
          <w:szCs w:val="21"/>
        </w:rPr>
        <w:t xml:space="preserve">  地  址：温县太行路</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联系人：</w:t>
      </w:r>
      <w:r>
        <w:rPr>
          <w:rFonts w:hint="eastAsia"/>
          <w:color w:val="auto"/>
          <w:sz w:val="21"/>
          <w:szCs w:val="21"/>
        </w:rPr>
        <w:t>郭先生</w:t>
      </w:r>
      <w:r>
        <w:rPr>
          <w:rFonts w:hint="eastAsia"/>
          <w:color w:val="auto"/>
          <w:sz w:val="21"/>
          <w:szCs w:val="21"/>
          <w:shd w:val="clear" w:color="auto" w:fill="FFFFFF"/>
        </w:rPr>
        <w:t>  </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电 话：13849593688</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采购代理机构：</w:t>
      </w:r>
      <w:r>
        <w:rPr>
          <w:rFonts w:hint="eastAsia"/>
          <w:color w:val="auto"/>
          <w:sz w:val="21"/>
          <w:szCs w:val="21"/>
        </w:rPr>
        <w:t>河南方大建设工程管理股份有限公司</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联系人：</w:t>
      </w:r>
      <w:r>
        <w:rPr>
          <w:rFonts w:hint="eastAsia"/>
          <w:color w:val="auto"/>
          <w:sz w:val="21"/>
          <w:szCs w:val="21"/>
        </w:rPr>
        <w:t>娄女士</w:t>
      </w:r>
    </w:p>
    <w:p>
      <w:pPr>
        <w:pStyle w:val="19"/>
        <w:shd w:val="clear" w:color="auto" w:fill="FFFFFF"/>
        <w:spacing w:before="0" w:beforeAutospacing="0" w:after="0" w:afterAutospacing="0" w:line="440" w:lineRule="exact"/>
        <w:rPr>
          <w:rFonts w:ascii="微软雅黑" w:hAnsi="微软雅黑" w:eastAsia="微软雅黑" w:cs="微软雅黑"/>
          <w:color w:val="auto"/>
          <w:sz w:val="21"/>
          <w:szCs w:val="21"/>
        </w:rPr>
      </w:pPr>
      <w:r>
        <w:rPr>
          <w:rFonts w:hint="eastAsia"/>
          <w:color w:val="auto"/>
          <w:sz w:val="21"/>
          <w:szCs w:val="21"/>
          <w:shd w:val="clear" w:color="auto" w:fill="FFFFFF"/>
        </w:rPr>
        <w:t xml:space="preserve">  电 话：0391-2607666</w:t>
      </w:r>
    </w:p>
    <w:p>
      <w:pPr>
        <w:pStyle w:val="19"/>
        <w:shd w:val="clear" w:color="auto" w:fill="FFFFFF"/>
        <w:spacing w:before="0" w:beforeAutospacing="0" w:after="0" w:afterAutospacing="0" w:line="440" w:lineRule="exact"/>
        <w:rPr>
          <w:color w:val="auto"/>
          <w:sz w:val="21"/>
          <w:szCs w:val="21"/>
          <w:shd w:val="clear" w:color="auto" w:fill="FFFFFF"/>
        </w:rPr>
      </w:pPr>
      <w:r>
        <w:rPr>
          <w:rFonts w:hint="eastAsia"/>
          <w:color w:val="auto"/>
          <w:sz w:val="21"/>
          <w:szCs w:val="21"/>
          <w:shd w:val="clear" w:color="auto" w:fill="FFFFFF"/>
        </w:rPr>
        <w:t xml:space="preserve">  监督单位：温县财政局         电  话：0391-6197778</w:t>
      </w:r>
    </w:p>
    <w:p>
      <w:pPr>
        <w:rPr>
          <w:rFonts w:ascii="宋体" w:hAnsi="宋体" w:cs="宋体"/>
          <w:color w:val="auto"/>
          <w:szCs w:val="21"/>
          <w:shd w:val="clear" w:color="auto" w:fill="FFFFFF"/>
        </w:rPr>
      </w:pPr>
    </w:p>
    <w:p>
      <w:pPr>
        <w:rPr>
          <w:rFonts w:ascii="宋体" w:hAnsi="宋体" w:cs="宋体"/>
          <w:color w:val="auto"/>
          <w:szCs w:val="21"/>
          <w:shd w:val="clear" w:color="auto" w:fill="FFFFFF"/>
        </w:rPr>
      </w:pPr>
    </w:p>
    <w:p>
      <w:pPr>
        <w:rPr>
          <w:color w:val="auto"/>
          <w:szCs w:val="21"/>
        </w:rPr>
      </w:pPr>
      <w:r>
        <w:rPr>
          <w:rFonts w:hint="eastAsia" w:ascii="宋体" w:hAnsi="宋体" w:cs="宋体"/>
          <w:color w:val="auto"/>
          <w:szCs w:val="21"/>
          <w:shd w:val="clear" w:color="auto" w:fill="FFFFFF"/>
        </w:rPr>
        <w:t xml:space="preserve">                                                            2017年   月   日</w:t>
      </w:r>
    </w:p>
    <w:p>
      <w:pPr>
        <w:pStyle w:val="2"/>
        <w:spacing w:line="440" w:lineRule="exact"/>
        <w:jc w:val="both"/>
        <w:rPr>
          <w:rFonts w:ascii="方正黑体简体" w:eastAsia="方正黑体简体"/>
          <w:color w:val="auto"/>
          <w:sz w:val="44"/>
          <w:szCs w:val="44"/>
        </w:rPr>
      </w:pPr>
    </w:p>
    <w:p>
      <w:pPr>
        <w:rPr>
          <w:color w:val="auto"/>
        </w:rPr>
      </w:pPr>
    </w:p>
    <w:p>
      <w:pPr>
        <w:pStyle w:val="2"/>
        <w:spacing w:line="440" w:lineRule="exact"/>
        <w:rPr>
          <w:rFonts w:ascii="宋体"/>
          <w:b w:val="0"/>
          <w:color w:val="auto"/>
          <w:szCs w:val="21"/>
        </w:rPr>
      </w:pPr>
      <w:bookmarkStart w:id="2" w:name="_Toc3775"/>
      <w:r>
        <w:rPr>
          <w:rFonts w:hint="eastAsia" w:ascii="方正黑体简体" w:eastAsia="方正黑体简体"/>
          <w:color w:val="auto"/>
          <w:sz w:val="44"/>
          <w:szCs w:val="44"/>
        </w:rPr>
        <w:t>第二章  投标人须知</w:t>
      </w:r>
      <w:bookmarkEnd w:id="2"/>
    </w:p>
    <w:p>
      <w:pPr>
        <w:spacing w:line="440" w:lineRule="exact"/>
        <w:jc w:val="center"/>
        <w:outlineLvl w:val="1"/>
        <w:rPr>
          <w:color w:val="auto"/>
          <w:szCs w:val="21"/>
        </w:rPr>
      </w:pPr>
      <w:bookmarkStart w:id="3" w:name="_Toc8752"/>
      <w:r>
        <w:rPr>
          <w:rFonts w:hint="eastAsia" w:ascii="宋体"/>
          <w:b/>
          <w:color w:val="auto"/>
          <w:sz w:val="28"/>
          <w:szCs w:val="28"/>
        </w:rPr>
        <w:t>投标人须知前附表</w:t>
      </w:r>
      <w:bookmarkEnd w:id="3"/>
    </w:p>
    <w:tbl>
      <w:tblPr>
        <w:tblW w:w="950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9"/>
        <w:gridCol w:w="2883"/>
        <w:gridCol w:w="5610"/>
      </w:tblGrid>
      <w:tr>
        <w:trPr>
          <w:trHeight w:val="51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color w:val="auto"/>
                <w:szCs w:val="21"/>
              </w:rPr>
            </w:pPr>
            <w:r>
              <w:rPr>
                <w:rFonts w:hint="eastAsia"/>
                <w:b/>
                <w:color w:val="auto"/>
                <w:szCs w:val="21"/>
              </w:rPr>
              <w:t>条款号</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color w:val="auto"/>
                <w:szCs w:val="21"/>
              </w:rPr>
            </w:pPr>
            <w:r>
              <w:rPr>
                <w:b/>
                <w:color w:val="auto"/>
                <w:szCs w:val="21"/>
              </w:rPr>
              <w:t>条  款  名  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b/>
                <w:color w:val="auto"/>
                <w:szCs w:val="21"/>
              </w:rPr>
            </w:pPr>
            <w:r>
              <w:rPr>
                <w:b/>
                <w:color w:val="auto"/>
                <w:szCs w:val="21"/>
              </w:rPr>
              <w:t>编  列  内  容</w:t>
            </w:r>
          </w:p>
        </w:tc>
      </w:tr>
      <w:tr>
        <w:trPr>
          <w:trHeight w:val="125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1.1.2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采购人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kern w:val="0"/>
                <w:szCs w:val="21"/>
              </w:rPr>
            </w:pPr>
            <w:r>
              <w:rPr>
                <w:color w:val="auto"/>
                <w:szCs w:val="21"/>
              </w:rPr>
              <w:t>名</w:t>
            </w:r>
            <w:r>
              <w:rPr>
                <w:rFonts w:hint="eastAsia"/>
                <w:color w:val="auto"/>
                <w:szCs w:val="21"/>
              </w:rPr>
              <w:t xml:space="preserve">  </w:t>
            </w:r>
            <w:r>
              <w:rPr>
                <w:color w:val="auto"/>
                <w:szCs w:val="21"/>
              </w:rPr>
              <w:t>称：</w:t>
            </w:r>
            <w:r>
              <w:rPr>
                <w:rFonts w:hint="eastAsia" w:ascii="宋体" w:hAnsi="宋体" w:cs="宋体"/>
                <w:color w:val="auto"/>
                <w:kern w:val="0"/>
                <w:szCs w:val="21"/>
              </w:rPr>
              <w:t>温县公安交通警察大队</w:t>
            </w:r>
          </w:p>
          <w:p>
            <w:pPr>
              <w:spacing w:line="440" w:lineRule="exact"/>
              <w:rPr>
                <w:rFonts w:ascii="宋体" w:hAnsi="宋体" w:cs="宋体"/>
                <w:color w:val="auto"/>
                <w:kern w:val="0"/>
                <w:szCs w:val="21"/>
              </w:rPr>
            </w:pPr>
            <w:r>
              <w:rPr>
                <w:rFonts w:hint="eastAsia" w:ascii="宋体" w:hAnsi="宋体" w:cs="宋体"/>
                <w:color w:val="auto"/>
                <w:kern w:val="0"/>
                <w:szCs w:val="21"/>
              </w:rPr>
              <w:t>地  址：温县太行路</w:t>
            </w:r>
          </w:p>
          <w:p>
            <w:pPr>
              <w:spacing w:line="440" w:lineRule="exact"/>
              <w:rPr>
                <w:color w:val="auto"/>
                <w:szCs w:val="21"/>
                <w:highlight w:val="yellow"/>
                <w:u w:val="single"/>
              </w:rPr>
            </w:pPr>
            <w:r>
              <w:rPr>
                <w:color w:val="auto"/>
                <w:szCs w:val="21"/>
              </w:rPr>
              <w:t>联系人</w:t>
            </w:r>
            <w:r>
              <w:rPr>
                <w:rFonts w:hint="eastAsia" w:ascii="宋体" w:hAnsi="宋体" w:cs="宋体"/>
                <w:color w:val="auto"/>
                <w:kern w:val="0"/>
                <w:szCs w:val="21"/>
              </w:rPr>
              <w:t>：郭先生</w:t>
            </w:r>
          </w:p>
          <w:p>
            <w:pPr>
              <w:spacing w:line="440" w:lineRule="exact"/>
              <w:rPr>
                <w:color w:val="auto"/>
                <w:szCs w:val="21"/>
                <w:u w:val="single"/>
              </w:rPr>
            </w:pPr>
            <w:r>
              <w:rPr>
                <w:color w:val="auto"/>
                <w:szCs w:val="21"/>
              </w:rPr>
              <w:t>电</w:t>
            </w:r>
            <w:r>
              <w:rPr>
                <w:rFonts w:hint="eastAsia"/>
                <w:color w:val="auto"/>
                <w:szCs w:val="21"/>
              </w:rPr>
              <w:t xml:space="preserve">  </w:t>
            </w:r>
            <w:r>
              <w:rPr>
                <w:color w:val="auto"/>
                <w:szCs w:val="21"/>
              </w:rPr>
              <w:t>话：</w:t>
            </w:r>
            <w:r>
              <w:rPr>
                <w:rFonts w:hint="eastAsia"/>
                <w:color w:val="auto"/>
                <w:szCs w:val="21"/>
              </w:rPr>
              <w:t>13849593688</w:t>
            </w:r>
          </w:p>
        </w:tc>
      </w:tr>
      <w:tr>
        <w:trPr>
          <w:trHeight w:val="137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1.1.3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采购</w:t>
            </w:r>
            <w:r>
              <w:rPr>
                <w:color w:val="auto"/>
                <w:szCs w:val="21"/>
              </w:rPr>
              <w:t>代理机构</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color w:val="auto"/>
                <w:szCs w:val="21"/>
              </w:rPr>
            </w:pPr>
            <w:r>
              <w:rPr>
                <w:color w:val="auto"/>
                <w:szCs w:val="21"/>
              </w:rPr>
              <w:t>名</w:t>
            </w:r>
            <w:r>
              <w:rPr>
                <w:rFonts w:hint="eastAsia"/>
                <w:color w:val="auto"/>
                <w:szCs w:val="21"/>
              </w:rPr>
              <w:t xml:space="preserve">  </w:t>
            </w:r>
            <w:r>
              <w:rPr>
                <w:color w:val="auto"/>
                <w:szCs w:val="21"/>
              </w:rPr>
              <w:t>称：</w:t>
            </w:r>
            <w:r>
              <w:rPr>
                <w:rFonts w:hint="eastAsia"/>
                <w:color w:val="auto"/>
                <w:szCs w:val="21"/>
              </w:rPr>
              <w:t>河南方大建设工程管理股份有限公司</w:t>
            </w:r>
          </w:p>
          <w:p>
            <w:pPr>
              <w:spacing w:line="440" w:lineRule="exact"/>
              <w:rPr>
                <w:color w:val="auto"/>
                <w:szCs w:val="21"/>
              </w:rPr>
            </w:pPr>
            <w:r>
              <w:rPr>
                <w:rFonts w:hint="eastAsia"/>
                <w:color w:val="auto"/>
                <w:szCs w:val="21"/>
              </w:rPr>
              <w:t>地址：焦作市二医院对面平原光电院内一楼</w:t>
            </w:r>
          </w:p>
          <w:p>
            <w:pPr>
              <w:widowControl/>
              <w:spacing w:line="440" w:lineRule="exact"/>
              <w:jc w:val="left"/>
              <w:rPr>
                <w:color w:val="auto"/>
                <w:szCs w:val="21"/>
              </w:rPr>
            </w:pPr>
            <w:r>
              <w:rPr>
                <w:rFonts w:hint="eastAsia"/>
                <w:color w:val="auto"/>
                <w:szCs w:val="21"/>
              </w:rPr>
              <w:t xml:space="preserve">联系人：娄女士 </w:t>
            </w:r>
          </w:p>
          <w:p>
            <w:pPr>
              <w:spacing w:line="440" w:lineRule="exact"/>
              <w:rPr>
                <w:color w:val="auto"/>
                <w:szCs w:val="21"/>
              </w:rPr>
            </w:pPr>
            <w:r>
              <w:rPr>
                <w:rFonts w:hint="eastAsia"/>
                <w:color w:val="auto"/>
                <w:szCs w:val="21"/>
              </w:rPr>
              <w:t>电 话：</w:t>
            </w:r>
            <w:r>
              <w:rPr>
                <w:rFonts w:hint="eastAsia" w:ascii="宋体" w:hAnsi="宋体" w:cs="宋体"/>
                <w:color w:val="auto"/>
                <w:szCs w:val="21"/>
              </w:rPr>
              <w:t>0391-2607666  15203919688</w:t>
            </w:r>
          </w:p>
        </w:tc>
      </w:tr>
      <w:tr>
        <w:trPr>
          <w:trHeight w:val="70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1.1.4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color w:val="auto"/>
                <w:szCs w:val="21"/>
              </w:rPr>
              <w:t>项目名称</w:t>
            </w:r>
            <w:r>
              <w:rPr>
                <w:rFonts w:hint="eastAsia"/>
                <w:color w:val="auto"/>
                <w:szCs w:val="21"/>
              </w:rPr>
              <w:t>及项目编号</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color w:val="auto"/>
              </w:rPr>
            </w:pPr>
            <w:r>
              <w:rPr>
                <w:rFonts w:hint="eastAsia"/>
                <w:color w:val="auto"/>
              </w:rPr>
              <w:t>项目名称：温县公安交通警察大队更新、新增交通信号灯、电子警察、建设智能信号灯指挥平台等交通设施项目（一标段）</w:t>
            </w:r>
          </w:p>
          <w:p>
            <w:pPr>
              <w:spacing w:line="440" w:lineRule="exact"/>
              <w:rPr>
                <w:rFonts w:ascii="宋体" w:hAnsi="宋体" w:cs="宋体"/>
                <w:color w:val="auto"/>
              </w:rPr>
            </w:pPr>
            <w:r>
              <w:rPr>
                <w:rFonts w:hint="eastAsia" w:ascii="宋体" w:hAnsi="宋体" w:cs="宋体"/>
                <w:color w:val="auto"/>
              </w:rPr>
              <w:t>项目编号：温交易[2017]35号</w:t>
            </w:r>
          </w:p>
          <w:p>
            <w:pPr>
              <w:spacing w:line="440" w:lineRule="exact"/>
              <w:rPr>
                <w:color w:val="auto"/>
              </w:rPr>
            </w:pPr>
            <w:r>
              <w:rPr>
                <w:rFonts w:hint="eastAsia" w:ascii="宋体" w:hAnsi="宋体" w:cs="宋体"/>
                <w:color w:val="auto"/>
              </w:rPr>
              <w:t>采购编号：温政采[2017]25号</w:t>
            </w:r>
          </w:p>
        </w:tc>
      </w:tr>
      <w:tr>
        <w:trPr>
          <w:trHeight w:val="38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预算资金</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b/>
                <w:color w:val="auto"/>
                <w:szCs w:val="21"/>
              </w:rPr>
            </w:pPr>
            <w:r>
              <w:rPr>
                <w:rFonts w:hint="eastAsia" w:ascii="宋体" w:hAnsi="宋体" w:cs="宋体"/>
                <w:color w:val="auto"/>
              </w:rPr>
              <w:t>一标段：147.39万元</w:t>
            </w:r>
          </w:p>
        </w:tc>
      </w:tr>
      <w:tr>
        <w:trPr>
          <w:trHeight w:val="44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1.2.2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资金来源</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color w:val="auto"/>
                <w:szCs w:val="21"/>
              </w:rPr>
            </w:pPr>
            <w:r>
              <w:rPr>
                <w:rFonts w:hint="eastAsia"/>
                <w:color w:val="auto"/>
                <w:szCs w:val="21"/>
              </w:rPr>
              <w:t>县财政</w:t>
            </w:r>
          </w:p>
        </w:tc>
      </w:tr>
      <w:tr>
        <w:trPr>
          <w:trHeight w:val="715"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1.3.1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采购内容</w:t>
            </w:r>
          </w:p>
        </w:tc>
        <w:tc>
          <w:tcPr>
            <w:tcW w:w="5610" w:type="dxa"/>
            <w:tcBorders>
              <w:top w:val="single" w:color="auto" w:sz="4" w:space="0"/>
              <w:left w:val="single" w:color="auto" w:sz="4" w:space="0"/>
              <w:bottom w:val="single" w:color="auto" w:sz="4" w:space="0"/>
              <w:right w:val="single" w:color="auto" w:sz="4" w:space="0"/>
            </w:tcBorders>
            <w:vAlign w:val="center"/>
          </w:tcPr>
          <w:p>
            <w:pPr>
              <w:widowControl/>
              <w:autoSpaceDN w:val="0"/>
              <w:spacing w:line="440" w:lineRule="exact"/>
              <w:jc w:val="left"/>
              <w:rPr>
                <w:color w:val="auto"/>
                <w:szCs w:val="21"/>
              </w:rPr>
            </w:pPr>
            <w:r>
              <w:rPr>
                <w:rFonts w:hint="eastAsia"/>
                <w:color w:val="auto"/>
                <w:szCs w:val="21"/>
              </w:rPr>
              <w:t>一标段：为新增</w:t>
            </w:r>
            <w:r>
              <w:rPr>
                <w:rFonts w:hint="eastAsia"/>
                <w:color w:val="auto"/>
                <w:szCs w:val="21"/>
                <w:lang w:eastAsia="zh-CN"/>
              </w:rPr>
              <w:t>及</w:t>
            </w:r>
            <w:r>
              <w:rPr>
                <w:rFonts w:hint="eastAsia"/>
                <w:color w:val="auto"/>
                <w:szCs w:val="21"/>
              </w:rPr>
              <w:t>更新信号灯各两处、建设智能交通信号灯指挥平台、安装机动车分道牌、指路牌、施划</w:t>
            </w:r>
            <w:r>
              <w:rPr>
                <w:rFonts w:hint="eastAsia"/>
                <w:color w:val="auto"/>
                <w:szCs w:val="21"/>
              </w:rPr>
              <w:t>信号灯处</w:t>
            </w:r>
            <w:r>
              <w:rPr>
                <w:rFonts w:hint="eastAsia"/>
                <w:color w:val="auto"/>
                <w:szCs w:val="21"/>
              </w:rPr>
              <w:t xml:space="preserve">热熔标线等；（数量及技术参数详见招标文件）。 </w:t>
            </w:r>
          </w:p>
        </w:tc>
      </w:tr>
      <w:tr>
        <w:trPr>
          <w:trHeight w:val="376"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供货期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color w:val="auto"/>
                <w:szCs w:val="21"/>
              </w:rPr>
            </w:pPr>
            <w:r>
              <w:rPr>
                <w:rFonts w:hint="eastAsia" w:ascii="宋体"/>
                <w:color w:val="auto"/>
                <w:szCs w:val="21"/>
              </w:rPr>
              <w:t>自签订合同之日起</w:t>
            </w:r>
            <w:r>
              <w:rPr>
                <w:rFonts w:hint="eastAsia" w:ascii="宋体"/>
                <w:color w:val="auto"/>
                <w:szCs w:val="21"/>
                <w:u w:val="single"/>
                <w:lang w:val="en-US" w:eastAsia="zh-CN"/>
              </w:rPr>
              <w:t>6</w:t>
            </w:r>
            <w:r>
              <w:rPr>
                <w:rFonts w:hint="eastAsia" w:ascii="宋体"/>
                <w:color w:val="auto"/>
                <w:szCs w:val="21"/>
                <w:u w:val="single"/>
              </w:rPr>
              <w:t>0日</w:t>
            </w:r>
          </w:p>
        </w:tc>
      </w:tr>
      <w:tr>
        <w:trPr>
          <w:trHeight w:val="42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1.3.3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质量要求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color w:val="auto"/>
                <w:szCs w:val="21"/>
                <w:u w:val="single"/>
              </w:rPr>
            </w:pPr>
            <w:r>
              <w:rPr>
                <w:rFonts w:hint="eastAsia"/>
                <w:color w:val="auto"/>
                <w:szCs w:val="21"/>
              </w:rPr>
              <w:t>达到国家和行业现行技术标准，合格</w:t>
            </w:r>
          </w:p>
        </w:tc>
      </w:tr>
      <w:tr>
        <w:trPr>
          <w:trHeight w:val="448"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合格的投标人</w:t>
            </w:r>
          </w:p>
        </w:tc>
        <w:tc>
          <w:tcPr>
            <w:tcW w:w="5610" w:type="dxa"/>
            <w:tcBorders>
              <w:top w:val="single" w:color="auto" w:sz="4" w:space="0"/>
              <w:left w:val="single" w:color="auto" w:sz="4" w:space="0"/>
              <w:bottom w:val="single" w:color="auto" w:sz="4" w:space="0"/>
              <w:right w:val="single" w:color="auto" w:sz="4" w:space="0"/>
            </w:tcBorders>
            <w:vAlign w:val="center"/>
          </w:tcPr>
          <w:p>
            <w:pPr>
              <w:numPr>
                <w:ilvl w:val="0"/>
                <w:numId w:val="4"/>
              </w:numPr>
              <w:spacing w:line="440" w:lineRule="exact"/>
              <w:jc w:val="left"/>
              <w:rPr>
                <w:rFonts w:ascii="宋体" w:hAnsi="宋体" w:cs="宋体"/>
                <w:color w:val="auto"/>
                <w:szCs w:val="21"/>
              </w:rPr>
            </w:pPr>
            <w:r>
              <w:rPr>
                <w:rFonts w:hint="eastAsia" w:ascii="宋体" w:hAnsi="宋体" w:cs="宋体"/>
                <w:color w:val="auto"/>
                <w:szCs w:val="21"/>
              </w:rPr>
              <w:t>投标单位必须符合《政府采购法》第二十二条之规定；</w:t>
            </w:r>
          </w:p>
          <w:p>
            <w:pPr>
              <w:spacing w:line="440" w:lineRule="exact"/>
              <w:rPr>
                <w:color w:val="auto"/>
                <w:szCs w:val="21"/>
              </w:rPr>
            </w:pPr>
            <w:r>
              <w:rPr>
                <w:rFonts w:hint="eastAsia"/>
                <w:color w:val="auto"/>
                <w:szCs w:val="21"/>
              </w:rPr>
              <w:t xml:space="preserve">（1）具有独立承担民事责任的能力； </w:t>
            </w:r>
          </w:p>
          <w:p>
            <w:pPr>
              <w:spacing w:line="440" w:lineRule="exact"/>
              <w:rPr>
                <w:color w:val="auto"/>
                <w:szCs w:val="21"/>
              </w:rPr>
            </w:pPr>
            <w:r>
              <w:rPr>
                <w:rFonts w:hint="eastAsia"/>
                <w:color w:val="auto"/>
                <w:szCs w:val="21"/>
              </w:rPr>
              <w:t xml:space="preserve">（2）具有良好的商业信誉和健全的财务会计制度； </w:t>
            </w:r>
          </w:p>
          <w:p>
            <w:pPr>
              <w:spacing w:line="440" w:lineRule="exact"/>
              <w:rPr>
                <w:color w:val="auto"/>
                <w:szCs w:val="21"/>
              </w:rPr>
            </w:pPr>
            <w:r>
              <w:rPr>
                <w:rFonts w:hint="eastAsia"/>
                <w:color w:val="auto"/>
                <w:szCs w:val="21"/>
              </w:rPr>
              <w:t xml:space="preserve">（3）具有履行合同所必需的设备和专业技术能力； </w:t>
            </w:r>
          </w:p>
          <w:p>
            <w:pPr>
              <w:spacing w:line="440" w:lineRule="exact"/>
              <w:rPr>
                <w:color w:val="auto"/>
                <w:szCs w:val="21"/>
              </w:rPr>
            </w:pPr>
            <w:r>
              <w:rPr>
                <w:rFonts w:hint="eastAsia"/>
                <w:color w:val="auto"/>
                <w:szCs w:val="21"/>
              </w:rPr>
              <w:t xml:space="preserve">（4）有依法缴纳税收和社会保障资金的良好记录； </w:t>
            </w:r>
          </w:p>
          <w:p>
            <w:pPr>
              <w:spacing w:line="440" w:lineRule="exact"/>
              <w:rPr>
                <w:color w:val="auto"/>
                <w:szCs w:val="21"/>
              </w:rPr>
            </w:pPr>
            <w:r>
              <w:rPr>
                <w:rFonts w:hint="eastAsia"/>
                <w:color w:val="auto"/>
                <w:szCs w:val="21"/>
              </w:rPr>
              <w:t xml:space="preserve">（5）参加政府采购活动前三年内，在经营活动中没有重大违法记录； </w:t>
            </w:r>
          </w:p>
          <w:p>
            <w:pPr>
              <w:spacing w:line="440" w:lineRule="exact"/>
              <w:jc w:val="left"/>
              <w:rPr>
                <w:rFonts w:ascii="宋体" w:hAnsi="宋体" w:cs="宋体"/>
                <w:color w:val="auto"/>
                <w:szCs w:val="21"/>
              </w:rPr>
            </w:pPr>
            <w:r>
              <w:rPr>
                <w:rFonts w:hint="eastAsia"/>
                <w:color w:val="auto"/>
                <w:szCs w:val="21"/>
              </w:rPr>
              <w:t>（6）法律、行政法规规定的其他条件。</w:t>
            </w:r>
          </w:p>
          <w:p>
            <w:pPr>
              <w:spacing w:line="440" w:lineRule="exact"/>
              <w:jc w:val="left"/>
              <w:rPr>
                <w:color w:val="auto"/>
                <w:szCs w:val="21"/>
                <w:shd w:val="clear" w:color="auto" w:fill="FFFFFF"/>
              </w:rPr>
            </w:pPr>
            <w:r>
              <w:rPr>
                <w:rFonts w:hint="eastAsia" w:ascii="宋体" w:hAnsi="宋体" w:cs="宋体"/>
                <w:color w:val="auto"/>
                <w:szCs w:val="21"/>
              </w:rPr>
              <w:t>2.</w:t>
            </w:r>
            <w:r>
              <w:rPr>
                <w:rFonts w:hint="eastAsia"/>
                <w:color w:val="auto"/>
                <w:szCs w:val="21"/>
                <w:shd w:val="clear" w:color="auto" w:fill="FFFFFF"/>
              </w:rPr>
              <w:t>投标人具备独立法人资格，且经营范围符合本项目要求的</w:t>
            </w:r>
            <w:r>
              <w:rPr>
                <w:rFonts w:hint="eastAsia"/>
                <w:color w:val="auto"/>
                <w:szCs w:val="21"/>
                <w:shd w:val="clear" w:color="auto" w:fill="FFFFFF"/>
              </w:rPr>
              <w:t>生产企业或经销商</w:t>
            </w:r>
            <w:r>
              <w:rPr>
                <w:rFonts w:hint="eastAsia"/>
                <w:color w:val="auto"/>
                <w:szCs w:val="21"/>
                <w:shd w:val="clear" w:color="auto" w:fill="FFFFFF"/>
              </w:rPr>
              <w:t>；</w:t>
            </w:r>
          </w:p>
          <w:p>
            <w:pPr>
              <w:pStyle w:val="19"/>
              <w:shd w:val="clear" w:color="auto" w:fill="FFFFFF"/>
              <w:spacing w:before="0" w:beforeAutospacing="0" w:after="0" w:afterAutospacing="0" w:line="440" w:lineRule="exact"/>
              <w:rPr>
                <w:color w:val="auto"/>
                <w:szCs w:val="21"/>
                <w:shd w:val="clear" w:color="auto" w:fill="FFFFFF"/>
              </w:rPr>
            </w:pPr>
            <w:r>
              <w:rPr>
                <w:rFonts w:hint="eastAsia"/>
                <w:color w:val="auto"/>
                <w:sz w:val="21"/>
                <w:szCs w:val="21"/>
                <w:shd w:val="clear" w:color="auto" w:fill="FFFFFF"/>
              </w:rPr>
              <w:t>3.</w:t>
            </w:r>
            <w:r>
              <w:rPr>
                <w:rFonts w:hint="eastAsia"/>
                <w:color w:val="auto"/>
                <w:sz w:val="21"/>
                <w:szCs w:val="21"/>
                <w:shd w:val="clear" w:color="auto" w:fill="FFFFFF"/>
              </w:rPr>
              <w:t>公路交通工程专业承包一级资质（公路机电工程专业分项），安全生产许可证有效期内，拟派建造师具有公路工程或机电工程专业二级（含二级）以上注册建造师证书及有效的安全生产考核合格证书；</w:t>
            </w:r>
          </w:p>
          <w:p>
            <w:pPr>
              <w:spacing w:line="440" w:lineRule="exact"/>
              <w:jc w:val="left"/>
              <w:rPr>
                <w:rFonts w:ascii="宋体" w:hAnsi="宋体" w:cs="宋体"/>
                <w:color w:val="auto"/>
                <w:kern w:val="0"/>
                <w:szCs w:val="21"/>
              </w:rPr>
            </w:pPr>
            <w:r>
              <w:rPr>
                <w:rFonts w:hint="eastAsia" w:ascii="宋体" w:hAnsi="宋体" w:cs="宋体"/>
                <w:color w:val="auto"/>
                <w:kern w:val="0"/>
                <w:szCs w:val="21"/>
              </w:rPr>
              <w:t>4.财务要求：近三年财务审计报告(指2013—2015年，新成立企业不足3年的按已有年份计算）。</w:t>
            </w:r>
          </w:p>
          <w:p>
            <w:pPr>
              <w:pStyle w:val="19"/>
              <w:shd w:val="clear" w:color="auto" w:fill="FFFFFF"/>
              <w:spacing w:before="0" w:beforeAutospacing="0" w:after="0" w:afterAutospacing="0" w:line="460" w:lineRule="exact"/>
              <w:rPr>
                <w:color w:val="auto"/>
                <w:szCs w:val="21"/>
              </w:rPr>
            </w:pPr>
            <w:r>
              <w:rPr>
                <w:rFonts w:hint="eastAsia"/>
                <w:color w:val="auto"/>
                <w:sz w:val="21"/>
                <w:szCs w:val="21"/>
              </w:rPr>
              <w:t>5.业绩要求：</w:t>
            </w:r>
            <w:r>
              <w:rPr>
                <w:rFonts w:hint="eastAsia"/>
                <w:color w:val="auto"/>
                <w:sz w:val="21"/>
                <w:szCs w:val="21"/>
              </w:rPr>
              <w:t>投标人具有2014年1月1日以来类似交通信号灯业绩，（提供中标通知书、合同原件）；</w:t>
            </w:r>
          </w:p>
          <w:p>
            <w:pPr>
              <w:spacing w:line="440" w:lineRule="exact"/>
              <w:jc w:val="left"/>
              <w:rPr>
                <w:rFonts w:ascii="宋体" w:hAnsi="宋体" w:cs="宋体"/>
                <w:color w:val="auto"/>
                <w:kern w:val="0"/>
                <w:szCs w:val="21"/>
              </w:rPr>
            </w:pPr>
            <w:r>
              <w:rPr>
                <w:rFonts w:hint="eastAsia" w:ascii="宋体" w:hAnsi="宋体" w:cs="宋体"/>
                <w:color w:val="auto"/>
                <w:kern w:val="0"/>
                <w:szCs w:val="21"/>
              </w:rPr>
              <w:t>6.其他要求：（以下证件均为原件于开标时交到工作人员处，否则视为自动放弃投标，不再接收其投标文件）</w:t>
            </w:r>
          </w:p>
          <w:p>
            <w:pPr>
              <w:spacing w:line="440" w:lineRule="exact"/>
              <w:jc w:val="left"/>
              <w:rPr>
                <w:rFonts w:ascii="宋体" w:hAnsi="宋体" w:cs="宋体"/>
                <w:color w:val="auto"/>
                <w:kern w:val="0"/>
                <w:szCs w:val="21"/>
              </w:rPr>
            </w:pPr>
            <w:r>
              <w:rPr>
                <w:rFonts w:hint="eastAsia" w:ascii="宋体" w:hAnsi="宋体" w:cs="宋体"/>
                <w:color w:val="auto"/>
                <w:kern w:val="0"/>
                <w:szCs w:val="21"/>
              </w:rPr>
              <w:t>（1）法人持法定代表人身份证及身份证复印件（复印件须加盖公章）或授权委托人持法人授权委托书及本人身份</w:t>
            </w:r>
          </w:p>
          <w:p>
            <w:pPr>
              <w:spacing w:line="440" w:lineRule="exact"/>
              <w:jc w:val="left"/>
              <w:rPr>
                <w:rFonts w:ascii="宋体" w:hAnsi="宋体" w:cs="宋体"/>
                <w:color w:val="auto"/>
                <w:kern w:val="0"/>
                <w:szCs w:val="21"/>
              </w:rPr>
            </w:pPr>
            <w:r>
              <w:rPr>
                <w:rFonts w:hint="eastAsia" w:ascii="宋体" w:hAnsi="宋体" w:cs="宋体"/>
                <w:color w:val="auto"/>
                <w:kern w:val="0"/>
                <w:szCs w:val="21"/>
              </w:rPr>
              <w:t>证（复印件须加盖公章）</w:t>
            </w:r>
          </w:p>
          <w:p>
            <w:pPr>
              <w:spacing w:line="440" w:lineRule="exact"/>
              <w:jc w:val="left"/>
              <w:rPr>
                <w:rFonts w:ascii="宋体" w:hAnsi="宋体" w:cs="宋体"/>
                <w:color w:val="auto"/>
                <w:kern w:val="0"/>
                <w:szCs w:val="21"/>
              </w:rPr>
            </w:pPr>
            <w:r>
              <w:rPr>
                <w:rFonts w:hint="eastAsia" w:ascii="宋体" w:hAnsi="宋体" w:cs="宋体"/>
                <w:color w:val="auto"/>
                <w:kern w:val="0"/>
                <w:szCs w:val="21"/>
              </w:rPr>
              <w:t>（2）投标人应在开标时提供由企业注册地或项目所在地的检察机关出具的行贿犯罪档案查询结果证明（查询近三年来法人、法定代表人、法定代表人委托人）原件。</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1.4.2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color w:val="auto"/>
                <w:szCs w:val="21"/>
              </w:rPr>
              <w:t>是否接受联合体投标</w:t>
            </w:r>
          </w:p>
        </w:tc>
        <w:tc>
          <w:tcPr>
            <w:tcW w:w="5610" w:type="dxa"/>
            <w:tcBorders>
              <w:top w:val="single" w:color="auto" w:sz="4" w:space="0"/>
              <w:left w:val="single" w:color="auto" w:sz="4" w:space="0"/>
              <w:bottom w:val="single" w:color="auto" w:sz="4" w:space="0"/>
              <w:right w:val="single" w:color="auto" w:sz="4" w:space="0"/>
            </w:tcBorders>
            <w:vAlign w:val="center"/>
          </w:tcPr>
          <w:p>
            <w:pPr>
              <w:pStyle w:val="8"/>
              <w:topLinePunct w:val="1"/>
              <w:spacing w:line="440" w:lineRule="exact"/>
              <w:jc w:val="left"/>
              <w:rPr>
                <w:rFonts w:ascii="Times New Roman" w:eastAsia="宋体"/>
                <w:color w:val="auto"/>
                <w:sz w:val="21"/>
                <w:szCs w:val="21"/>
              </w:rPr>
            </w:pPr>
            <w:r>
              <w:rPr>
                <w:rFonts w:hint="eastAsia" w:ascii="Times New Roman" w:eastAsia="宋体"/>
                <w:color w:val="auto"/>
                <w:sz w:val="21"/>
                <w:szCs w:val="21"/>
              </w:rPr>
              <w:t>不接受</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1.5</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是否提供制造厂商授权书</w:t>
            </w:r>
          </w:p>
        </w:tc>
        <w:tc>
          <w:tcPr>
            <w:tcW w:w="5610" w:type="dxa"/>
            <w:tcBorders>
              <w:top w:val="single" w:color="auto" w:sz="4" w:space="0"/>
              <w:left w:val="single" w:color="auto" w:sz="4" w:space="0"/>
              <w:bottom w:val="single" w:color="auto" w:sz="4" w:space="0"/>
              <w:right w:val="single" w:color="auto" w:sz="4" w:space="0"/>
            </w:tcBorders>
            <w:vAlign w:val="center"/>
          </w:tcPr>
          <w:p>
            <w:pPr>
              <w:pStyle w:val="8"/>
              <w:topLinePunct w:val="1"/>
              <w:spacing w:line="440" w:lineRule="exact"/>
              <w:jc w:val="left"/>
              <w:rPr>
                <w:rFonts w:ascii="Times New Roman" w:eastAsia="宋体"/>
                <w:color w:val="auto"/>
                <w:sz w:val="21"/>
                <w:szCs w:val="21"/>
              </w:rPr>
            </w:pPr>
            <w:r>
              <w:rPr>
                <w:rFonts w:hint="eastAsia" w:ascii="Times New Roman" w:eastAsia="宋体"/>
                <w:color w:val="auto"/>
                <w:sz w:val="21"/>
                <w:szCs w:val="21"/>
              </w:rPr>
              <w:t>不需要</w:t>
            </w:r>
          </w:p>
        </w:tc>
      </w:tr>
      <w:tr>
        <w:trPr>
          <w:trHeight w:val="606"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1.7.1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招投标澄清、答疑会</w:t>
            </w:r>
          </w:p>
        </w:tc>
        <w:tc>
          <w:tcPr>
            <w:tcW w:w="5610" w:type="dxa"/>
            <w:tcBorders>
              <w:top w:val="single" w:color="auto" w:sz="4" w:space="0"/>
              <w:left w:val="single" w:color="auto" w:sz="4" w:space="0"/>
              <w:bottom w:val="single" w:color="auto" w:sz="4" w:space="0"/>
              <w:right w:val="single" w:color="auto" w:sz="4" w:space="0"/>
            </w:tcBorders>
            <w:vAlign w:val="center"/>
          </w:tcPr>
          <w:p>
            <w:pPr>
              <w:pStyle w:val="8"/>
              <w:topLinePunct w:val="1"/>
              <w:spacing w:line="440" w:lineRule="exact"/>
              <w:jc w:val="left"/>
              <w:rPr>
                <w:rFonts w:ascii="Times New Roman" w:eastAsia="宋体"/>
                <w:color w:val="auto"/>
                <w:sz w:val="21"/>
                <w:szCs w:val="21"/>
              </w:rPr>
            </w:pPr>
            <w:r>
              <w:rPr>
                <w:rFonts w:hint="eastAsia" w:ascii="Times New Roman" w:eastAsia="宋体"/>
                <w:color w:val="auto"/>
                <w:sz w:val="21"/>
                <w:szCs w:val="21"/>
              </w:rPr>
              <w:t>不召开</w:t>
            </w:r>
          </w:p>
        </w:tc>
      </w:tr>
      <w:tr>
        <w:trPr>
          <w:trHeight w:val="60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1.7.2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color w:val="auto"/>
                <w:szCs w:val="21"/>
              </w:rPr>
              <w:t>投标人提出问题的截止时间</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color w:val="auto"/>
                <w:szCs w:val="21"/>
              </w:rPr>
            </w:pPr>
            <w:r>
              <w:rPr>
                <w:rFonts w:hint="eastAsia" w:ascii="宋体" w:hAnsi="宋体"/>
                <w:color w:val="auto"/>
                <w:szCs w:val="21"/>
              </w:rPr>
              <w:t>递交投标文件截止时间10天前</w:t>
            </w:r>
          </w:p>
        </w:tc>
      </w:tr>
      <w:tr>
        <w:trPr>
          <w:trHeight w:val="632"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1.7.3</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采购人</w:t>
            </w:r>
            <w:r>
              <w:rPr>
                <w:color w:val="auto"/>
                <w:szCs w:val="21"/>
              </w:rPr>
              <w:t>书面澄清的时间</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color w:val="auto"/>
              </w:rPr>
              <w:t>自收到异议之日起5日内</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1.7.4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auto"/>
                <w:szCs w:val="21"/>
              </w:rPr>
            </w:pPr>
            <w:r>
              <w:rPr>
                <w:color w:val="auto"/>
                <w:szCs w:val="21"/>
              </w:rPr>
              <w:t>投标人要求澄清招标文件的截止时间</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rPr>
                <w:color w:val="auto"/>
                <w:szCs w:val="21"/>
              </w:rPr>
            </w:pPr>
            <w:r>
              <w:rPr>
                <w:rFonts w:hint="eastAsia"/>
                <w:color w:val="auto"/>
                <w:szCs w:val="21"/>
              </w:rPr>
              <w:t>同投标人提出问题的截止时间</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1.7.5</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auto"/>
                <w:szCs w:val="21"/>
              </w:rPr>
            </w:pPr>
            <w:r>
              <w:rPr>
                <w:color w:val="auto"/>
                <w:szCs w:val="21"/>
              </w:rPr>
              <w:t>投标人确认收到招标文件澄清的时间</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olor w:val="auto"/>
                <w:szCs w:val="21"/>
              </w:rPr>
            </w:pPr>
            <w:r>
              <w:rPr>
                <w:rFonts w:hint="eastAsia" w:ascii="宋体" w:hAnsi="宋体"/>
                <w:color w:val="auto"/>
                <w:szCs w:val="21"/>
              </w:rPr>
              <w:t>同采购人书面澄清的时间</w:t>
            </w:r>
          </w:p>
        </w:tc>
      </w:tr>
      <w:tr>
        <w:trPr>
          <w:trHeight w:val="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1.7.6</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color w:val="auto"/>
                <w:szCs w:val="21"/>
              </w:rPr>
            </w:pPr>
            <w:r>
              <w:rPr>
                <w:color w:val="auto"/>
                <w:szCs w:val="21"/>
              </w:rPr>
              <w:t>投标人确认收到招标文件修改的时间</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olor w:val="auto"/>
                <w:szCs w:val="21"/>
              </w:rPr>
            </w:pPr>
            <w:r>
              <w:rPr>
                <w:rFonts w:hint="eastAsia" w:ascii="宋体" w:hAnsi="宋体"/>
                <w:color w:val="auto"/>
                <w:szCs w:val="21"/>
              </w:rPr>
              <w:t>同采购人书面澄清的时间</w:t>
            </w:r>
          </w:p>
        </w:tc>
      </w:tr>
      <w:tr>
        <w:trPr>
          <w:trHeight w:val="117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3.2</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color w:val="auto"/>
                <w:szCs w:val="21"/>
              </w:rPr>
              <w:t>投标截止时间</w:t>
            </w:r>
            <w:r>
              <w:rPr>
                <w:rFonts w:hint="eastAsia"/>
                <w:color w:val="auto"/>
                <w:szCs w:val="21"/>
              </w:rPr>
              <w:t>及地点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color w:val="auto"/>
                <w:szCs w:val="21"/>
              </w:rPr>
            </w:pPr>
            <w:r>
              <w:rPr>
                <w:rFonts w:hint="eastAsia"/>
                <w:color w:val="auto"/>
                <w:szCs w:val="21"/>
              </w:rPr>
              <w:t>北京时间：</w:t>
            </w:r>
            <w:r>
              <w:rPr>
                <w:rFonts w:hint="eastAsia"/>
                <w:color w:val="auto"/>
                <w:szCs w:val="21"/>
                <w:u w:val="single"/>
              </w:rPr>
              <w:t>2017</w:t>
            </w:r>
            <w:r>
              <w:rPr>
                <w:rFonts w:hint="eastAsia"/>
                <w:color w:val="auto"/>
                <w:szCs w:val="21"/>
              </w:rPr>
              <w:t>年</w:t>
            </w:r>
            <w:r>
              <w:rPr>
                <w:rFonts w:hint="eastAsia"/>
                <w:color w:val="auto"/>
                <w:szCs w:val="21"/>
                <w:u w:val="single"/>
              </w:rPr>
              <w:t xml:space="preserve">   </w:t>
            </w:r>
            <w:r>
              <w:rPr>
                <w:rFonts w:hint="eastAsia"/>
                <w:color w:val="auto"/>
                <w:szCs w:val="21"/>
              </w:rPr>
              <w:t>月</w:t>
            </w:r>
            <w:r>
              <w:rPr>
                <w:rFonts w:hint="eastAsia"/>
                <w:color w:val="auto"/>
                <w:szCs w:val="21"/>
                <w:u w:val="single"/>
              </w:rPr>
              <w:t xml:space="preserve">    </w:t>
            </w:r>
            <w:r>
              <w:rPr>
                <w:rFonts w:hint="eastAsia"/>
                <w:color w:val="auto"/>
                <w:szCs w:val="21"/>
              </w:rPr>
              <w:t>日</w:t>
            </w:r>
            <w:r>
              <w:rPr>
                <w:rFonts w:hint="eastAsia"/>
                <w:color w:val="auto"/>
                <w:szCs w:val="21"/>
                <w:u w:val="single"/>
              </w:rPr>
              <w:t xml:space="preserve">    </w:t>
            </w:r>
            <w:r>
              <w:rPr>
                <w:rFonts w:hint="eastAsia"/>
                <w:color w:val="auto"/>
                <w:szCs w:val="21"/>
              </w:rPr>
              <w:t>时</w:t>
            </w:r>
            <w:r>
              <w:rPr>
                <w:rFonts w:hint="eastAsia"/>
                <w:color w:val="auto"/>
                <w:szCs w:val="21"/>
                <w:u w:val="single"/>
              </w:rPr>
              <w:t xml:space="preserve">    </w:t>
            </w:r>
            <w:r>
              <w:rPr>
                <w:rFonts w:hint="eastAsia"/>
                <w:color w:val="auto"/>
                <w:szCs w:val="21"/>
              </w:rPr>
              <w:t>分</w:t>
            </w:r>
          </w:p>
          <w:p>
            <w:pPr>
              <w:spacing w:line="440" w:lineRule="exact"/>
              <w:rPr>
                <w:color w:val="auto"/>
                <w:szCs w:val="21"/>
              </w:rPr>
            </w:pPr>
            <w:r>
              <w:rPr>
                <w:color w:val="auto"/>
                <w:szCs w:val="21"/>
              </w:rPr>
              <w:t>地点</w:t>
            </w:r>
            <w:r>
              <w:rPr>
                <w:rFonts w:hint="eastAsia"/>
                <w:color w:val="auto"/>
                <w:szCs w:val="21"/>
              </w:rPr>
              <w:t>：</w:t>
            </w:r>
            <w:r>
              <w:rPr>
                <w:rFonts w:hint="eastAsia" w:ascii="宋体" w:hAnsi="宋体"/>
                <w:color w:val="auto"/>
                <w:szCs w:val="21"/>
              </w:rPr>
              <w:t>温县公共资源交易中心开标厅</w:t>
            </w:r>
          </w:p>
        </w:tc>
      </w:tr>
      <w:tr>
        <w:trPr>
          <w:trHeight w:val="616"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3.4.1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color w:val="auto"/>
                <w:szCs w:val="21"/>
              </w:rPr>
              <w:t>投标有效期</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jc w:val="left"/>
              <w:rPr>
                <w:color w:val="auto"/>
                <w:szCs w:val="21"/>
              </w:rPr>
            </w:pPr>
            <w:r>
              <w:rPr>
                <w:rFonts w:hint="eastAsia"/>
                <w:color w:val="auto"/>
                <w:szCs w:val="21"/>
                <w:u w:val="single"/>
              </w:rPr>
              <w:t xml:space="preserve"> 60</w:t>
            </w:r>
            <w:r>
              <w:rPr>
                <w:rFonts w:hint="eastAsia"/>
                <w:color w:val="auto"/>
                <w:szCs w:val="21"/>
              </w:rPr>
              <w:t>日历天</w:t>
            </w:r>
          </w:p>
        </w:tc>
      </w:tr>
      <w:tr>
        <w:trPr>
          <w:trHeight w:val="564"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3.5.1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color w:val="auto"/>
                <w:szCs w:val="21"/>
              </w:rPr>
            </w:pPr>
            <w:r>
              <w:rPr>
                <w:color w:val="auto"/>
                <w:szCs w:val="21"/>
              </w:rPr>
              <w:t>投标保证金</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ascii="宋体" w:hAnsi="宋体"/>
                <w:b/>
                <w:color w:val="auto"/>
                <w:szCs w:val="21"/>
              </w:rPr>
            </w:pPr>
            <w:r>
              <w:rPr>
                <w:rFonts w:hint="eastAsia" w:ascii="宋体" w:hAnsi="宋体"/>
                <w:color w:val="auto"/>
                <w:szCs w:val="21"/>
              </w:rPr>
              <w:t>投标保证金的形式：</w:t>
            </w:r>
            <w:r>
              <w:rPr>
                <w:rFonts w:hint="eastAsia" w:ascii="宋体" w:hAnsi="宋体"/>
                <w:b/>
                <w:color w:val="auto"/>
                <w:szCs w:val="21"/>
              </w:rPr>
              <w:t>网上在线支付。</w:t>
            </w:r>
          </w:p>
          <w:p>
            <w:pPr>
              <w:spacing w:line="380" w:lineRule="exact"/>
              <w:jc w:val="left"/>
              <w:rPr>
                <w:rFonts w:ascii="宋体" w:hAnsi="宋体"/>
                <w:color w:val="auto"/>
                <w:szCs w:val="21"/>
              </w:rPr>
            </w:pPr>
            <w:r>
              <w:rPr>
                <w:rFonts w:hint="eastAsia" w:ascii="宋体" w:hAnsi="宋体"/>
                <w:color w:val="auto"/>
                <w:szCs w:val="21"/>
              </w:rPr>
              <w:t>网上缴纳投标保证金：通过七家银行：工商银行、交通银行、农业银行、中国银行、建设银行、招商银行、中信银行的企业网银缴纳投标保证金（企业网银支付投标保证金的，前提条件是：企业账户开通网上银行功能，以下四家有特殊要求：中国农业银行：智博版网银（</w:t>
            </w:r>
            <w:r>
              <w:rPr>
                <w:rFonts w:hint="eastAsia" w:ascii="宋体" w:hAnsi="宋体"/>
                <w:color w:val="auto"/>
                <w:szCs w:val="21"/>
              </w:rPr>
              <w:t>必须用智博版网银，智锐版网银不能进行网上支付）</w:t>
            </w:r>
          </w:p>
          <w:p>
            <w:pPr>
              <w:spacing w:line="380" w:lineRule="exact"/>
              <w:jc w:val="left"/>
              <w:rPr>
                <w:rFonts w:ascii="宋体" w:hAnsi="宋体"/>
                <w:color w:val="auto"/>
                <w:szCs w:val="21"/>
              </w:rPr>
            </w:pPr>
            <w:r>
              <w:rPr>
                <w:rFonts w:hint="eastAsia" w:ascii="宋体" w:hAnsi="宋体"/>
                <w:color w:val="auto"/>
                <w:szCs w:val="21"/>
              </w:rPr>
              <w:t>中国建设银行：企业高级版网银（必须用高级版网银）</w:t>
            </w:r>
          </w:p>
          <w:p>
            <w:pPr>
              <w:spacing w:line="380" w:lineRule="exact"/>
              <w:jc w:val="left"/>
              <w:rPr>
                <w:rFonts w:ascii="宋体" w:hAnsi="宋体"/>
                <w:color w:val="auto"/>
                <w:szCs w:val="21"/>
              </w:rPr>
            </w:pPr>
            <w:r>
              <w:rPr>
                <w:rFonts w:hint="eastAsia" w:ascii="宋体" w:hAnsi="宋体"/>
                <w:color w:val="auto"/>
                <w:szCs w:val="21"/>
              </w:rPr>
              <w:t>中国交通银行：管理员在网银中设置操作员权限</w:t>
            </w:r>
          </w:p>
          <w:p>
            <w:pPr>
              <w:spacing w:line="380" w:lineRule="exact"/>
              <w:jc w:val="left"/>
              <w:rPr>
                <w:rFonts w:ascii="宋体" w:hAnsi="宋体"/>
                <w:color w:val="auto"/>
                <w:szCs w:val="21"/>
              </w:rPr>
            </w:pPr>
            <w:r>
              <w:rPr>
                <w:rFonts w:hint="eastAsia" w:ascii="宋体" w:hAnsi="宋体"/>
                <w:color w:val="auto"/>
                <w:szCs w:val="21"/>
              </w:rPr>
              <w:t>中国招商银行：管理员在招行U-Bank软件中设置（用网银</w:t>
            </w:r>
            <w:r>
              <w:rPr>
                <w:rFonts w:hint="eastAsia" w:ascii="宋体" w:hAnsi="宋体"/>
                <w:color w:val="auto"/>
                <w:szCs w:val="21"/>
              </w:rPr>
              <w:t>前先确认客户端已安装</w:t>
            </w:r>
            <w:r>
              <w:rPr>
                <w:rFonts w:hint="eastAsia" w:ascii="宋体" w:hAnsi="宋体"/>
                <w:color w:val="auto"/>
                <w:szCs w:val="21"/>
              </w:rPr>
              <w:t>），手续费15元/笔。</w:t>
            </w:r>
          </w:p>
          <w:p>
            <w:pPr>
              <w:spacing w:line="380" w:lineRule="exact"/>
              <w:jc w:val="left"/>
              <w:rPr>
                <w:rFonts w:ascii="宋体" w:hAnsi="宋体"/>
                <w:color w:val="auto"/>
                <w:szCs w:val="21"/>
              </w:rPr>
            </w:pPr>
            <w:r>
              <w:rPr>
                <w:rFonts w:hint="eastAsia" w:ascii="宋体" w:hAnsi="宋体"/>
                <w:color w:val="auto"/>
                <w:szCs w:val="21"/>
              </w:rPr>
              <w:t>企业网银缴纳咨询电话：客服电话：400 880 9888-8</w:t>
            </w:r>
          </w:p>
          <w:p>
            <w:pPr>
              <w:spacing w:line="380" w:lineRule="exact"/>
              <w:jc w:val="left"/>
              <w:rPr>
                <w:rFonts w:ascii="宋体" w:hAnsi="宋体"/>
                <w:color w:val="auto"/>
                <w:szCs w:val="21"/>
              </w:rPr>
            </w:pPr>
            <w:r>
              <w:rPr>
                <w:rFonts w:hint="eastAsia" w:ascii="宋体" w:hAnsi="宋体"/>
                <w:color w:val="auto"/>
                <w:szCs w:val="21"/>
              </w:rPr>
              <w:t>客服电话：010-58903377/010-58903336</w:t>
            </w:r>
          </w:p>
          <w:p>
            <w:pPr>
              <w:spacing w:line="380" w:lineRule="exact"/>
              <w:jc w:val="left"/>
              <w:rPr>
                <w:rFonts w:ascii="宋体" w:hAnsi="宋体"/>
                <w:color w:val="auto"/>
                <w:szCs w:val="21"/>
              </w:rPr>
            </w:pPr>
            <w:r>
              <w:rPr>
                <w:rFonts w:hint="eastAsia" w:ascii="宋体" w:hAnsi="宋体"/>
                <w:color w:val="auto"/>
                <w:szCs w:val="21"/>
              </w:rPr>
              <w:t>投标保证金金额：</w:t>
            </w:r>
          </w:p>
          <w:p>
            <w:pPr>
              <w:spacing w:line="380" w:lineRule="exact"/>
              <w:rPr>
                <w:b/>
                <w:bCs/>
                <w:color w:val="auto"/>
                <w:szCs w:val="21"/>
                <w:shd w:val="clear" w:color="auto" w:fill="FFFFFF"/>
              </w:rPr>
            </w:pPr>
            <w:r>
              <w:rPr>
                <w:rFonts w:hint="eastAsia" w:ascii="宋体" w:hAnsi="宋体"/>
                <w:color w:val="auto"/>
                <w:szCs w:val="21"/>
              </w:rPr>
              <w:t>人民币：</w:t>
            </w:r>
            <w:r>
              <w:rPr>
                <w:rFonts w:hint="eastAsia"/>
                <w:b/>
                <w:bCs/>
                <w:color w:val="auto"/>
                <w:szCs w:val="21"/>
                <w:shd w:val="clear" w:color="auto" w:fill="FFFFFF"/>
              </w:rPr>
              <w:t>一标段：人民币</w:t>
            </w:r>
            <w:r>
              <w:rPr>
                <w:rFonts w:hint="eastAsia"/>
                <w:b/>
                <w:bCs/>
                <w:color w:val="auto"/>
                <w:szCs w:val="21"/>
                <w:shd w:val="clear" w:color="auto" w:fill="FFFFFF"/>
                <w:lang w:eastAsia="zh-CN"/>
              </w:rPr>
              <w:t>壹万肆仟</w:t>
            </w:r>
            <w:r>
              <w:rPr>
                <w:rFonts w:hint="eastAsia"/>
                <w:b/>
                <w:bCs/>
                <w:color w:val="auto"/>
                <w:szCs w:val="21"/>
                <w:shd w:val="clear" w:color="auto" w:fill="FFFFFF"/>
              </w:rPr>
              <w:t>元整</w:t>
            </w:r>
          </w:p>
          <w:p>
            <w:pPr>
              <w:spacing w:line="380" w:lineRule="exact"/>
              <w:rPr>
                <w:color w:val="auto"/>
              </w:rPr>
            </w:pPr>
            <w:r>
              <w:rPr>
                <w:rFonts w:hint="eastAsia"/>
                <w:color w:val="auto"/>
              </w:rPr>
              <w:t>投标人通过温县招标投标交易管理系统进行自动网上缴纳。</w:t>
            </w:r>
          </w:p>
          <w:p>
            <w:pPr>
              <w:spacing w:line="380" w:lineRule="exact"/>
              <w:jc w:val="left"/>
              <w:rPr>
                <w:rFonts w:ascii="宋体" w:hAnsi="宋体"/>
                <w:color w:val="auto"/>
                <w:szCs w:val="21"/>
              </w:rPr>
            </w:pPr>
            <w:r>
              <w:rPr>
                <w:rFonts w:hint="eastAsia" w:ascii="宋体" w:hAnsi="宋体"/>
                <w:color w:val="auto"/>
                <w:szCs w:val="21"/>
              </w:rPr>
              <w:t>递交时间：投标人必须于2017年   月   日16:00时前，交至指定账户，以温县公共资源交易中心招标投标交易管理系统确认为准。</w:t>
            </w:r>
          </w:p>
          <w:p>
            <w:pPr>
              <w:spacing w:line="380" w:lineRule="exact"/>
              <w:rPr>
                <w:rFonts w:ascii="宋体"/>
                <w:color w:val="auto"/>
                <w:kern w:val="0"/>
                <w:szCs w:val="21"/>
              </w:rPr>
            </w:pPr>
            <w:r>
              <w:rPr>
                <w:rFonts w:hint="eastAsia" w:ascii="宋体" w:hAnsi="宋体"/>
                <w:color w:val="auto"/>
                <w:szCs w:val="21"/>
              </w:rPr>
              <w:t>未按规定和要求提交投标保证金的，按无效投标处理。</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3.7.4</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color w:val="auto"/>
                <w:szCs w:val="21"/>
              </w:rPr>
            </w:pPr>
            <w:r>
              <w:rPr>
                <w:color w:val="auto"/>
                <w:szCs w:val="21"/>
              </w:rPr>
              <w:t>投标文件</w:t>
            </w:r>
            <w:r>
              <w:rPr>
                <w:rFonts w:hint="eastAsia"/>
                <w:color w:val="auto"/>
                <w:szCs w:val="21"/>
              </w:rPr>
              <w:t>正、</w:t>
            </w:r>
            <w:r>
              <w:rPr>
                <w:color w:val="auto"/>
                <w:szCs w:val="21"/>
              </w:rPr>
              <w:t>副本份数</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80" w:lineRule="exact"/>
              <w:rPr>
                <w:color w:val="auto"/>
                <w:szCs w:val="21"/>
              </w:rPr>
            </w:pPr>
            <w:r>
              <w:rPr>
                <w:rFonts w:hint="eastAsia"/>
                <w:color w:val="auto"/>
                <w:szCs w:val="21"/>
              </w:rPr>
              <w:t>正本</w:t>
            </w:r>
            <w:r>
              <w:rPr>
                <w:rFonts w:hint="eastAsia"/>
                <w:color w:val="auto"/>
                <w:szCs w:val="21"/>
                <w:u w:val="single"/>
              </w:rPr>
              <w:t>壹</w:t>
            </w:r>
            <w:r>
              <w:rPr>
                <w:color w:val="auto"/>
                <w:szCs w:val="21"/>
              </w:rPr>
              <w:t>份</w:t>
            </w:r>
            <w:r>
              <w:rPr>
                <w:rFonts w:hint="eastAsia"/>
                <w:color w:val="auto"/>
                <w:szCs w:val="21"/>
              </w:rPr>
              <w:t>，副本</w:t>
            </w:r>
            <w:r>
              <w:rPr>
                <w:rFonts w:hint="eastAsia"/>
                <w:color w:val="auto"/>
                <w:szCs w:val="21"/>
                <w:u w:val="single"/>
              </w:rPr>
              <w:t>陆</w:t>
            </w:r>
            <w:r>
              <w:rPr>
                <w:rFonts w:hint="eastAsia"/>
                <w:color w:val="auto"/>
                <w:szCs w:val="21"/>
              </w:rPr>
              <w:t>份。</w:t>
            </w:r>
          </w:p>
        </w:tc>
      </w:tr>
      <w:tr>
        <w:trPr>
          <w:trHeight w:val="90"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3.1.0</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color w:val="auto"/>
                <w:szCs w:val="21"/>
              </w:rPr>
            </w:pPr>
            <w:r>
              <w:rPr>
                <w:rFonts w:hint="eastAsia"/>
                <w:color w:val="auto"/>
                <w:szCs w:val="21"/>
              </w:rPr>
              <w:t>踏勘现场</w:t>
            </w:r>
          </w:p>
        </w:tc>
        <w:tc>
          <w:tcPr>
            <w:tcW w:w="5610" w:type="dxa"/>
            <w:tcBorders>
              <w:top w:val="single" w:color="auto" w:sz="4" w:space="0"/>
              <w:left w:val="single" w:color="auto" w:sz="4" w:space="0"/>
              <w:bottom w:val="single" w:color="auto" w:sz="4" w:space="0"/>
              <w:right w:val="single" w:color="auto" w:sz="4" w:space="0"/>
            </w:tcBorders>
            <w:vAlign w:val="center"/>
          </w:tcPr>
          <w:p>
            <w:pPr>
              <w:pStyle w:val="8"/>
              <w:spacing w:line="380" w:lineRule="exact"/>
              <w:jc w:val="left"/>
              <w:rPr>
                <w:rFonts w:ascii="Times New Roman" w:eastAsia="宋体"/>
                <w:color w:val="auto"/>
                <w:sz w:val="21"/>
                <w:szCs w:val="21"/>
              </w:rPr>
            </w:pPr>
            <w:r>
              <w:rPr>
                <w:rFonts w:hint="eastAsia" w:ascii="Times New Roman" w:eastAsia="宋体"/>
                <w:color w:val="auto"/>
                <w:sz w:val="21"/>
                <w:szCs w:val="21"/>
              </w:rPr>
              <w:t>不组织，自行踏勘。</w:t>
            </w:r>
          </w:p>
        </w:tc>
      </w:tr>
      <w:tr>
        <w:trPr>
          <w:trHeight w:val="124"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ind w:firstLine="210" w:firstLineChars="100"/>
              <w:rPr>
                <w:color w:val="auto"/>
                <w:szCs w:val="21"/>
              </w:rPr>
            </w:pPr>
            <w:r>
              <w:rPr>
                <w:rFonts w:hint="eastAsia"/>
                <w:color w:val="auto"/>
                <w:szCs w:val="21"/>
              </w:rPr>
              <w:t>4.11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color w:val="auto"/>
                <w:szCs w:val="21"/>
              </w:rPr>
            </w:pPr>
            <w:r>
              <w:rPr>
                <w:color w:val="auto"/>
                <w:szCs w:val="21"/>
              </w:rPr>
              <w:t>装订要求</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80" w:lineRule="exact"/>
              <w:rPr>
                <w:color w:val="auto"/>
                <w:szCs w:val="21"/>
              </w:rPr>
            </w:pPr>
            <w:r>
              <w:rPr>
                <w:rFonts w:hint="eastAsia"/>
                <w:color w:val="auto"/>
                <w:szCs w:val="21"/>
              </w:rPr>
              <w:t>投标文件的正本与副本应采用左侧胶粘方式装订，不得采用活页夹等可随时拆换的方式装订。</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5.1.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color w:val="auto"/>
                <w:szCs w:val="21"/>
              </w:rPr>
            </w:pPr>
            <w:r>
              <w:rPr>
                <w:rFonts w:hint="eastAsia"/>
                <w:color w:val="auto"/>
                <w:szCs w:val="21"/>
              </w:rPr>
              <w:t>开标时间和地点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80" w:lineRule="exact"/>
              <w:rPr>
                <w:color w:val="auto"/>
                <w:szCs w:val="21"/>
              </w:rPr>
            </w:pPr>
            <w:r>
              <w:rPr>
                <w:rFonts w:hint="eastAsia"/>
                <w:color w:val="auto"/>
                <w:szCs w:val="21"/>
              </w:rPr>
              <w:t>同</w:t>
            </w:r>
            <w:r>
              <w:rPr>
                <w:color w:val="auto"/>
                <w:szCs w:val="21"/>
              </w:rPr>
              <w:t>投标截止时间</w:t>
            </w:r>
          </w:p>
          <w:p>
            <w:pPr>
              <w:spacing w:line="380" w:lineRule="exact"/>
              <w:rPr>
                <w:color w:val="auto"/>
                <w:szCs w:val="21"/>
              </w:rPr>
            </w:pPr>
            <w:r>
              <w:rPr>
                <w:color w:val="auto"/>
                <w:szCs w:val="21"/>
              </w:rPr>
              <w:t>地点</w:t>
            </w:r>
            <w:r>
              <w:rPr>
                <w:rFonts w:hint="eastAsia"/>
                <w:color w:val="auto"/>
                <w:szCs w:val="21"/>
              </w:rPr>
              <w:t>：</w:t>
            </w:r>
            <w:r>
              <w:rPr>
                <w:rFonts w:hint="eastAsia" w:ascii="宋体" w:hAnsi="宋体"/>
                <w:color w:val="auto"/>
                <w:szCs w:val="21"/>
              </w:rPr>
              <w:t>温县公共资源交易中心开标厅</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6.1.1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color w:val="auto"/>
                <w:szCs w:val="21"/>
              </w:rPr>
            </w:pPr>
            <w:r>
              <w:rPr>
                <w:rFonts w:hint="eastAsia"/>
                <w:color w:val="auto"/>
                <w:szCs w:val="21"/>
              </w:rPr>
              <w:t>评标委员会的组建</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80" w:lineRule="exact"/>
              <w:rPr>
                <w:color w:val="auto"/>
                <w:szCs w:val="21"/>
                <w:u w:val="single"/>
              </w:rPr>
            </w:pPr>
            <w:r>
              <w:rPr>
                <w:color w:val="auto"/>
                <w:szCs w:val="21"/>
              </w:rPr>
              <w:t>评标委员会</w:t>
            </w:r>
            <w:r>
              <w:rPr>
                <w:rFonts w:hint="eastAsia"/>
                <w:color w:val="auto"/>
                <w:szCs w:val="21"/>
              </w:rPr>
              <w:t>构成:采购人代表</w:t>
            </w:r>
            <w:r>
              <w:rPr>
                <w:rFonts w:hint="eastAsia"/>
                <w:color w:val="auto"/>
                <w:szCs w:val="21"/>
                <w:u w:val="single"/>
              </w:rPr>
              <w:t xml:space="preserve"> 1人</w:t>
            </w:r>
            <w:r>
              <w:rPr>
                <w:rFonts w:hint="eastAsia"/>
                <w:color w:val="auto"/>
                <w:szCs w:val="21"/>
              </w:rPr>
              <w:t>，技术、经济专家</w:t>
            </w:r>
            <w:r>
              <w:rPr>
                <w:rFonts w:hint="eastAsia"/>
                <w:color w:val="auto"/>
                <w:szCs w:val="21"/>
                <w:u w:val="single"/>
              </w:rPr>
              <w:t xml:space="preserve">  4  </w:t>
            </w:r>
            <w:r>
              <w:rPr>
                <w:rFonts w:hint="eastAsia"/>
                <w:color w:val="auto"/>
                <w:szCs w:val="21"/>
              </w:rPr>
              <w:t>人</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6.2.1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color w:val="auto"/>
                <w:szCs w:val="21"/>
              </w:rPr>
            </w:pPr>
            <w:r>
              <w:rPr>
                <w:rFonts w:hint="eastAsia"/>
                <w:color w:val="auto"/>
                <w:szCs w:val="21"/>
              </w:rPr>
              <w:t>评标办法</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80" w:lineRule="exact"/>
              <w:rPr>
                <w:color w:val="auto"/>
                <w:szCs w:val="21"/>
              </w:rPr>
            </w:pPr>
            <w:r>
              <w:rPr>
                <w:rFonts w:hint="eastAsia"/>
                <w:color w:val="auto"/>
                <w:szCs w:val="21"/>
              </w:rPr>
              <w:t>最低价评标法</w:t>
            </w:r>
          </w:p>
        </w:tc>
      </w:tr>
      <w:tr>
        <w:trPr>
          <w:trHeight w:val="501"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color w:val="auto"/>
                <w:szCs w:val="21"/>
              </w:rPr>
            </w:pPr>
            <w:r>
              <w:rPr>
                <w:rFonts w:hint="eastAsia"/>
                <w:color w:val="auto"/>
                <w:szCs w:val="21"/>
              </w:rPr>
              <w:t>7.3.1</w:t>
            </w:r>
          </w:p>
        </w:tc>
        <w:tc>
          <w:tcPr>
            <w:tcW w:w="2883"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color w:val="auto"/>
                <w:szCs w:val="21"/>
              </w:rPr>
            </w:pPr>
            <w:r>
              <w:rPr>
                <w:rFonts w:hint="eastAsia"/>
                <w:color w:val="auto"/>
                <w:szCs w:val="21"/>
              </w:rPr>
              <w:t>履约保证金</w:t>
            </w:r>
          </w:p>
        </w:tc>
        <w:tc>
          <w:tcPr>
            <w:tcW w:w="5610" w:type="dxa"/>
            <w:tcBorders>
              <w:top w:val="single" w:color="auto" w:sz="4" w:space="0"/>
              <w:left w:val="single" w:color="auto" w:sz="4" w:space="0"/>
              <w:bottom w:val="single" w:color="auto" w:sz="4" w:space="0"/>
              <w:right w:val="single" w:color="auto" w:sz="4" w:space="0"/>
            </w:tcBorders>
            <w:vAlign w:val="center"/>
          </w:tcPr>
          <w:p>
            <w:pPr>
              <w:spacing w:line="380" w:lineRule="exact"/>
              <w:rPr>
                <w:rFonts w:ascii="宋体" w:hAnsi="宋体"/>
                <w:color w:val="auto"/>
              </w:rPr>
            </w:pPr>
            <w:r>
              <w:rPr>
                <w:rFonts w:hint="eastAsia" w:ascii="宋体" w:hAnsi="宋体"/>
                <w:color w:val="auto"/>
              </w:rPr>
              <w:t>履约担保的形式：现金或转账。</w:t>
            </w:r>
          </w:p>
          <w:p>
            <w:pPr>
              <w:spacing w:line="380" w:lineRule="exact"/>
              <w:rPr>
                <w:rFonts w:ascii="宋体" w:hAnsi="宋体"/>
                <w:color w:val="auto"/>
              </w:rPr>
            </w:pPr>
            <w:r>
              <w:rPr>
                <w:rFonts w:hint="eastAsia" w:ascii="宋体" w:hAnsi="宋体"/>
                <w:color w:val="auto"/>
              </w:rPr>
              <w:t>履约担保的金额：中标金额的10%</w:t>
            </w:r>
          </w:p>
          <w:p>
            <w:pPr>
              <w:spacing w:line="380" w:lineRule="exact"/>
              <w:jc w:val="left"/>
              <w:rPr>
                <w:color w:val="auto"/>
                <w:szCs w:val="21"/>
              </w:rPr>
            </w:pPr>
            <w:r>
              <w:rPr>
                <w:rFonts w:hint="eastAsia" w:ascii="宋体" w:hAnsi="宋体"/>
                <w:color w:val="auto"/>
              </w:rPr>
              <w:t>中标单位签订合同时需向采购人缴纳履约担保。</w:t>
            </w:r>
          </w:p>
        </w:tc>
      </w:tr>
      <w:tr>
        <w:trPr>
          <w:trHeight w:val="549" w:hRule="atLeast"/>
        </w:trPr>
        <w:tc>
          <w:tcPr>
            <w:tcW w:w="100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Cs/>
                <w:color w:val="auto"/>
                <w:kern w:val="0"/>
                <w:szCs w:val="21"/>
              </w:rPr>
            </w:pPr>
            <w:r>
              <w:rPr>
                <w:rFonts w:hint="eastAsia" w:ascii="宋体" w:hAnsi="宋体" w:cs="宋体"/>
                <w:bCs/>
                <w:color w:val="auto"/>
                <w:kern w:val="0"/>
                <w:szCs w:val="21"/>
              </w:rPr>
              <w:t>9</w:t>
            </w:r>
          </w:p>
        </w:tc>
        <w:tc>
          <w:tcPr>
            <w:tcW w:w="288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bCs/>
                <w:color w:val="auto"/>
                <w:kern w:val="0"/>
                <w:szCs w:val="21"/>
              </w:rPr>
            </w:pPr>
            <w:r>
              <w:rPr>
                <w:rFonts w:hint="eastAsia" w:ascii="宋体" w:hAnsi="宋体" w:cs="宋体"/>
                <w:bCs/>
                <w:color w:val="auto"/>
                <w:kern w:val="0"/>
                <w:szCs w:val="21"/>
              </w:rPr>
              <w:t>需要补充</w:t>
            </w:r>
            <w:r>
              <w:rPr>
                <w:rFonts w:hint="eastAsia" w:ascii="宋体" w:hAnsi="宋体" w:cs="宋体"/>
                <w:bCs/>
                <w:color w:val="auto"/>
                <w:kern w:val="0"/>
                <w:szCs w:val="21"/>
              </w:rPr>
              <w:t>的其他内容</w:t>
            </w:r>
          </w:p>
        </w:tc>
        <w:tc>
          <w:tcPr>
            <w:tcW w:w="5610"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b/>
                <w:bCs/>
                <w:color w:val="auto"/>
                <w:szCs w:val="21"/>
              </w:rPr>
            </w:pPr>
            <w:r>
              <w:rPr>
                <w:rFonts w:hint="eastAsia"/>
                <w:color w:val="auto"/>
                <w:szCs w:val="21"/>
              </w:rPr>
              <w:t>无</w:t>
            </w:r>
          </w:p>
        </w:tc>
      </w:tr>
      <w:tr>
        <w:trPr>
          <w:trHeight w:val="774" w:hRule="atLeast"/>
        </w:trPr>
        <w:tc>
          <w:tcPr>
            <w:tcW w:w="9502"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ind w:firstLine="315" w:firstLineChars="150"/>
              <w:rPr>
                <w:rFonts w:ascii="宋体" w:hAnsi="宋体"/>
                <w:color w:val="auto"/>
                <w:kern w:val="0"/>
                <w:szCs w:val="21"/>
              </w:rPr>
            </w:pPr>
            <w:r>
              <w:rPr>
                <w:rFonts w:hint="eastAsia" w:ascii="宋体" w:hAnsi="宋体"/>
                <w:color w:val="auto"/>
                <w:kern w:val="0"/>
                <w:szCs w:val="21"/>
              </w:rPr>
              <w:t>本招标文件未尽事宜，按《中华人民共和国政府采购法》等法律法规的有关规定执行。</w:t>
            </w:r>
          </w:p>
        </w:tc>
      </w:tr>
    </w:tbl>
    <w:p>
      <w:pPr>
        <w:autoSpaceDE w:val="0"/>
        <w:autoSpaceDN w:val="0"/>
        <w:adjustRightInd w:val="0"/>
        <w:spacing w:line="440" w:lineRule="exact"/>
        <w:jc w:val="left"/>
        <w:outlineLvl w:val="1"/>
        <w:rPr>
          <w:rFonts w:ascii="方正黑体简体" w:hAnsi="宋体" w:eastAsia="方正黑体简体"/>
          <w:b/>
          <w:color w:val="auto"/>
          <w:kern w:val="0"/>
          <w:sz w:val="32"/>
          <w:szCs w:val="32"/>
        </w:rPr>
      </w:pPr>
      <w:bookmarkStart w:id="4" w:name="_Toc26598"/>
      <w:r>
        <w:rPr>
          <w:rFonts w:hint="eastAsia" w:ascii="方正黑体简体" w:hAnsi="宋体" w:eastAsia="方正黑体简体"/>
          <w:b/>
          <w:color w:val="auto"/>
          <w:kern w:val="0"/>
          <w:sz w:val="32"/>
          <w:szCs w:val="32"/>
        </w:rPr>
        <w:t xml:space="preserve"> </w:t>
      </w:r>
    </w:p>
    <w:p>
      <w:pPr>
        <w:autoSpaceDE w:val="0"/>
        <w:autoSpaceDN w:val="0"/>
        <w:adjustRightInd w:val="0"/>
        <w:spacing w:line="440" w:lineRule="exact"/>
        <w:jc w:val="left"/>
        <w:outlineLvl w:val="1"/>
        <w:rPr>
          <w:rFonts w:ascii="方正黑体简体" w:hAnsi="宋体" w:eastAsia="方正黑体简体"/>
          <w:b/>
          <w:color w:val="auto"/>
          <w:kern w:val="0"/>
          <w:sz w:val="32"/>
          <w:szCs w:val="32"/>
        </w:rPr>
      </w:pPr>
      <w:r>
        <w:rPr>
          <w:rFonts w:hint="eastAsia" w:ascii="方正黑体简体" w:hAnsi="宋体" w:eastAsia="方正黑体简体"/>
          <w:b/>
          <w:color w:val="auto"/>
          <w:kern w:val="0"/>
          <w:sz w:val="32"/>
          <w:szCs w:val="32"/>
        </w:rPr>
        <w:t xml:space="preserve"> 1.总则</w:t>
      </w:r>
      <w:bookmarkEnd w:id="4"/>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1.1 招标概况</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1.1.1根据《中华人民共和国政府采购法》《中华人民共和国招标投标法》等有关法律、法规和规章的规定，本招标项目已具备招标条件，现对本项目进行公开招标。</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1.1.2本招标项目采购人：见投标人须知前附表。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1.1.3本招标项目招标代理机构：见投标人须知前附表。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1.1.4本招标项目名称和项目编号：见投标人须知前附表。</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1.2  资金来源</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1.2.1本招标项目预算资金：见投标人须知前附表。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1.2.2本招标项目的资金来源：见投标人须知前附表。</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1.3  项目内容、供货期限和质量要求</w:t>
      </w:r>
    </w:p>
    <w:p>
      <w:pPr>
        <w:spacing w:line="440" w:lineRule="exact"/>
        <w:rPr>
          <w:rFonts w:ascii="宋体"/>
          <w:color w:val="auto"/>
          <w:szCs w:val="21"/>
        </w:rPr>
      </w:pPr>
      <w:r>
        <w:rPr>
          <w:rFonts w:hint="eastAsia" w:ascii="宋体"/>
          <w:b/>
          <w:color w:val="auto"/>
          <w:kern w:val="0"/>
          <w:szCs w:val="21"/>
        </w:rPr>
        <w:t xml:space="preserve">    </w:t>
      </w:r>
      <w:r>
        <w:rPr>
          <w:rFonts w:hint="eastAsia" w:ascii="宋体" w:hAnsi="宋体"/>
          <w:color w:val="auto"/>
          <w:kern w:val="0"/>
          <w:szCs w:val="21"/>
        </w:rPr>
        <w:t>1.3.1本招标项目内容（货物名称、规格型号和数量）：见第四章招标项目内容和参数及服务要求。</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1.3.2本招标项目供货期限：见投标人须知前附表。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1.3.3本招标项目质量要求：见投标人须知前附表。</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1.4  合格的投标人</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1.4.1合格投标人应具备的资质条件、能力和信誉。</w:t>
      </w:r>
    </w:p>
    <w:p>
      <w:pPr>
        <w:numPr>
          <w:ilvl w:val="0"/>
          <w:numId w:val="5"/>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资质条件：见投标人须知前附表；</w:t>
      </w:r>
    </w:p>
    <w:p>
      <w:pPr>
        <w:numPr>
          <w:ilvl w:val="0"/>
          <w:numId w:val="5"/>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财务要求：见投标人须知前附表；</w:t>
      </w:r>
    </w:p>
    <w:p>
      <w:pPr>
        <w:numPr>
          <w:ilvl w:val="0"/>
          <w:numId w:val="5"/>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业绩要求: 见投标人须知前附表；</w:t>
      </w:r>
    </w:p>
    <w:p>
      <w:pPr>
        <w:numPr>
          <w:ilvl w:val="0"/>
          <w:numId w:val="5"/>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诚信要求：见投标人须知前附表；</w:t>
      </w:r>
    </w:p>
    <w:p>
      <w:pPr>
        <w:numPr>
          <w:ilvl w:val="0"/>
          <w:numId w:val="5"/>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其他要求：见投标人须知前附表。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1.4.2 投标人须知前附表规</w:t>
      </w:r>
      <w:r>
        <w:rPr>
          <w:rFonts w:hint="eastAsia" w:ascii="宋体" w:hAnsi="宋体"/>
          <w:color w:val="auto"/>
          <w:kern w:val="0"/>
          <w:szCs w:val="21"/>
        </w:rPr>
        <w:t>定接受联合投标的，</w:t>
      </w:r>
      <w:r>
        <w:rPr>
          <w:rFonts w:hint="eastAsia" w:ascii="宋体" w:hAnsi="宋体"/>
          <w:color w:val="auto"/>
          <w:kern w:val="0"/>
          <w:szCs w:val="21"/>
        </w:rPr>
        <w:t>除应符合本章第1.4.1项和投标人须知前附表的要求外，还应遵守以下规定：</w:t>
      </w:r>
    </w:p>
    <w:p>
      <w:pPr>
        <w:numPr>
          <w:ilvl w:val="0"/>
          <w:numId w:val="6"/>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联合体各方应按招标文件提供的格式签订《共同投标协议》，明确主办方和各方的分工与职责，明确中标后联合体各方将向采购人承担连带责任。</w:t>
      </w:r>
    </w:p>
    <w:p>
      <w:pPr>
        <w:numPr>
          <w:ilvl w:val="0"/>
          <w:numId w:val="6"/>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由同一专业的单位组成的联合体，按照资质等级较低的单位确定联合体资质等级。</w:t>
      </w:r>
    </w:p>
    <w:p>
      <w:pPr>
        <w:numPr>
          <w:ilvl w:val="0"/>
          <w:numId w:val="6"/>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采购人根据招标项目的特殊要求规定投标人特定条件的，联合体各方中至少应当有一方符合采购规定的特定条件。</w:t>
      </w:r>
    </w:p>
    <w:p>
      <w:pPr>
        <w:numPr>
          <w:ilvl w:val="0"/>
          <w:numId w:val="6"/>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联合体各方不得再以自己名义单独或参加其他联合体在同一标段中投标。</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1.4.3 投标人不得存在下列情形之一：</w:t>
      </w:r>
    </w:p>
    <w:p>
      <w:pPr>
        <w:numPr>
          <w:ilvl w:val="0"/>
          <w:numId w:val="7"/>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为本项目前期准备提供设计或咨询服务的；</w:t>
      </w:r>
    </w:p>
    <w:p>
      <w:pPr>
        <w:numPr>
          <w:ilvl w:val="0"/>
          <w:numId w:val="7"/>
        </w:num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参加政府采购活动前三年内有重大违法记录的；</w:t>
      </w:r>
    </w:p>
    <w:p>
      <w:pPr>
        <w:numPr>
          <w:ilvl w:val="0"/>
          <w:numId w:val="7"/>
        </w:num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投标人之间或投标人与采购人之间相互串通的。</w:t>
      </w:r>
    </w:p>
    <w:p>
      <w:pPr>
        <w:autoSpaceDE w:val="0"/>
        <w:autoSpaceDN w:val="0"/>
        <w:adjustRightInd w:val="0"/>
        <w:spacing w:line="460" w:lineRule="exact"/>
        <w:ind w:firstLine="482" w:firstLineChars="200"/>
        <w:jc w:val="left"/>
        <w:rPr>
          <w:rFonts w:ascii="宋体" w:hAnsi="宋体"/>
          <w:b/>
          <w:color w:val="auto"/>
          <w:kern w:val="0"/>
          <w:sz w:val="24"/>
        </w:rPr>
      </w:pPr>
      <w:r>
        <w:rPr>
          <w:rFonts w:hint="eastAsia" w:ascii="宋体" w:hAnsi="宋体"/>
          <w:b/>
          <w:color w:val="auto"/>
          <w:kern w:val="0"/>
          <w:sz w:val="24"/>
        </w:rPr>
        <w:t>1.5 合格的货物和相关服务</w:t>
      </w:r>
    </w:p>
    <w:p>
      <w:p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1.5.1 具体详见第四章招标项目概况和参数及服务要求。</w:t>
      </w:r>
    </w:p>
    <w:p>
      <w:pPr>
        <w:autoSpaceDE w:val="0"/>
        <w:autoSpaceDN w:val="0"/>
        <w:adjustRightInd w:val="0"/>
        <w:spacing w:line="460" w:lineRule="exact"/>
        <w:ind w:firstLine="482" w:firstLineChars="200"/>
        <w:jc w:val="left"/>
        <w:rPr>
          <w:rFonts w:ascii="宋体" w:hAnsi="宋体"/>
          <w:b/>
          <w:color w:val="auto"/>
          <w:kern w:val="0"/>
          <w:sz w:val="24"/>
        </w:rPr>
      </w:pPr>
      <w:r>
        <w:rPr>
          <w:rFonts w:hint="eastAsia" w:ascii="宋体" w:hAnsi="宋体"/>
          <w:b/>
          <w:color w:val="auto"/>
          <w:kern w:val="0"/>
          <w:sz w:val="24"/>
        </w:rPr>
        <w:t>1.6 保密</w:t>
      </w:r>
    </w:p>
    <w:p>
      <w:p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参与招投标活动的各方应对招标文件和投标文件中的商业和技术等秘密保密，违者应对由此造成的后果承担法律责任。</w:t>
      </w:r>
    </w:p>
    <w:p>
      <w:pPr>
        <w:autoSpaceDE w:val="0"/>
        <w:autoSpaceDN w:val="0"/>
        <w:adjustRightInd w:val="0"/>
        <w:spacing w:line="460" w:lineRule="exact"/>
        <w:ind w:firstLine="482" w:firstLineChars="200"/>
        <w:jc w:val="left"/>
        <w:rPr>
          <w:rFonts w:ascii="宋体" w:hAnsi="宋体"/>
          <w:b/>
          <w:color w:val="auto"/>
          <w:kern w:val="0"/>
          <w:sz w:val="24"/>
        </w:rPr>
      </w:pPr>
      <w:r>
        <w:rPr>
          <w:rFonts w:hint="eastAsia" w:ascii="宋体" w:hAnsi="宋体"/>
          <w:b/>
          <w:color w:val="auto"/>
          <w:kern w:val="0"/>
          <w:sz w:val="24"/>
        </w:rPr>
        <w:t>1.7 招标澄清、答疑会</w:t>
      </w:r>
    </w:p>
    <w:p>
      <w:p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1.7.1 招标澄清、答疑会：见投标人须知前附表。</w:t>
      </w:r>
    </w:p>
    <w:p>
      <w:p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1.7.2 采购人书面澄清的时间：见投标人须知前附表。</w:t>
      </w:r>
    </w:p>
    <w:p>
      <w:pPr>
        <w:numPr>
          <w:ilvl w:val="0"/>
          <w:numId w:val="8"/>
        </w:numPr>
        <w:autoSpaceDE w:val="0"/>
        <w:autoSpaceDN w:val="0"/>
        <w:adjustRightInd w:val="0"/>
        <w:spacing w:line="460" w:lineRule="exact"/>
        <w:ind w:firstLine="360" w:firstLineChars="112"/>
        <w:jc w:val="left"/>
        <w:outlineLvl w:val="1"/>
        <w:rPr>
          <w:rFonts w:ascii="方正黑体简体" w:hAnsi="宋体" w:eastAsia="方正黑体简体"/>
          <w:b/>
          <w:color w:val="auto"/>
          <w:kern w:val="0"/>
          <w:sz w:val="32"/>
          <w:szCs w:val="32"/>
        </w:rPr>
      </w:pPr>
      <w:r>
        <w:rPr>
          <w:rFonts w:hint="eastAsia" w:ascii="方正黑体简体" w:hAnsi="宋体" w:eastAsia="方正黑体简体"/>
          <w:b/>
          <w:color w:val="auto"/>
          <w:kern w:val="0"/>
          <w:sz w:val="32"/>
          <w:szCs w:val="32"/>
        </w:rPr>
        <w:t xml:space="preserve"> </w:t>
      </w:r>
      <w:bookmarkStart w:id="5" w:name="_Toc22039"/>
      <w:r>
        <w:rPr>
          <w:rFonts w:hint="eastAsia" w:ascii="方正黑体简体" w:hAnsi="宋体" w:eastAsia="方正黑体简体"/>
          <w:b/>
          <w:color w:val="auto"/>
          <w:kern w:val="0"/>
          <w:sz w:val="32"/>
          <w:szCs w:val="32"/>
        </w:rPr>
        <w:t>招标文件</w:t>
      </w:r>
      <w:bookmarkEnd w:id="5"/>
    </w:p>
    <w:p>
      <w:pPr>
        <w:numPr>
          <w:ilvl w:val="1"/>
          <w:numId w:val="8"/>
        </w:numPr>
        <w:autoSpaceDE w:val="0"/>
        <w:autoSpaceDN w:val="0"/>
        <w:adjustRightInd w:val="0"/>
        <w:spacing w:line="460" w:lineRule="exact"/>
        <w:jc w:val="left"/>
        <w:rPr>
          <w:rFonts w:ascii="宋体" w:hAnsi="宋体"/>
          <w:b/>
          <w:color w:val="auto"/>
          <w:kern w:val="0"/>
          <w:sz w:val="24"/>
        </w:rPr>
      </w:pPr>
      <w:r>
        <w:rPr>
          <w:rFonts w:hint="eastAsia" w:ascii="宋体" w:hAnsi="宋体"/>
          <w:b/>
          <w:color w:val="auto"/>
          <w:kern w:val="0"/>
          <w:sz w:val="24"/>
        </w:rPr>
        <w:t>招标文件的组成</w:t>
      </w:r>
    </w:p>
    <w:p>
      <w:pPr>
        <w:autoSpaceDE w:val="0"/>
        <w:autoSpaceDN w:val="0"/>
        <w:adjustRightInd w:val="0"/>
        <w:spacing w:line="460" w:lineRule="exact"/>
        <w:jc w:val="left"/>
        <w:rPr>
          <w:rFonts w:ascii="宋体" w:hAnsi="宋体"/>
          <w:color w:val="auto"/>
          <w:kern w:val="0"/>
          <w:szCs w:val="21"/>
        </w:rPr>
      </w:pPr>
      <w:r>
        <w:rPr>
          <w:rFonts w:hint="eastAsia" w:ascii="宋体" w:hAnsi="宋体"/>
          <w:color w:val="auto"/>
          <w:kern w:val="0"/>
          <w:szCs w:val="21"/>
        </w:rPr>
        <w:t xml:space="preserve">   本招标文件包括：</w:t>
      </w:r>
    </w:p>
    <w:p>
      <w:p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（1）招标公告；</w:t>
      </w:r>
    </w:p>
    <w:p>
      <w:pPr>
        <w:numPr>
          <w:ilvl w:val="0"/>
          <w:numId w:val="9"/>
        </w:num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投标人须知及投标人须知前附表；</w:t>
      </w:r>
    </w:p>
    <w:p>
      <w:pPr>
        <w:numPr>
          <w:ilvl w:val="0"/>
          <w:numId w:val="9"/>
        </w:num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评标办法；</w:t>
      </w:r>
    </w:p>
    <w:p>
      <w:pPr>
        <w:numPr>
          <w:ilvl w:val="0"/>
          <w:numId w:val="9"/>
        </w:num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技术标准和要求</w:t>
      </w:r>
    </w:p>
    <w:p>
      <w:pPr>
        <w:numPr>
          <w:ilvl w:val="0"/>
          <w:numId w:val="9"/>
        </w:num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合同条款及格式</w:t>
      </w:r>
    </w:p>
    <w:p>
      <w:pPr>
        <w:numPr>
          <w:ilvl w:val="0"/>
          <w:numId w:val="9"/>
        </w:num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投标文件格式</w:t>
      </w:r>
    </w:p>
    <w:p>
      <w:pPr>
        <w:autoSpaceDE w:val="0"/>
        <w:autoSpaceDN w:val="0"/>
        <w:adjustRightInd w:val="0"/>
        <w:spacing w:line="460" w:lineRule="exact"/>
        <w:ind w:firstLine="420" w:firstLineChars="200"/>
        <w:jc w:val="left"/>
        <w:rPr>
          <w:rFonts w:ascii="宋体" w:hAnsi="宋体"/>
          <w:color w:val="auto"/>
          <w:kern w:val="0"/>
          <w:szCs w:val="21"/>
          <w:highlight w:val="yellow"/>
        </w:rPr>
      </w:pPr>
      <w:r>
        <w:rPr>
          <w:rFonts w:hint="eastAsia" w:ascii="宋体" w:hAnsi="宋体"/>
          <w:color w:val="auto"/>
          <w:kern w:val="0"/>
          <w:szCs w:val="21"/>
        </w:rPr>
        <w:t>（7）其 他</w:t>
      </w:r>
    </w:p>
    <w:p>
      <w:p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根据本章1.7款、第2.2款和第2.3款对招标文件所作的澄清、修改，构成招标文件的组成部分。</w:t>
      </w:r>
    </w:p>
    <w:p>
      <w:pPr>
        <w:autoSpaceDE w:val="0"/>
        <w:autoSpaceDN w:val="0"/>
        <w:adjustRightInd w:val="0"/>
        <w:spacing w:line="460" w:lineRule="exact"/>
        <w:ind w:firstLine="482" w:firstLineChars="200"/>
        <w:jc w:val="left"/>
        <w:rPr>
          <w:rFonts w:ascii="宋体" w:hAnsi="宋体"/>
          <w:b/>
          <w:color w:val="auto"/>
          <w:kern w:val="0"/>
          <w:sz w:val="24"/>
        </w:rPr>
      </w:pPr>
      <w:r>
        <w:rPr>
          <w:rFonts w:hint="eastAsia" w:ascii="宋体" w:hAnsi="宋体"/>
          <w:b/>
          <w:color w:val="auto"/>
          <w:kern w:val="0"/>
          <w:sz w:val="24"/>
        </w:rPr>
        <w:t>2.2  招标文件的澄清</w:t>
      </w:r>
    </w:p>
    <w:p>
      <w:pPr>
        <w:spacing w:line="460" w:lineRule="exact"/>
        <w:ind w:firstLine="420" w:firstLineChars="200"/>
        <w:rPr>
          <w:color w:val="auto"/>
        </w:rPr>
      </w:pPr>
      <w:r>
        <w:rPr>
          <w:rFonts w:hint="eastAsia"/>
          <w:color w:val="auto"/>
        </w:rPr>
        <w:t>2.2.1 投标人应仔细阅读和检查招标文件的全部内容。</w:t>
      </w:r>
      <w:r>
        <w:rPr>
          <w:rFonts w:hint="eastAsia" w:ascii="宋体" w:hAnsi="宋体"/>
          <w:color w:val="auto"/>
          <w:szCs w:val="21"/>
        </w:rPr>
        <w:t>如发现缺页或附件不全，应及时向采购人提出，以便补齐。</w:t>
      </w:r>
      <w:r>
        <w:rPr>
          <w:rFonts w:hint="eastAsia"/>
          <w:color w:val="auto"/>
        </w:rPr>
        <w:t>如有疑问，应在投标人须知前附表规定的时间前以书面形式（包括信函、电报、传真等可以有形地表现所载内容的形式，下同），要求采购人对招标文件予以澄清。</w:t>
      </w:r>
    </w:p>
    <w:p>
      <w:pPr>
        <w:spacing w:line="460" w:lineRule="exact"/>
        <w:ind w:firstLine="420" w:firstLineChars="200"/>
        <w:rPr>
          <w:rFonts w:ascii="仿宋_GB2312" w:hAnsi="仿宋_GB2312" w:eastAsia="仿宋_GB2312"/>
          <w:color w:val="auto"/>
          <w:sz w:val="32"/>
          <w:szCs w:val="32"/>
        </w:rPr>
      </w:pPr>
      <w:r>
        <w:rPr>
          <w:rFonts w:hint="eastAsia"/>
          <w:color w:val="auto"/>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r>
        <w:rPr>
          <w:rFonts w:hint="eastAsia" w:ascii="仿宋_GB2312" w:hAnsi="仿宋_GB2312" w:eastAsia="仿宋_GB2312"/>
          <w:color w:val="auto"/>
          <w:sz w:val="32"/>
          <w:szCs w:val="32"/>
        </w:rPr>
        <w:t xml:space="preserve"> </w:t>
      </w:r>
    </w:p>
    <w:p>
      <w:pPr>
        <w:autoSpaceDE w:val="0"/>
        <w:autoSpaceDN w:val="0"/>
        <w:adjustRightInd w:val="0"/>
        <w:spacing w:line="460" w:lineRule="exact"/>
        <w:ind w:firstLine="420" w:firstLineChars="200"/>
        <w:jc w:val="left"/>
        <w:rPr>
          <w:rFonts w:ascii="宋体" w:hAnsi="宋体"/>
          <w:b/>
          <w:color w:val="auto"/>
          <w:kern w:val="0"/>
          <w:sz w:val="24"/>
        </w:rPr>
      </w:pPr>
      <w:r>
        <w:rPr>
          <w:rFonts w:hint="eastAsia"/>
          <w:color w:val="auto"/>
        </w:rPr>
        <w:t>2.2.3 投标人在收到澄清后，应在投标人须知前附表规定的时间内以书面形式通知采购人，确认已收到该澄清。</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2.3 招标文件的修改</w:t>
      </w:r>
    </w:p>
    <w:p>
      <w:pPr>
        <w:spacing w:line="440" w:lineRule="exact"/>
        <w:ind w:firstLine="420" w:firstLineChars="200"/>
        <w:rPr>
          <w:color w:val="auto"/>
        </w:rPr>
      </w:pPr>
      <w:r>
        <w:rPr>
          <w:rFonts w:hint="eastAsia"/>
          <w:color w:val="auto"/>
        </w:rPr>
        <w:t>2.3.1采购人可以书面形式修改招标文件，并通知所有已购买招标文件的投标人。但如果修改招标文件的时间距投标截止时间不足15天，并且修改内容影响投标文件编制的，将相应延长投标截止时间。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color w:val="auto"/>
        </w:rPr>
        <w:t>2.3.2 投标人收到修改内容后，应在投标人须知前附表规定的时间内以书面形式通知采购人，确认已收到该修改。</w:t>
      </w:r>
    </w:p>
    <w:p>
      <w:pPr>
        <w:numPr>
          <w:ilvl w:val="0"/>
          <w:numId w:val="10"/>
        </w:numPr>
        <w:autoSpaceDE w:val="0"/>
        <w:autoSpaceDN w:val="0"/>
        <w:adjustRightInd w:val="0"/>
        <w:spacing w:line="440" w:lineRule="exact"/>
        <w:ind w:firstLine="360" w:firstLineChars="112"/>
        <w:jc w:val="left"/>
        <w:outlineLvl w:val="1"/>
        <w:rPr>
          <w:rFonts w:ascii="方正黑体简体" w:hAnsi="宋体" w:eastAsia="方正黑体简体"/>
          <w:b/>
          <w:color w:val="auto"/>
          <w:kern w:val="0"/>
          <w:sz w:val="32"/>
          <w:szCs w:val="32"/>
        </w:rPr>
      </w:pPr>
      <w:r>
        <w:rPr>
          <w:rFonts w:hint="eastAsia" w:ascii="方正黑体简体" w:hAnsi="宋体" w:eastAsia="方正黑体简体"/>
          <w:b/>
          <w:color w:val="auto"/>
          <w:kern w:val="0"/>
          <w:sz w:val="32"/>
          <w:szCs w:val="32"/>
        </w:rPr>
        <w:t xml:space="preserve"> </w:t>
      </w:r>
      <w:bookmarkStart w:id="6" w:name="_Toc20278"/>
      <w:r>
        <w:rPr>
          <w:rFonts w:hint="eastAsia" w:ascii="方正黑体简体" w:hAnsi="宋体" w:eastAsia="方正黑体简体"/>
          <w:b/>
          <w:color w:val="auto"/>
          <w:kern w:val="0"/>
          <w:sz w:val="32"/>
          <w:szCs w:val="32"/>
        </w:rPr>
        <w:t>投标文件</w:t>
      </w:r>
      <w:bookmarkEnd w:id="6"/>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3.1 投标文件的组成</w:t>
      </w:r>
    </w:p>
    <w:p>
      <w:pPr>
        <w:spacing w:line="440" w:lineRule="exact"/>
        <w:rPr>
          <w:rFonts w:ascii="宋体"/>
          <w:color w:val="auto"/>
          <w:szCs w:val="21"/>
        </w:rPr>
      </w:pPr>
      <w:r>
        <w:rPr>
          <w:rFonts w:hint="eastAsia" w:ascii="宋体"/>
          <w:color w:val="auto"/>
          <w:szCs w:val="21"/>
        </w:rPr>
        <w:t xml:space="preserve">     一、投 标 函</w:t>
      </w:r>
    </w:p>
    <w:p>
      <w:pPr>
        <w:spacing w:line="440" w:lineRule="exact"/>
        <w:rPr>
          <w:rFonts w:ascii="宋体"/>
          <w:color w:val="auto"/>
          <w:szCs w:val="21"/>
        </w:rPr>
      </w:pPr>
      <w:r>
        <w:rPr>
          <w:rFonts w:hint="eastAsia" w:ascii="宋体"/>
          <w:color w:val="auto"/>
          <w:szCs w:val="21"/>
        </w:rPr>
        <w:t xml:space="preserve">     二、开标一览表</w:t>
      </w:r>
    </w:p>
    <w:p>
      <w:pPr>
        <w:spacing w:line="440" w:lineRule="exact"/>
        <w:rPr>
          <w:rFonts w:ascii="宋体"/>
          <w:color w:val="auto"/>
          <w:szCs w:val="21"/>
        </w:rPr>
      </w:pPr>
      <w:r>
        <w:rPr>
          <w:rFonts w:hint="eastAsia" w:ascii="宋体"/>
          <w:color w:val="auto"/>
          <w:szCs w:val="21"/>
        </w:rPr>
        <w:t xml:space="preserve">     三、货物分项报价一览表</w:t>
      </w:r>
    </w:p>
    <w:p>
      <w:pPr>
        <w:spacing w:line="440" w:lineRule="exact"/>
        <w:rPr>
          <w:rFonts w:ascii="宋体"/>
          <w:color w:val="auto"/>
          <w:szCs w:val="21"/>
        </w:rPr>
      </w:pPr>
      <w:r>
        <w:rPr>
          <w:rFonts w:hint="eastAsia" w:ascii="宋体"/>
          <w:color w:val="auto"/>
          <w:szCs w:val="21"/>
        </w:rPr>
        <w:t xml:space="preserve">     四、技术规格和商务条款偏差表</w:t>
      </w:r>
    </w:p>
    <w:p>
      <w:pPr>
        <w:spacing w:line="440" w:lineRule="exact"/>
        <w:rPr>
          <w:rFonts w:ascii="宋体"/>
          <w:color w:val="auto"/>
          <w:szCs w:val="21"/>
        </w:rPr>
      </w:pPr>
      <w:r>
        <w:rPr>
          <w:rFonts w:hint="eastAsia" w:ascii="宋体"/>
          <w:color w:val="auto"/>
          <w:szCs w:val="21"/>
        </w:rPr>
        <w:t xml:space="preserve">     五、法定代表人资格证明书</w:t>
      </w:r>
    </w:p>
    <w:p>
      <w:pPr>
        <w:spacing w:line="440" w:lineRule="exact"/>
        <w:rPr>
          <w:rFonts w:ascii="宋体"/>
          <w:color w:val="auto"/>
          <w:szCs w:val="21"/>
        </w:rPr>
      </w:pPr>
      <w:r>
        <w:rPr>
          <w:rFonts w:hint="eastAsia" w:ascii="宋体"/>
          <w:color w:val="auto"/>
          <w:szCs w:val="21"/>
        </w:rPr>
        <w:t xml:space="preserve">     六、法人代表授权委托书</w:t>
      </w:r>
    </w:p>
    <w:p>
      <w:pPr>
        <w:spacing w:line="440" w:lineRule="exact"/>
        <w:rPr>
          <w:rFonts w:ascii="宋体"/>
          <w:color w:val="auto"/>
          <w:szCs w:val="21"/>
        </w:rPr>
      </w:pPr>
      <w:r>
        <w:rPr>
          <w:rFonts w:hint="eastAsia" w:ascii="宋体"/>
          <w:color w:val="auto"/>
          <w:szCs w:val="21"/>
        </w:rPr>
        <w:t xml:space="preserve">    七</w:t>
      </w:r>
      <w:r>
        <w:rPr>
          <w:rFonts w:hint="eastAsia" w:ascii="宋体" w:hAnsi="宋体"/>
          <w:color w:val="auto"/>
          <w:szCs w:val="21"/>
        </w:rPr>
        <w:t>、</w:t>
      </w:r>
      <w:r>
        <w:rPr>
          <w:rFonts w:hint="eastAsia" w:ascii="宋体"/>
          <w:color w:val="auto"/>
          <w:szCs w:val="21"/>
        </w:rPr>
        <w:t>投标人基本情况表</w:t>
      </w:r>
    </w:p>
    <w:p>
      <w:pPr>
        <w:spacing w:line="440" w:lineRule="exact"/>
        <w:rPr>
          <w:rFonts w:ascii="宋体" w:hAnsi="宋体"/>
          <w:color w:val="auto"/>
          <w:szCs w:val="21"/>
        </w:rPr>
      </w:pPr>
      <w:r>
        <w:rPr>
          <w:rFonts w:hint="eastAsia" w:ascii="宋体" w:hAnsi="宋体"/>
          <w:color w:val="auto"/>
          <w:szCs w:val="21"/>
        </w:rPr>
        <w:t xml:space="preserve">    八、投标人投标货物业绩</w:t>
      </w:r>
    </w:p>
    <w:p>
      <w:pPr>
        <w:spacing w:line="440" w:lineRule="exact"/>
        <w:rPr>
          <w:rFonts w:ascii="宋体" w:hAnsi="宋体"/>
          <w:color w:val="auto"/>
          <w:szCs w:val="21"/>
        </w:rPr>
      </w:pPr>
      <w:r>
        <w:rPr>
          <w:rFonts w:hint="eastAsia" w:ascii="宋体" w:hAnsi="宋体"/>
          <w:color w:val="auto"/>
          <w:szCs w:val="21"/>
        </w:rPr>
        <w:t xml:space="preserve">    九、企业荣誉</w:t>
      </w:r>
    </w:p>
    <w:p>
      <w:pPr>
        <w:spacing w:line="440" w:lineRule="exact"/>
        <w:rPr>
          <w:rFonts w:ascii="宋体" w:hAnsi="宋体"/>
          <w:color w:val="auto"/>
          <w:szCs w:val="21"/>
        </w:rPr>
      </w:pPr>
      <w:r>
        <w:rPr>
          <w:rFonts w:hint="eastAsia"/>
          <w:color w:val="auto"/>
        </w:rPr>
        <w:t xml:space="preserve">   十、售后服务承诺及质量保证承诺</w:t>
      </w:r>
    </w:p>
    <w:p>
      <w:pPr>
        <w:spacing w:line="440" w:lineRule="exact"/>
        <w:rPr>
          <w:rFonts w:ascii="宋体"/>
          <w:color w:val="auto"/>
          <w:szCs w:val="21"/>
        </w:rPr>
      </w:pPr>
      <w:r>
        <w:rPr>
          <w:rFonts w:hint="eastAsia" w:ascii="宋体"/>
          <w:color w:val="auto"/>
          <w:szCs w:val="21"/>
        </w:rPr>
        <w:t xml:space="preserve">   十一、反商业贿赂承诺书</w:t>
      </w:r>
    </w:p>
    <w:p>
      <w:pPr>
        <w:spacing w:line="440" w:lineRule="exact"/>
        <w:rPr>
          <w:rFonts w:ascii="宋体"/>
          <w:color w:val="auto"/>
          <w:szCs w:val="21"/>
        </w:rPr>
      </w:pPr>
      <w:r>
        <w:rPr>
          <w:rFonts w:hint="eastAsia" w:ascii="宋体"/>
          <w:color w:val="auto"/>
          <w:szCs w:val="21"/>
        </w:rPr>
        <w:t xml:space="preserve">   十二、资格证明文件</w:t>
      </w:r>
    </w:p>
    <w:p>
      <w:pPr>
        <w:spacing w:line="440" w:lineRule="exact"/>
        <w:rPr>
          <w:rFonts w:ascii="宋体"/>
          <w:color w:val="auto"/>
          <w:szCs w:val="21"/>
        </w:rPr>
      </w:pPr>
      <w:r>
        <w:rPr>
          <w:rFonts w:hint="eastAsia" w:ascii="宋体"/>
          <w:color w:val="auto"/>
          <w:szCs w:val="21"/>
        </w:rPr>
        <w:t xml:space="preserve">   十三、中小企业声明函</w:t>
      </w:r>
    </w:p>
    <w:p>
      <w:pPr>
        <w:spacing w:line="440" w:lineRule="exact"/>
        <w:rPr>
          <w:rFonts w:ascii="宋体"/>
          <w:color w:val="auto"/>
          <w:szCs w:val="21"/>
        </w:rPr>
      </w:pPr>
      <w:r>
        <w:rPr>
          <w:rFonts w:hint="eastAsia" w:ascii="宋体"/>
          <w:color w:val="auto"/>
          <w:szCs w:val="21"/>
        </w:rPr>
        <w:t xml:space="preserve">   十四、承诺函</w:t>
      </w:r>
    </w:p>
    <w:p>
      <w:pPr>
        <w:spacing w:line="440" w:lineRule="exact"/>
        <w:rPr>
          <w:rFonts w:ascii="宋体" w:hAnsi="宋体"/>
          <w:b/>
          <w:color w:val="auto"/>
          <w:szCs w:val="21"/>
        </w:rPr>
      </w:pPr>
      <w:r>
        <w:rPr>
          <w:rFonts w:hint="eastAsia" w:ascii="宋体"/>
          <w:color w:val="auto"/>
          <w:szCs w:val="21"/>
        </w:rPr>
        <w:t xml:space="preserve">   十五、投标人认为需要提供的其它材料</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3.2 投标截止时间和地点</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投标截止时间和地点：见投标人须知前附表。</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3.3 投标报价</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3.3.1 投标人应按照第六章投标文件格式完整地填写投标报价表和开标一览表，说明其拟提供货物的名称、简介（包括主要技术参数）、货物原产地、数量、价格、交付时间、质量保证期等。</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3.3.2 除投标人须知前附表中说明并允许外，每种货物只允许有一个报价，任何有选择的报价将不予接受。</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3.3.4 开标一览表是为了便于采购人开标，开标一览表内容在开标时将当众唱出。开标一览表的内容应与分项报价表内容一致，不一致时以开标一览表内容为准。</w:t>
      </w:r>
    </w:p>
    <w:p>
      <w:pPr>
        <w:spacing w:line="440" w:lineRule="exact"/>
        <w:ind w:firstLine="480" w:firstLineChars="200"/>
        <w:jc w:val="left"/>
        <w:rPr>
          <w:rFonts w:ascii="宋体" w:hAnsi="宋体"/>
          <w:color w:val="auto"/>
          <w:kern w:val="0"/>
          <w:szCs w:val="21"/>
        </w:rPr>
      </w:pPr>
      <w:r>
        <w:rPr>
          <w:rFonts w:hint="eastAsia" w:ascii="宋体" w:hAnsi="宋体"/>
          <w:color w:val="auto"/>
          <w:kern w:val="0"/>
          <w:sz w:val="24"/>
        </w:rPr>
        <w:t>3.3.</w:t>
      </w:r>
      <w:r>
        <w:rPr>
          <w:rFonts w:hint="eastAsia" w:ascii="宋体" w:hAnsi="宋体"/>
          <w:color w:val="auto"/>
          <w:kern w:val="0"/>
          <w:sz w:val="24"/>
        </w:rPr>
        <w:t>5</w:t>
      </w:r>
      <w:r>
        <w:rPr>
          <w:rFonts w:hint="eastAsia" w:ascii="宋体" w:hAnsi="宋体"/>
          <w:b/>
          <w:color w:val="auto"/>
          <w:szCs w:val="21"/>
        </w:rPr>
        <w:t>投标人应对所投项目进行总报价，本项目的投标总价包含两大部分：设备费（含运费）、安装费（含报建、验收等相关费用），完成整个项目的所有费用包含在这两部分的报价中。详细划分可以包括（但不限于）：货物及零配件的购置和安装、工程实施、施工场地勘查费、运输保险、装卸、各种报建报装手续、专业机构的验收、培训辅导、质保及维保售后服务、全额含税发票（分设备票和工程安装票</w:t>
      </w:r>
      <w:r>
        <w:rPr>
          <w:rFonts w:ascii="宋体" w:hAnsi="宋体"/>
          <w:b/>
          <w:color w:val="auto"/>
          <w:szCs w:val="21"/>
        </w:rPr>
        <w:t>）</w:t>
      </w:r>
      <w:r>
        <w:rPr>
          <w:rFonts w:hint="eastAsia" w:ascii="宋体" w:hAnsi="宋体"/>
          <w:b/>
          <w:color w:val="auto"/>
          <w:szCs w:val="21"/>
        </w:rPr>
        <w:t>、雇员费用、合同实施过程中的应预见和不</w:t>
      </w:r>
      <w:r>
        <w:rPr>
          <w:rFonts w:hint="eastAsia" w:ascii="宋体" w:hAnsi="宋体"/>
          <w:b/>
          <w:color w:val="auto"/>
          <w:szCs w:val="21"/>
        </w:rPr>
        <w:t>可预见费用等。</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3.4 投标有效期</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3.4.1 投标有效期见投标人须知前附表。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3.4.2 在投标有效期内，投标人不得要求撤销或修改其投标文件。</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3.4.3 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3.5 投标保证金</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3.5.1 投标保证金金额和形式见投标人须知前附表。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3.5.2 投标人在递交投标文件的同时，应按投标人须知前附表规定的金额和方式提交投标保证金，并作为其投标文件的组成部分。</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3.5.3 投标人不按本章第3.5.1项要求提交投标保证金的，其投标文件按废标处理。</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3.5.4 采购人在中标通知书发出后五个工作日内退还未中标人的投标保证金；中标人的投标保证金在与采购人签订合同后退还。</w:t>
      </w:r>
    </w:p>
    <w:p>
      <w:pPr>
        <w:autoSpaceDE w:val="0"/>
        <w:autoSpaceDN w:val="0"/>
        <w:adjustRightInd w:val="0"/>
        <w:spacing w:line="440" w:lineRule="exact"/>
        <w:ind w:firstLine="420" w:firstLineChars="200"/>
        <w:jc w:val="left"/>
        <w:rPr>
          <w:rFonts w:ascii="宋体" w:hAnsi="宋体" w:cs="宋体"/>
          <w:color w:val="auto"/>
          <w:kern w:val="0"/>
          <w:szCs w:val="21"/>
        </w:rPr>
      </w:pPr>
      <w:r>
        <w:rPr>
          <w:rFonts w:hint="eastAsia" w:ascii="宋体" w:hAnsi="宋体" w:cs="宋体"/>
          <w:color w:val="auto"/>
          <w:kern w:val="0"/>
          <w:szCs w:val="21"/>
        </w:rPr>
        <w:t>3.5.5 有下列情形之一的，投标保证金将不予退还：</w:t>
      </w:r>
    </w:p>
    <w:p>
      <w:pPr>
        <w:numPr>
          <w:ilvl w:val="0"/>
          <w:numId w:val="11"/>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投标人在规定的投标有效期内撤销其投标文件；</w:t>
      </w:r>
    </w:p>
    <w:p>
      <w:pPr>
        <w:numPr>
          <w:ilvl w:val="0"/>
          <w:numId w:val="11"/>
        </w:num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中标人在收到中标通知书后，无正当理由拒签合同。</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3.6 资格审查资料</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3.6.1“投标人基本情况表”应附投标人有效的营业执照（副本）及其年检合格的证明材料、资质证书副本等材料的复印件。</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3.6.2“近年财务状况表”应附经会计师事务所或审计机构审计的财务会计报表，包括资产负债表、现金流量表、利润表和财务情况说明书的复印件，具体年份要求见投标人须知前附表（注：1、是否提供根据招标文件的要求；2、有“具体年份要求”则无需指明“上一年度”）。</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3.6.3“近年完成的类似项目情况表”应附合同书的复印件，具体年份要求见投标人须知前附表。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3.6.4 投标人须知前附表规定接受联合体投标的，本章第3.6.1项至第3.6.3项规定的表格和资料应包括联合体各方相关情况。</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3.6.5关于节能产品，必须执行国务院、发改委、财政部、环保总局的相关规定，供应商必须提供所投产品的《环保产品政府采购清单》复印件。</w:t>
      </w:r>
    </w:p>
    <w:p>
      <w:pPr>
        <w:autoSpaceDE w:val="0"/>
        <w:autoSpaceDN w:val="0"/>
        <w:adjustRightInd w:val="0"/>
        <w:spacing w:line="480" w:lineRule="exact"/>
        <w:ind w:firstLine="420" w:firstLineChars="200"/>
        <w:jc w:val="left"/>
        <w:rPr>
          <w:rFonts w:ascii="宋体" w:hAnsi="宋体"/>
          <w:b/>
          <w:color w:val="auto"/>
          <w:kern w:val="0"/>
          <w:sz w:val="24"/>
        </w:rPr>
      </w:pPr>
      <w:r>
        <w:rPr>
          <w:rFonts w:hint="eastAsia" w:ascii="宋体" w:hAnsi="宋体"/>
          <w:color w:val="auto"/>
          <w:kern w:val="0"/>
          <w:szCs w:val="21"/>
        </w:rPr>
        <w:t>3.6.6关于环保标志产品，必须执行国务院、发改委、财政部、环保总局的相关规定，供应商必须提供所投产品的《环保产品证书》及《环保产品政府采购清单》复印件。</w:t>
      </w:r>
    </w:p>
    <w:p>
      <w:pPr>
        <w:autoSpaceDE w:val="0"/>
        <w:autoSpaceDN w:val="0"/>
        <w:adjustRightInd w:val="0"/>
        <w:spacing w:line="480" w:lineRule="exact"/>
        <w:ind w:firstLine="482" w:firstLineChars="200"/>
        <w:jc w:val="left"/>
        <w:rPr>
          <w:rFonts w:ascii="宋体" w:hAnsi="宋体"/>
          <w:b/>
          <w:color w:val="auto"/>
          <w:kern w:val="0"/>
          <w:sz w:val="24"/>
        </w:rPr>
      </w:pPr>
      <w:r>
        <w:rPr>
          <w:rFonts w:hint="eastAsia" w:ascii="宋体" w:hAnsi="宋体"/>
          <w:b/>
          <w:color w:val="auto"/>
          <w:kern w:val="0"/>
          <w:sz w:val="24"/>
        </w:rPr>
        <w:t>3.7 投标文件的编制</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3.7.1 投标文件应按</w:t>
      </w:r>
      <w:r>
        <w:rPr>
          <w:rFonts w:hint="eastAsia" w:ascii="宋体" w:hAnsi="宋体"/>
          <w:color w:val="auto"/>
          <w:kern w:val="0"/>
          <w:szCs w:val="21"/>
        </w:rPr>
        <w:t>本招标文件</w:t>
      </w:r>
      <w:r>
        <w:rPr>
          <w:rFonts w:hint="eastAsia" w:ascii="宋体" w:hAnsi="宋体"/>
          <w:color w:val="auto"/>
          <w:kern w:val="0"/>
          <w:szCs w:val="21"/>
        </w:rPr>
        <w:t>“投标文件格式”进行编写。</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3.7.2 投标文件应当对招标文件规定的投标有效期、供货期、质量要求、技术标准和要求等实质性内容作出响应。</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3.7.3 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3.7.4 投标文件正本壹份，副本陆份。正本和副本的封面应清楚地标明“正本”或“副本”的字样。当副本和正本不一致时，以正本为准。</w:t>
      </w:r>
    </w:p>
    <w:p>
      <w:pPr>
        <w:autoSpaceDE w:val="0"/>
        <w:autoSpaceDN w:val="0"/>
        <w:adjustRightInd w:val="0"/>
        <w:spacing w:line="460" w:lineRule="exact"/>
        <w:ind w:firstLine="482" w:firstLineChars="200"/>
        <w:jc w:val="left"/>
        <w:rPr>
          <w:rFonts w:ascii="宋体" w:hAnsi="宋体"/>
          <w:b/>
          <w:color w:val="auto"/>
          <w:kern w:val="0"/>
          <w:sz w:val="24"/>
        </w:rPr>
      </w:pPr>
      <w:r>
        <w:rPr>
          <w:rFonts w:hint="eastAsia" w:ascii="宋体" w:hAnsi="宋体"/>
          <w:b/>
          <w:color w:val="auto"/>
          <w:kern w:val="0"/>
          <w:sz w:val="24"/>
        </w:rPr>
        <w:t>3.8 语言文字</w:t>
      </w:r>
    </w:p>
    <w:p>
      <w:p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除专用术语外，与招标投标有关的语言均使用中文。必要时专业术语应附有中文注释。</w:t>
      </w:r>
    </w:p>
    <w:p>
      <w:pPr>
        <w:autoSpaceDE w:val="0"/>
        <w:autoSpaceDN w:val="0"/>
        <w:adjustRightInd w:val="0"/>
        <w:spacing w:line="460" w:lineRule="exact"/>
        <w:ind w:firstLine="482" w:firstLineChars="200"/>
        <w:jc w:val="left"/>
        <w:rPr>
          <w:rFonts w:ascii="宋体" w:hAnsi="宋体"/>
          <w:b/>
          <w:color w:val="auto"/>
          <w:kern w:val="0"/>
          <w:sz w:val="24"/>
        </w:rPr>
      </w:pPr>
      <w:r>
        <w:rPr>
          <w:rFonts w:hint="eastAsia" w:ascii="宋体" w:hAnsi="宋体"/>
          <w:b/>
          <w:color w:val="auto"/>
          <w:kern w:val="0"/>
          <w:sz w:val="24"/>
        </w:rPr>
        <w:t>3.9 计量单位和货币</w:t>
      </w:r>
    </w:p>
    <w:p>
      <w:pPr>
        <w:autoSpaceDE w:val="0"/>
        <w:autoSpaceDN w:val="0"/>
        <w:adjustRightInd w:val="0"/>
        <w:spacing w:line="460" w:lineRule="exact"/>
        <w:ind w:firstLine="420" w:firstLineChars="200"/>
        <w:jc w:val="left"/>
        <w:rPr>
          <w:rFonts w:ascii="宋体" w:hAnsi="宋体"/>
          <w:color w:val="auto"/>
          <w:kern w:val="0"/>
          <w:szCs w:val="21"/>
        </w:rPr>
      </w:pPr>
      <w:r>
        <w:rPr>
          <w:rFonts w:hint="eastAsia" w:ascii="宋体" w:hAnsi="宋体"/>
          <w:color w:val="auto"/>
          <w:kern w:val="0"/>
          <w:szCs w:val="21"/>
        </w:rPr>
        <w:t>所有计量单位均采用中华人民共和国法定计量单位。货币均采用人民币。</w:t>
      </w:r>
    </w:p>
    <w:p>
      <w:pPr>
        <w:autoSpaceDE w:val="0"/>
        <w:autoSpaceDN w:val="0"/>
        <w:adjustRightInd w:val="0"/>
        <w:spacing w:line="480" w:lineRule="exact"/>
        <w:ind w:firstLine="482" w:firstLineChars="200"/>
        <w:jc w:val="left"/>
        <w:rPr>
          <w:rFonts w:ascii="宋体" w:hAnsi="宋体"/>
          <w:b/>
          <w:color w:val="auto"/>
          <w:kern w:val="0"/>
          <w:sz w:val="24"/>
        </w:rPr>
      </w:pPr>
      <w:r>
        <w:rPr>
          <w:rFonts w:hint="eastAsia" w:ascii="宋体" w:hAnsi="宋体"/>
          <w:b/>
          <w:color w:val="auto"/>
          <w:kern w:val="0"/>
          <w:sz w:val="24"/>
        </w:rPr>
        <w:t>3.10 踏勘现场</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3.10.1 投标人须知前附表规定组织踏勘现场的，采购人按投标人须知前附表规定的时间、地点组织投标人踏勘项目现场。</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3.10.2 投标人踏勘现场发生的费用自理。</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3.10.3 采购人在踏勘现场中介绍的情况，供投标人在编制投标文件时参考，采购人不对投标人据此作出的判断和决策负责。</w:t>
      </w:r>
    </w:p>
    <w:p>
      <w:pPr>
        <w:autoSpaceDE w:val="0"/>
        <w:autoSpaceDN w:val="0"/>
        <w:adjustRightInd w:val="0"/>
        <w:spacing w:line="480" w:lineRule="exact"/>
        <w:ind w:firstLine="482" w:firstLineChars="200"/>
        <w:jc w:val="left"/>
        <w:rPr>
          <w:rFonts w:ascii="宋体" w:hAnsi="宋体"/>
          <w:b/>
          <w:color w:val="auto"/>
          <w:kern w:val="0"/>
          <w:sz w:val="24"/>
        </w:rPr>
      </w:pPr>
      <w:r>
        <w:rPr>
          <w:rFonts w:hint="eastAsia" w:ascii="宋体" w:hAnsi="宋体"/>
          <w:b/>
          <w:color w:val="auto"/>
          <w:kern w:val="0"/>
          <w:sz w:val="24"/>
        </w:rPr>
        <w:t>3.11 投标澄清会</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3.11.1投标人须知前附表规定召开投标澄清会的，采购人按投标人须知前附表规定的时间和地点召开投标澄清会，澄清投标人提出的问题。</w:t>
      </w:r>
    </w:p>
    <w:p>
      <w:pPr>
        <w:autoSpaceDE w:val="0"/>
        <w:autoSpaceDN w:val="0"/>
        <w:adjustRightInd w:val="0"/>
        <w:spacing w:line="480" w:lineRule="exact"/>
        <w:ind w:firstLine="420" w:firstLineChars="200"/>
        <w:jc w:val="left"/>
        <w:rPr>
          <w:rFonts w:ascii="宋体" w:hAnsi="宋体"/>
          <w:color w:val="auto"/>
          <w:kern w:val="0"/>
          <w:szCs w:val="21"/>
        </w:rPr>
      </w:pPr>
      <w:r>
        <w:rPr>
          <w:rFonts w:hint="eastAsia" w:ascii="宋体" w:hAnsi="宋体"/>
          <w:color w:val="auto"/>
          <w:kern w:val="0"/>
          <w:szCs w:val="21"/>
        </w:rPr>
        <w:t>3.11.2 投标人应在投标人须知前附表规定的时间前，以书面形式将提出的问题送达采购人，以便采购人在会议期间澄清。</w:t>
      </w:r>
    </w:p>
    <w:p>
      <w:pPr>
        <w:autoSpaceDE w:val="0"/>
        <w:autoSpaceDN w:val="0"/>
        <w:adjustRightInd w:val="0"/>
        <w:spacing w:line="480" w:lineRule="exact"/>
        <w:ind w:firstLine="420" w:firstLineChars="200"/>
        <w:jc w:val="left"/>
        <w:rPr>
          <w:rFonts w:ascii="方正黑体简体" w:hAnsi="宋体" w:eastAsia="方正黑体简体"/>
          <w:b/>
          <w:color w:val="auto"/>
          <w:kern w:val="0"/>
          <w:sz w:val="32"/>
          <w:szCs w:val="32"/>
        </w:rPr>
      </w:pPr>
      <w:r>
        <w:rPr>
          <w:rFonts w:hint="eastAsia" w:ascii="宋体" w:hAnsi="宋体"/>
          <w:color w:val="auto"/>
          <w:kern w:val="0"/>
          <w:szCs w:val="21"/>
        </w:rPr>
        <w:t>3.11.3 投标澄清会后，采购人在投标人须知前附表规定的时间内，将对投标人所提问题的澄清，以书面方式通知所有购买招标文件的投标人。该澄清内容为招标文件的组成部分。</w:t>
      </w:r>
      <w:bookmarkStart w:id="7" w:name="_Toc21427"/>
    </w:p>
    <w:p>
      <w:pPr>
        <w:autoSpaceDE w:val="0"/>
        <w:autoSpaceDN w:val="0"/>
        <w:adjustRightInd w:val="0"/>
        <w:spacing w:line="440" w:lineRule="exact"/>
        <w:ind w:firstLine="360" w:firstLineChars="112"/>
        <w:jc w:val="left"/>
        <w:outlineLvl w:val="1"/>
        <w:rPr>
          <w:rFonts w:ascii="方正黑体简体" w:hAnsi="宋体" w:eastAsia="方正黑体简体"/>
          <w:b/>
          <w:color w:val="auto"/>
          <w:kern w:val="0"/>
          <w:sz w:val="32"/>
          <w:szCs w:val="32"/>
        </w:rPr>
      </w:pPr>
      <w:r>
        <w:rPr>
          <w:rFonts w:hint="eastAsia" w:ascii="方正黑体简体" w:hAnsi="宋体" w:eastAsia="方正黑体简体"/>
          <w:b/>
          <w:color w:val="auto"/>
          <w:kern w:val="0"/>
          <w:sz w:val="32"/>
          <w:szCs w:val="32"/>
        </w:rPr>
        <w:t>4.投标</w:t>
      </w:r>
      <w:bookmarkEnd w:id="7"/>
    </w:p>
    <w:p>
      <w:pPr>
        <w:autoSpaceDE w:val="0"/>
        <w:autoSpaceDN w:val="0"/>
        <w:adjustRightInd w:val="0"/>
        <w:spacing w:line="440" w:lineRule="exact"/>
        <w:ind w:firstLine="482" w:firstLineChars="200"/>
        <w:jc w:val="left"/>
        <w:rPr>
          <w:rFonts w:ascii="方正黑体简体" w:hAnsi="宋体" w:eastAsia="方正黑体简体"/>
          <w:b/>
          <w:color w:val="auto"/>
          <w:kern w:val="0"/>
          <w:sz w:val="24"/>
        </w:rPr>
      </w:pPr>
      <w:r>
        <w:rPr>
          <w:rFonts w:hint="eastAsia" w:ascii="宋体" w:hAnsi="宋体"/>
          <w:b/>
          <w:color w:val="auto"/>
          <w:kern w:val="0"/>
          <w:sz w:val="24"/>
        </w:rPr>
        <w:t>4.1.</w:t>
      </w:r>
      <w:r>
        <w:rPr>
          <w:rFonts w:hint="eastAsia" w:ascii="宋体" w:hAnsi="宋体"/>
          <w:b/>
          <w:color w:val="auto"/>
          <w:sz w:val="24"/>
        </w:rPr>
        <w:t>投标文件的密封和标记</w:t>
      </w:r>
    </w:p>
    <w:p>
      <w:pPr>
        <w:spacing w:line="440" w:lineRule="exact"/>
        <w:rPr>
          <w:color w:val="auto"/>
        </w:rPr>
      </w:pPr>
      <w:r>
        <w:rPr>
          <w:rFonts w:hint="eastAsia" w:ascii="宋体" w:hAnsi="宋体"/>
          <w:color w:val="auto"/>
          <w:kern w:val="0"/>
          <w:szCs w:val="21"/>
        </w:rPr>
        <w:t xml:space="preserve">    4.1.1</w:t>
      </w:r>
      <w:r>
        <w:rPr>
          <w:rFonts w:hint="eastAsia" w:ascii="宋体" w:hAnsi="宋体"/>
          <w:b/>
          <w:color w:val="auto"/>
          <w:kern w:val="0"/>
          <w:szCs w:val="21"/>
        </w:rPr>
        <w:t>投标文件为正本壹份，副本陆份。</w:t>
      </w:r>
      <w:r>
        <w:rPr>
          <w:rFonts w:hint="eastAsia" w:ascii="宋体" w:hAnsi="宋体"/>
          <w:b/>
          <w:color w:val="auto"/>
        </w:rPr>
        <w:t>投标文件的正本与所有副本应分别包装，装在包装封袋中,所有副本密封在一个包装封袋中，加贴封条，并在封套的封口处加盖投标人单位公章。</w:t>
      </w:r>
    </w:p>
    <w:p>
      <w:pPr>
        <w:autoSpaceDE w:val="0"/>
        <w:autoSpaceDN w:val="0"/>
        <w:adjustRightInd w:val="0"/>
        <w:spacing w:line="440" w:lineRule="exact"/>
        <w:ind w:firstLine="420" w:firstLineChars="200"/>
        <w:jc w:val="left"/>
        <w:rPr>
          <w:rFonts w:ascii="宋体" w:hAnsi="宋体"/>
          <w:color w:val="auto"/>
          <w:szCs w:val="21"/>
          <w:u w:val="single"/>
        </w:rPr>
      </w:pPr>
      <w:r>
        <w:rPr>
          <w:rFonts w:hint="eastAsia" w:ascii="宋体" w:hAnsi="宋体"/>
          <w:color w:val="auto"/>
          <w:kern w:val="0"/>
          <w:szCs w:val="21"/>
        </w:rPr>
        <w:t>4.1.2 在标书封面右上角应清楚地标明“正本”或“副本”字样，标明项目名称、项目编号、投标人名称、投标人地址。副本应与正本内容一致，若副本与正本存在文字或表述的不符之处，以正本为准。</w:t>
      </w:r>
    </w:p>
    <w:p>
      <w:pPr>
        <w:widowControl/>
        <w:spacing w:line="440" w:lineRule="exact"/>
        <w:ind w:firstLine="420" w:firstLineChars="200"/>
        <w:jc w:val="left"/>
        <w:rPr>
          <w:rFonts w:ascii="宋体" w:hAnsi="宋体"/>
          <w:color w:val="auto"/>
          <w:szCs w:val="21"/>
        </w:rPr>
      </w:pPr>
      <w:r>
        <w:rPr>
          <w:rFonts w:hint="eastAsia" w:ascii="宋体" w:hAnsi="宋体"/>
          <w:color w:val="auto"/>
          <w:szCs w:val="21"/>
        </w:rPr>
        <w:t>附：在投标文件的密封袋上应标明：</w:t>
      </w:r>
    </w:p>
    <w:p>
      <w:pPr>
        <w:widowControl/>
        <w:spacing w:line="440" w:lineRule="exact"/>
        <w:ind w:firstLine="420" w:firstLineChars="200"/>
        <w:jc w:val="left"/>
        <w:rPr>
          <w:rFonts w:ascii="宋体" w:hAnsi="宋体"/>
          <w:bCs/>
          <w:color w:val="auto"/>
          <w:szCs w:val="21"/>
          <w:u w:val="single"/>
        </w:rPr>
      </w:pPr>
      <w:r>
        <w:rPr>
          <w:rFonts w:hint="eastAsia" w:ascii="宋体" w:hAnsi="宋体"/>
          <w:color w:val="auto"/>
          <w:szCs w:val="21"/>
        </w:rPr>
        <w:t>项目名称、项目编号、投标人名称、投标人地址。</w:t>
      </w:r>
    </w:p>
    <w:p>
      <w:pPr>
        <w:widowControl/>
        <w:spacing w:line="440" w:lineRule="exact"/>
        <w:ind w:firstLine="420" w:firstLineChars="200"/>
        <w:jc w:val="left"/>
        <w:rPr>
          <w:rFonts w:ascii="宋体" w:hAnsi="宋体"/>
          <w:color w:val="auto"/>
          <w:szCs w:val="21"/>
        </w:rPr>
      </w:pPr>
      <w:r>
        <w:rPr>
          <w:rFonts w:hint="eastAsia" w:ascii="宋体" w:hAnsi="宋体"/>
          <w:color w:val="auto"/>
          <w:szCs w:val="21"/>
        </w:rPr>
        <w:t>于</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r>
        <w:rPr>
          <w:rFonts w:hint="eastAsia" w:ascii="宋体" w:hAnsi="宋体"/>
          <w:color w:val="auto"/>
          <w:szCs w:val="21"/>
          <w:u w:val="single"/>
        </w:rPr>
        <w:t xml:space="preserve">      </w:t>
      </w:r>
      <w:r>
        <w:rPr>
          <w:rFonts w:hint="eastAsia" w:ascii="宋体" w:hAnsi="宋体"/>
          <w:color w:val="auto"/>
          <w:szCs w:val="21"/>
        </w:rPr>
        <w:t>时</w:t>
      </w:r>
      <w:r>
        <w:rPr>
          <w:rFonts w:hint="eastAsia" w:ascii="宋体" w:hAnsi="宋体"/>
          <w:color w:val="auto"/>
          <w:szCs w:val="21"/>
          <w:u w:val="single"/>
        </w:rPr>
        <w:t xml:space="preserve">     分</w:t>
      </w:r>
      <w:r>
        <w:rPr>
          <w:rFonts w:hint="eastAsia" w:ascii="宋体" w:hAnsi="宋体"/>
          <w:color w:val="auto"/>
          <w:szCs w:val="21"/>
        </w:rPr>
        <w:t>（</w:t>
      </w:r>
      <w:r>
        <w:rPr>
          <w:rFonts w:hint="eastAsia" w:ascii="宋体" w:hAnsi="宋体"/>
          <w:color w:val="auto"/>
          <w:kern w:val="0"/>
          <w:szCs w:val="21"/>
        </w:rPr>
        <w:t>指招标公告或邀请中规定的投标文件截止日期及时间</w:t>
      </w:r>
      <w:r>
        <w:rPr>
          <w:rFonts w:hint="eastAsia" w:ascii="宋体" w:hAnsi="宋体"/>
          <w:color w:val="auto"/>
          <w:szCs w:val="21"/>
        </w:rPr>
        <w:t>投标截止时间）前不准启封。</w:t>
      </w:r>
      <w:r>
        <w:rPr>
          <w:rFonts w:hint="eastAsia" w:ascii="宋体" w:hAnsi="宋体"/>
          <w:b/>
          <w:color w:val="auto"/>
          <w:szCs w:val="21"/>
        </w:rPr>
        <w:t>(本样式为参考样式,加写的标记不应改变投标文件的实质性内容)</w:t>
      </w:r>
    </w:p>
    <w:p>
      <w:pPr>
        <w:autoSpaceDE w:val="0"/>
        <w:autoSpaceDN w:val="0"/>
        <w:adjustRightInd w:val="0"/>
        <w:spacing w:line="440" w:lineRule="exact"/>
        <w:jc w:val="left"/>
        <w:rPr>
          <w:rFonts w:ascii="宋体" w:hAnsi="宋体"/>
          <w:color w:val="auto"/>
          <w:kern w:val="0"/>
          <w:szCs w:val="21"/>
        </w:rPr>
      </w:pPr>
      <w:r>
        <w:rPr>
          <w:rFonts w:hint="eastAsia" w:ascii="宋体" w:hAnsi="宋体"/>
          <w:color w:val="auto"/>
          <w:kern w:val="0"/>
          <w:szCs w:val="21"/>
        </w:rPr>
        <w:t xml:space="preserve">     4.1.3 未按本章第4.1.1项要求密封的投标文件，采购人不予接受。</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4.2  投标文件的递交</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4.2.1 投标文件应在本章第3.2.1项规定的投标截止时间前递交。</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4.2.2 投标人递交文件的地点和方式：见投标人须知前附表。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4.2.3 投标人所递交的投标文件不予退还。</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4.2.4 逾期送达的或者未送达指定地点的投标文件，采购人不予受理。</w:t>
      </w:r>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4.3 投标文件的修改与撤回</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4.3.2 修改的内容为投标文件的组成部分。修改的投标文件应按照本章第3条、第4条规定进行编制、密封、标记和递交，并标明“修改”字样。</w:t>
      </w:r>
    </w:p>
    <w:p>
      <w:pPr>
        <w:autoSpaceDE w:val="0"/>
        <w:autoSpaceDN w:val="0"/>
        <w:adjustRightInd w:val="0"/>
        <w:spacing w:line="440" w:lineRule="exact"/>
        <w:ind w:firstLine="420" w:firstLineChars="200"/>
        <w:jc w:val="left"/>
        <w:rPr>
          <w:rFonts w:ascii="宋体" w:hAnsi="宋体"/>
          <w:b/>
          <w:color w:val="auto"/>
          <w:sz w:val="24"/>
        </w:rPr>
      </w:pPr>
      <w:r>
        <w:rPr>
          <w:rFonts w:hint="eastAsia" w:ascii="宋体" w:hAnsi="宋体"/>
          <w:color w:val="auto"/>
          <w:kern w:val="0"/>
          <w:szCs w:val="21"/>
        </w:rPr>
        <w:t>4.3.3 投标截止时间以后不得修改投标文件。</w:t>
      </w:r>
    </w:p>
    <w:p>
      <w:pPr>
        <w:autoSpaceDE w:val="0"/>
        <w:autoSpaceDN w:val="0"/>
        <w:adjustRightInd w:val="0"/>
        <w:spacing w:line="440" w:lineRule="exact"/>
        <w:ind w:firstLine="360" w:firstLineChars="112"/>
        <w:jc w:val="left"/>
        <w:outlineLvl w:val="1"/>
        <w:rPr>
          <w:rFonts w:ascii="方正黑体简体" w:hAnsi="宋体" w:eastAsia="方正黑体简体"/>
          <w:b/>
          <w:color w:val="auto"/>
          <w:kern w:val="0"/>
          <w:sz w:val="32"/>
          <w:szCs w:val="32"/>
        </w:rPr>
      </w:pPr>
      <w:bookmarkStart w:id="8" w:name="_Toc1503"/>
      <w:r>
        <w:rPr>
          <w:rFonts w:hint="eastAsia" w:ascii="方正黑体简体" w:hAnsi="宋体" w:eastAsia="方正黑体简体"/>
          <w:b/>
          <w:color w:val="auto"/>
          <w:kern w:val="0"/>
          <w:sz w:val="32"/>
          <w:szCs w:val="32"/>
        </w:rPr>
        <w:t>5.开标</w:t>
      </w:r>
      <w:bookmarkEnd w:id="8"/>
    </w:p>
    <w:p>
      <w:pPr>
        <w:autoSpaceDE w:val="0"/>
        <w:autoSpaceDN w:val="0"/>
        <w:adjustRightInd w:val="0"/>
        <w:spacing w:line="440" w:lineRule="exact"/>
        <w:ind w:firstLine="482" w:firstLineChars="200"/>
        <w:jc w:val="left"/>
        <w:rPr>
          <w:rFonts w:ascii="宋体" w:hAnsi="宋体"/>
          <w:b/>
          <w:color w:val="auto"/>
          <w:kern w:val="0"/>
          <w:sz w:val="24"/>
        </w:rPr>
      </w:pPr>
      <w:r>
        <w:rPr>
          <w:rFonts w:hint="eastAsia" w:ascii="宋体" w:hAnsi="宋体"/>
          <w:b/>
          <w:color w:val="auto"/>
          <w:kern w:val="0"/>
          <w:sz w:val="24"/>
        </w:rPr>
        <w:t>5.1 开标时间、地点和方式</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采购人在本章投标人须知前附表规定的投标截止时间（开标时间）招标文件规定的地点开标。并邀请所有投标人的法定代表人或其委托代理人参加。</w:t>
      </w:r>
    </w:p>
    <w:p>
      <w:pPr>
        <w:autoSpaceDE w:val="0"/>
        <w:autoSpaceDN w:val="0"/>
        <w:adjustRightInd w:val="0"/>
        <w:spacing w:line="440" w:lineRule="exact"/>
        <w:ind w:firstLine="482" w:firstLineChars="200"/>
        <w:jc w:val="left"/>
        <w:rPr>
          <w:rFonts w:ascii="宋体" w:hAnsi="宋体"/>
          <w:b/>
          <w:color w:val="auto"/>
          <w:sz w:val="24"/>
        </w:rPr>
      </w:pPr>
      <w:r>
        <w:rPr>
          <w:rFonts w:hint="eastAsia" w:ascii="宋体" w:hAnsi="宋体"/>
          <w:b/>
          <w:color w:val="auto"/>
          <w:kern w:val="0"/>
          <w:sz w:val="24"/>
        </w:rPr>
        <w:t>5.2</w:t>
      </w:r>
      <w:r>
        <w:rPr>
          <w:rFonts w:hint="eastAsia" w:ascii="宋体" w:hAnsi="宋体"/>
          <w:color w:val="auto"/>
          <w:kern w:val="0"/>
          <w:szCs w:val="21"/>
        </w:rPr>
        <w:t xml:space="preserve"> </w:t>
      </w:r>
      <w:r>
        <w:rPr>
          <w:rFonts w:hint="eastAsia" w:ascii="宋体" w:hAnsi="宋体"/>
          <w:b/>
          <w:color w:val="auto"/>
          <w:sz w:val="24"/>
        </w:rPr>
        <w:t>投标人参加开标会议须出示的证件或材料</w:t>
      </w:r>
    </w:p>
    <w:p>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营业执照（副本）、组织机构代码证</w:t>
      </w:r>
      <w:r>
        <w:rPr>
          <w:rFonts w:hint="eastAsia" w:ascii="宋体" w:hAnsi="宋体"/>
          <w:color w:val="auto"/>
          <w:kern w:val="0"/>
          <w:szCs w:val="21"/>
        </w:rPr>
        <w:t>、</w:t>
      </w:r>
      <w:r>
        <w:rPr>
          <w:rFonts w:hint="eastAsia" w:ascii="宋体" w:hAnsi="宋体"/>
          <w:color w:val="auto"/>
          <w:szCs w:val="21"/>
        </w:rPr>
        <w:t>税务登记证（副本）（三证合一单位只需提供营业执照副本）、法定代表人证明或法定代表人授权委托书及本人身份证、由企业注册地或项目所在地的检察机关出具的行贿犯罪档案查询结果证明、</w:t>
      </w:r>
      <w:r>
        <w:rPr>
          <w:rFonts w:hint="eastAsia" w:ascii="宋体" w:hAnsi="宋体"/>
          <w:color w:val="auto"/>
          <w:szCs w:val="21"/>
        </w:rPr>
        <w:t>公路交通工程专业承包一级资质（公路机电工程专业分项），安全生产许可证有效期内，拟派建造师具有公路工程或机电工程专业二级（含二级）以上注册建造师证书及有效的安全生产考核合格证书；2014年1月1日以来类似交通信号灯业绩，（提供中标通知书、合同原件）、</w:t>
      </w:r>
      <w:r>
        <w:rPr>
          <w:rFonts w:hint="eastAsia" w:ascii="宋体" w:hAnsi="宋体"/>
          <w:color w:val="auto"/>
          <w:szCs w:val="21"/>
        </w:rPr>
        <w:t>投</w:t>
      </w:r>
      <w:r>
        <w:rPr>
          <w:rFonts w:hint="eastAsia" w:ascii="宋体" w:hAnsi="宋体"/>
          <w:color w:val="auto"/>
          <w:szCs w:val="21"/>
        </w:rPr>
        <w:t>标保证金交付凭证、</w:t>
      </w:r>
      <w:r>
        <w:rPr>
          <w:rFonts w:hint="eastAsia" w:ascii="宋体" w:hAnsi="宋体" w:cs="宋体"/>
          <w:color w:val="auto"/>
          <w:kern w:val="0"/>
          <w:szCs w:val="21"/>
        </w:rPr>
        <w:t>近期依法缴纳社会保障资金的交款凭证、近期依法纳税证明、</w:t>
      </w:r>
      <w:r>
        <w:rPr>
          <w:rFonts w:hint="eastAsia" w:ascii="宋体" w:hAnsi="宋体"/>
          <w:color w:val="auto"/>
          <w:szCs w:val="21"/>
        </w:rPr>
        <w:t>近三年财务审计报告、</w:t>
      </w:r>
      <w:r>
        <w:rPr>
          <w:rFonts w:hint="eastAsia" w:ascii="宋体" w:hAnsi="宋体" w:cs="宋体"/>
          <w:color w:val="auto"/>
          <w:kern w:val="0"/>
          <w:szCs w:val="21"/>
        </w:rPr>
        <w:t>在经营活动中没有重大违法记录声明</w:t>
      </w:r>
      <w:r>
        <w:rPr>
          <w:rFonts w:hint="eastAsia" w:ascii="宋体" w:hAnsi="宋体"/>
          <w:color w:val="auto"/>
          <w:szCs w:val="21"/>
        </w:rPr>
        <w:t>等。</w:t>
      </w:r>
    </w:p>
    <w:p>
      <w:pPr>
        <w:spacing w:line="440" w:lineRule="exact"/>
        <w:ind w:firstLine="482" w:firstLineChars="200"/>
        <w:rPr>
          <w:rFonts w:ascii="宋体" w:hAnsi="宋体"/>
          <w:color w:val="auto"/>
          <w:szCs w:val="21"/>
        </w:rPr>
      </w:pPr>
      <w:r>
        <w:rPr>
          <w:rFonts w:hint="eastAsia" w:ascii="宋体" w:hAnsi="宋体"/>
          <w:b/>
          <w:color w:val="auto"/>
          <w:kern w:val="0"/>
          <w:sz w:val="24"/>
        </w:rPr>
        <w:t>5.</w:t>
      </w:r>
      <w:r>
        <w:rPr>
          <w:rFonts w:hint="eastAsia" w:ascii="宋体" w:hAnsi="宋体"/>
          <w:b/>
          <w:color w:val="auto"/>
          <w:sz w:val="24"/>
        </w:rPr>
        <w:t>3投标人有下列情形之一的，采购人不予受理</w:t>
      </w:r>
    </w:p>
    <w:p>
      <w:pPr>
        <w:spacing w:line="440" w:lineRule="exact"/>
        <w:ind w:left="-178" w:leftChars="-85" w:firstLine="420" w:firstLineChars="200"/>
        <w:rPr>
          <w:rFonts w:ascii="宋体" w:hAnsi="宋体"/>
          <w:color w:val="auto"/>
          <w:szCs w:val="21"/>
        </w:rPr>
      </w:pPr>
      <w:r>
        <w:rPr>
          <w:rFonts w:hint="eastAsia" w:ascii="宋体" w:hAnsi="宋体"/>
          <w:color w:val="auto"/>
          <w:szCs w:val="21"/>
        </w:rPr>
        <w:t>（1）投标文件逾期送达的或者未送达指定地点的；</w:t>
      </w:r>
    </w:p>
    <w:p>
      <w:pPr>
        <w:spacing w:line="440" w:lineRule="exact"/>
        <w:ind w:left="-178" w:leftChars="-85" w:firstLine="420" w:firstLineChars="200"/>
        <w:rPr>
          <w:rFonts w:ascii="宋体" w:hAnsi="宋体"/>
          <w:b/>
          <w:color w:val="auto"/>
          <w:kern w:val="0"/>
          <w:sz w:val="24"/>
        </w:rPr>
      </w:pPr>
      <w:r>
        <w:rPr>
          <w:rFonts w:hint="eastAsia" w:ascii="宋体" w:hAnsi="宋体"/>
          <w:color w:val="auto"/>
          <w:szCs w:val="21"/>
        </w:rPr>
        <w:t>（2）未按招标文件要求密封的。</w:t>
      </w:r>
    </w:p>
    <w:p>
      <w:pPr>
        <w:autoSpaceDE w:val="0"/>
        <w:autoSpaceDN w:val="0"/>
        <w:adjustRightInd w:val="0"/>
        <w:spacing w:line="440" w:lineRule="exact"/>
        <w:ind w:firstLine="482" w:firstLineChars="200"/>
        <w:rPr>
          <w:rFonts w:ascii="宋体" w:hAnsi="宋体"/>
          <w:b/>
          <w:color w:val="auto"/>
          <w:kern w:val="0"/>
          <w:sz w:val="24"/>
        </w:rPr>
      </w:pPr>
      <w:r>
        <w:rPr>
          <w:rFonts w:hint="eastAsia" w:ascii="宋体" w:hAnsi="宋体"/>
          <w:b/>
          <w:color w:val="auto"/>
          <w:kern w:val="0"/>
          <w:sz w:val="24"/>
        </w:rPr>
        <w:t>5.4 开标程序</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szCs w:val="21"/>
        </w:rPr>
        <w:t>招标主持人按以下程序开标：</w:t>
      </w:r>
    </w:p>
    <w:p>
      <w:pPr>
        <w:autoSpaceDE w:val="0"/>
        <w:autoSpaceDN w:val="0"/>
        <w:adjustRightInd w:val="0"/>
        <w:spacing w:line="440" w:lineRule="exact"/>
        <w:ind w:left="-178" w:leftChars="-85" w:firstLine="420" w:firstLineChars="200"/>
        <w:rPr>
          <w:rFonts w:ascii="宋体" w:hAnsi="宋体"/>
          <w:color w:val="auto"/>
          <w:kern w:val="0"/>
          <w:szCs w:val="21"/>
        </w:rPr>
      </w:pPr>
      <w:r>
        <w:rPr>
          <w:rFonts w:hint="eastAsia" w:ascii="宋体" w:hAnsi="宋体"/>
          <w:color w:val="auto"/>
          <w:szCs w:val="21"/>
        </w:rPr>
        <w:t>（1）宣布会议开始；</w:t>
      </w:r>
    </w:p>
    <w:p>
      <w:pPr>
        <w:spacing w:line="440" w:lineRule="exact"/>
        <w:ind w:left="-178" w:leftChars="-85" w:firstLine="420" w:firstLineChars="200"/>
        <w:rPr>
          <w:rFonts w:ascii="宋体" w:hAnsi="宋体"/>
          <w:color w:val="auto"/>
          <w:szCs w:val="21"/>
        </w:rPr>
      </w:pPr>
      <w:r>
        <w:rPr>
          <w:rFonts w:hint="eastAsia" w:ascii="宋体" w:hAnsi="宋体"/>
          <w:color w:val="auto"/>
          <w:szCs w:val="21"/>
        </w:rPr>
        <w:t>（2）宣布会场纪律；</w:t>
      </w:r>
    </w:p>
    <w:p>
      <w:pPr>
        <w:spacing w:line="440" w:lineRule="exact"/>
        <w:ind w:left="-178" w:leftChars="-85" w:firstLine="420" w:firstLineChars="200"/>
        <w:rPr>
          <w:rFonts w:ascii="宋体" w:hAnsi="宋体"/>
          <w:color w:val="auto"/>
          <w:szCs w:val="21"/>
        </w:rPr>
      </w:pPr>
      <w:r>
        <w:rPr>
          <w:rFonts w:hint="eastAsia" w:ascii="宋体" w:hAnsi="宋体"/>
          <w:color w:val="auto"/>
          <w:szCs w:val="21"/>
        </w:rPr>
        <w:t>（3）介绍出席开标会议的采购人与监督单位代表及各投标人；</w:t>
      </w:r>
    </w:p>
    <w:p>
      <w:pPr>
        <w:spacing w:line="440" w:lineRule="exact"/>
        <w:rPr>
          <w:rFonts w:ascii="宋体" w:hAnsi="宋体"/>
          <w:color w:val="auto"/>
          <w:szCs w:val="21"/>
        </w:rPr>
      </w:pPr>
      <w:r>
        <w:rPr>
          <w:rFonts w:hint="eastAsia" w:ascii="宋体" w:hAnsi="宋体"/>
          <w:color w:val="auto"/>
          <w:szCs w:val="21"/>
        </w:rPr>
        <w:t xml:space="preserve">  （4）由投标人派代表检查投标文件的密封情况,以确认本单位投标文件是否与递交前一致；</w:t>
      </w:r>
    </w:p>
    <w:p>
      <w:pPr>
        <w:spacing w:line="440" w:lineRule="exact"/>
        <w:rPr>
          <w:rFonts w:ascii="宋体" w:hAnsi="宋体"/>
          <w:color w:val="auto"/>
          <w:szCs w:val="21"/>
        </w:rPr>
      </w:pPr>
      <w:r>
        <w:rPr>
          <w:rFonts w:hint="eastAsia" w:ascii="宋体" w:hAnsi="宋体"/>
          <w:color w:val="auto"/>
          <w:szCs w:val="21"/>
        </w:rPr>
        <w:t xml:space="preserve">  （5）经签字确认后，由投标人按签到的逆顺序进行唱标，唱标人进行复唱，投标人或监督单位代表如有异议当场提出；</w:t>
      </w:r>
    </w:p>
    <w:p>
      <w:pPr>
        <w:spacing w:line="440" w:lineRule="exact"/>
        <w:rPr>
          <w:rFonts w:ascii="宋体" w:hAnsi="宋体"/>
          <w:color w:val="auto"/>
          <w:szCs w:val="21"/>
        </w:rPr>
      </w:pPr>
      <w:r>
        <w:rPr>
          <w:rFonts w:hint="eastAsia" w:ascii="宋体" w:hAnsi="宋体"/>
          <w:color w:val="auto"/>
          <w:szCs w:val="21"/>
        </w:rPr>
        <w:t xml:space="preserve">  （6）记录人将对开标过程进行记录，投标人签字确认，以存档备查；</w:t>
      </w:r>
    </w:p>
    <w:p>
      <w:pPr>
        <w:spacing w:line="440" w:lineRule="exact"/>
        <w:rPr>
          <w:rFonts w:ascii="宋体" w:hAnsi="宋体"/>
          <w:color w:val="auto"/>
          <w:szCs w:val="21"/>
        </w:rPr>
      </w:pPr>
      <w:r>
        <w:rPr>
          <w:rFonts w:hint="eastAsia" w:ascii="宋体" w:hAnsi="宋体"/>
          <w:color w:val="auto"/>
          <w:szCs w:val="21"/>
        </w:rPr>
        <w:t xml:space="preserve">  （7）开标会议结束，进入评标程序。</w:t>
      </w:r>
    </w:p>
    <w:p>
      <w:pPr>
        <w:autoSpaceDE w:val="0"/>
        <w:autoSpaceDN w:val="0"/>
        <w:adjustRightInd w:val="0"/>
        <w:spacing w:line="440" w:lineRule="exact"/>
        <w:ind w:firstLine="360" w:firstLineChars="112"/>
        <w:outlineLvl w:val="1"/>
        <w:rPr>
          <w:rFonts w:ascii="方正黑体简体" w:hAnsi="宋体" w:eastAsia="方正黑体简体"/>
          <w:b/>
          <w:color w:val="auto"/>
          <w:kern w:val="0"/>
          <w:sz w:val="32"/>
          <w:szCs w:val="32"/>
        </w:rPr>
      </w:pPr>
      <w:bookmarkStart w:id="9" w:name="_Toc17124"/>
      <w:r>
        <w:rPr>
          <w:rFonts w:hint="eastAsia" w:ascii="方正黑体简体" w:hAnsi="宋体" w:eastAsia="方正黑体简体"/>
          <w:b/>
          <w:color w:val="auto"/>
          <w:kern w:val="0"/>
          <w:sz w:val="32"/>
          <w:szCs w:val="32"/>
        </w:rPr>
        <w:t>6.评标</w:t>
      </w:r>
      <w:bookmarkEnd w:id="9"/>
    </w:p>
    <w:p>
      <w:pPr>
        <w:autoSpaceDE w:val="0"/>
        <w:autoSpaceDN w:val="0"/>
        <w:adjustRightInd w:val="0"/>
        <w:spacing w:line="440" w:lineRule="exact"/>
        <w:ind w:left="-178" w:leftChars="-85" w:firstLine="480" w:firstLineChars="200"/>
        <w:rPr>
          <w:rFonts w:ascii="方正黑体简体" w:hAnsi="宋体" w:eastAsia="方正黑体简体"/>
          <w:b/>
          <w:color w:val="auto"/>
          <w:kern w:val="0"/>
          <w:sz w:val="32"/>
          <w:szCs w:val="32"/>
        </w:rPr>
      </w:pPr>
      <w:r>
        <w:rPr>
          <w:rFonts w:hint="eastAsia" w:ascii="宋体" w:hAnsi="宋体"/>
          <w:color w:val="auto"/>
          <w:kern w:val="0"/>
          <w:sz w:val="24"/>
        </w:rPr>
        <w:t xml:space="preserve"> </w:t>
      </w:r>
      <w:r>
        <w:rPr>
          <w:rFonts w:hint="eastAsia" w:ascii="宋体" w:hAnsi="宋体"/>
          <w:b/>
          <w:color w:val="auto"/>
          <w:kern w:val="0"/>
          <w:sz w:val="24"/>
        </w:rPr>
        <w:t>6.1 评标委员会</w:t>
      </w:r>
    </w:p>
    <w:p>
      <w:pPr>
        <w:autoSpaceDE w:val="0"/>
        <w:autoSpaceDN w:val="0"/>
        <w:adjustRightInd w:val="0"/>
        <w:spacing w:line="440" w:lineRule="exact"/>
        <w:ind w:firstLine="420" w:firstLineChars="200"/>
        <w:rPr>
          <w:rFonts w:ascii="宋体" w:hAnsi="宋体"/>
          <w:color w:val="auto"/>
          <w:kern w:val="0"/>
          <w:szCs w:val="21"/>
        </w:rPr>
      </w:pPr>
      <w:r>
        <w:rPr>
          <w:rFonts w:hint="eastAsia" w:ascii="宋体" w:hAnsi="宋体"/>
          <w:color w:val="auto"/>
          <w:kern w:val="0"/>
          <w:szCs w:val="21"/>
        </w:rPr>
        <w:t>评标由采购人依法组建的评标委员会负责。评标委员会由采购人代表，以及有关技术、经济等方面的专家组成。评标委员会成员人数以及技术、经济等方面专家的确定方式见投标人须知前附表。</w:t>
      </w:r>
    </w:p>
    <w:p>
      <w:pPr>
        <w:autoSpaceDE w:val="0"/>
        <w:autoSpaceDN w:val="0"/>
        <w:adjustRightInd w:val="0"/>
        <w:spacing w:line="440" w:lineRule="exact"/>
        <w:ind w:firstLine="420" w:firstLineChars="200"/>
        <w:jc w:val="left"/>
        <w:rPr>
          <w:rFonts w:ascii="宋体" w:hAnsi="宋体"/>
          <w:b/>
          <w:color w:val="auto"/>
          <w:sz w:val="24"/>
        </w:rPr>
      </w:pPr>
      <w:r>
        <w:rPr>
          <w:rFonts w:hint="eastAsia" w:ascii="宋体" w:hAnsi="宋体"/>
          <w:color w:val="auto"/>
          <w:kern w:val="0"/>
          <w:szCs w:val="21"/>
        </w:rPr>
        <w:t xml:space="preserve">  </w:t>
      </w:r>
      <w:r>
        <w:rPr>
          <w:rFonts w:hint="eastAsia" w:ascii="宋体" w:hAnsi="宋体"/>
          <w:b/>
          <w:color w:val="auto"/>
          <w:sz w:val="24"/>
        </w:rPr>
        <w:t>6.2 评标办法</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 xml:space="preserve">  6.2.1 评标办法见投标人须知前附表。</w:t>
      </w:r>
    </w:p>
    <w:p>
      <w:pPr>
        <w:autoSpaceDE w:val="0"/>
        <w:autoSpaceDN w:val="0"/>
        <w:adjustRightInd w:val="0"/>
        <w:spacing w:line="440" w:lineRule="exact"/>
        <w:ind w:firstLine="420" w:firstLineChars="200"/>
        <w:jc w:val="left"/>
        <w:rPr>
          <w:rFonts w:ascii="宋体" w:hAnsi="宋体"/>
          <w:color w:val="auto"/>
          <w:kern w:val="0"/>
          <w:szCs w:val="21"/>
        </w:rPr>
      </w:pPr>
      <w:r>
        <w:rPr>
          <w:rFonts w:hint="eastAsia" w:ascii="宋体" w:hAnsi="宋体"/>
          <w:color w:val="auto"/>
          <w:kern w:val="0"/>
          <w:szCs w:val="21"/>
        </w:rPr>
        <w:t xml:space="preserve">  6.2.2 评标委员会按照本章第6.2.1项规定的评标办法和第三章“评标办法”规定的评标因素、标准和程序对投标文件进行评审。第三章“评标办法”没有规定的评审因素和标准，不作为评标依据。</w:t>
      </w:r>
    </w:p>
    <w:p>
      <w:pPr>
        <w:spacing w:line="440" w:lineRule="exact"/>
        <w:ind w:firstLine="482" w:firstLineChars="200"/>
        <w:rPr>
          <w:rFonts w:ascii="宋体" w:hAnsi="宋体"/>
          <w:color w:val="auto"/>
          <w:kern w:val="0"/>
          <w:szCs w:val="21"/>
        </w:rPr>
      </w:pPr>
      <w:r>
        <w:rPr>
          <w:rFonts w:hint="eastAsia" w:ascii="宋体" w:hAnsi="宋体"/>
          <w:b/>
          <w:color w:val="auto"/>
          <w:sz w:val="24"/>
        </w:rPr>
        <w:t>6.3</w:t>
      </w:r>
      <w:r>
        <w:rPr>
          <w:rFonts w:hint="eastAsia" w:ascii="宋体" w:hAnsi="宋体"/>
          <w:color w:val="auto"/>
          <w:kern w:val="0"/>
          <w:szCs w:val="21"/>
        </w:rPr>
        <w:t xml:space="preserve"> </w:t>
      </w:r>
      <w:r>
        <w:rPr>
          <w:rFonts w:ascii="宋体" w:hAnsi="宋体"/>
          <w:color w:val="auto"/>
          <w:kern w:val="0"/>
          <w:szCs w:val="21"/>
        </w:rPr>
        <w:t>在招标采购中，出现下列情形之一的，应予废标：</w:t>
      </w:r>
    </w:p>
    <w:p>
      <w:pPr>
        <w:spacing w:line="440" w:lineRule="exact"/>
        <w:ind w:firstLine="420" w:firstLineChars="200"/>
        <w:rPr>
          <w:rFonts w:ascii="宋体" w:hAnsi="宋体"/>
          <w:color w:val="auto"/>
          <w:kern w:val="0"/>
          <w:szCs w:val="21"/>
        </w:rPr>
      </w:pPr>
      <w:r>
        <w:rPr>
          <w:rFonts w:hint="eastAsia" w:ascii="宋体" w:hAnsi="宋体"/>
          <w:color w:val="auto"/>
          <w:kern w:val="0"/>
          <w:szCs w:val="21"/>
        </w:rPr>
        <w:t>6.3.1</w:t>
      </w:r>
      <w:r>
        <w:rPr>
          <w:rFonts w:ascii="宋体" w:hAnsi="宋体"/>
          <w:color w:val="auto"/>
          <w:kern w:val="0"/>
          <w:szCs w:val="21"/>
        </w:rPr>
        <w:t>符合专业条件的</w:t>
      </w:r>
      <w:r>
        <w:rPr>
          <w:rFonts w:hint="eastAsia" w:ascii="宋体" w:hAnsi="宋体"/>
          <w:color w:val="auto"/>
          <w:kern w:val="0"/>
          <w:szCs w:val="21"/>
        </w:rPr>
        <w:t>投标人</w:t>
      </w:r>
      <w:r>
        <w:rPr>
          <w:rFonts w:ascii="宋体" w:hAnsi="宋体"/>
          <w:color w:val="auto"/>
          <w:kern w:val="0"/>
          <w:szCs w:val="21"/>
        </w:rPr>
        <w:t>或者对招标文件作实质响应的</w:t>
      </w:r>
      <w:r>
        <w:rPr>
          <w:rFonts w:hint="eastAsia" w:ascii="宋体" w:hAnsi="宋体"/>
          <w:color w:val="auto"/>
          <w:kern w:val="0"/>
          <w:szCs w:val="21"/>
        </w:rPr>
        <w:t>投标人</w:t>
      </w:r>
      <w:r>
        <w:rPr>
          <w:rFonts w:ascii="宋体" w:hAnsi="宋体"/>
          <w:color w:val="auto"/>
          <w:kern w:val="0"/>
          <w:szCs w:val="21"/>
        </w:rPr>
        <w:t>不足三家的；</w:t>
      </w:r>
    </w:p>
    <w:p>
      <w:pPr>
        <w:spacing w:line="440" w:lineRule="exact"/>
        <w:ind w:firstLine="420" w:firstLineChars="200"/>
        <w:rPr>
          <w:rFonts w:ascii="宋体" w:hAnsi="宋体"/>
          <w:color w:val="auto"/>
          <w:kern w:val="0"/>
          <w:szCs w:val="21"/>
        </w:rPr>
      </w:pPr>
      <w:r>
        <w:rPr>
          <w:rFonts w:hint="eastAsia" w:ascii="宋体" w:hAnsi="宋体"/>
          <w:color w:val="auto"/>
          <w:kern w:val="0"/>
          <w:szCs w:val="21"/>
        </w:rPr>
        <w:t>6.3.2</w:t>
      </w:r>
      <w:r>
        <w:rPr>
          <w:rFonts w:ascii="宋体" w:hAnsi="宋体"/>
          <w:color w:val="auto"/>
          <w:kern w:val="0"/>
          <w:szCs w:val="21"/>
        </w:rPr>
        <w:t>出现影响采购公正的违法、违规行为的；</w:t>
      </w:r>
    </w:p>
    <w:p>
      <w:pPr>
        <w:spacing w:line="440" w:lineRule="exact"/>
        <w:ind w:firstLine="420" w:firstLineChars="200"/>
        <w:rPr>
          <w:rFonts w:ascii="宋体" w:hAnsi="宋体"/>
          <w:color w:val="auto"/>
          <w:kern w:val="0"/>
          <w:szCs w:val="21"/>
        </w:rPr>
      </w:pPr>
      <w:r>
        <w:rPr>
          <w:rFonts w:hint="eastAsia" w:ascii="宋体" w:hAnsi="宋体"/>
          <w:color w:val="auto"/>
          <w:kern w:val="0"/>
          <w:szCs w:val="21"/>
        </w:rPr>
        <w:t>6.3.3</w:t>
      </w:r>
      <w:r>
        <w:rPr>
          <w:rFonts w:ascii="宋体" w:hAnsi="宋体"/>
          <w:color w:val="auto"/>
          <w:kern w:val="0"/>
          <w:szCs w:val="21"/>
        </w:rPr>
        <w:t>投标人的报价超过了采购预算，</w:t>
      </w:r>
      <w:r>
        <w:rPr>
          <w:rFonts w:hint="eastAsia" w:ascii="宋体" w:hAnsi="宋体"/>
          <w:color w:val="auto"/>
          <w:kern w:val="0"/>
          <w:szCs w:val="21"/>
        </w:rPr>
        <w:t>采购人</w:t>
      </w:r>
      <w:r>
        <w:rPr>
          <w:rFonts w:ascii="宋体" w:hAnsi="宋体"/>
          <w:color w:val="auto"/>
          <w:kern w:val="0"/>
          <w:szCs w:val="21"/>
        </w:rPr>
        <w:t>不能支付的；</w:t>
      </w:r>
    </w:p>
    <w:p>
      <w:pPr>
        <w:spacing w:line="440" w:lineRule="exact"/>
        <w:ind w:firstLine="420" w:firstLineChars="200"/>
        <w:rPr>
          <w:rFonts w:ascii="宋体" w:hAnsi="宋体"/>
          <w:color w:val="auto"/>
          <w:kern w:val="0"/>
          <w:szCs w:val="21"/>
        </w:rPr>
      </w:pPr>
      <w:r>
        <w:rPr>
          <w:rFonts w:hint="eastAsia" w:ascii="宋体" w:hAnsi="宋体"/>
          <w:color w:val="auto"/>
          <w:kern w:val="0"/>
          <w:szCs w:val="21"/>
        </w:rPr>
        <w:t>6.3.4</w:t>
      </w:r>
      <w:r>
        <w:rPr>
          <w:rFonts w:ascii="宋体" w:hAnsi="宋体"/>
          <w:color w:val="auto"/>
          <w:kern w:val="0"/>
          <w:szCs w:val="21"/>
        </w:rPr>
        <w:t>因重大变故，采购任务取消的</w:t>
      </w:r>
      <w:r>
        <w:rPr>
          <w:rFonts w:hint="eastAsia" w:ascii="宋体" w:hAnsi="宋体"/>
          <w:color w:val="auto"/>
          <w:kern w:val="0"/>
          <w:szCs w:val="21"/>
        </w:rPr>
        <w:t>.</w:t>
      </w:r>
    </w:p>
    <w:p>
      <w:pPr>
        <w:spacing w:line="440" w:lineRule="exact"/>
        <w:ind w:firstLine="420" w:firstLineChars="200"/>
        <w:rPr>
          <w:rFonts w:ascii="宋体" w:hAnsi="宋体"/>
          <w:color w:val="auto"/>
          <w:kern w:val="0"/>
          <w:szCs w:val="21"/>
        </w:rPr>
      </w:pPr>
      <w:r>
        <w:rPr>
          <w:rFonts w:hint="eastAsia" w:ascii="宋体" w:hAnsi="宋体"/>
          <w:color w:val="auto"/>
          <w:kern w:val="0"/>
          <w:szCs w:val="21"/>
        </w:rPr>
        <w:t>6.3.5投标人未响应实质要求的。</w:t>
      </w:r>
    </w:p>
    <w:p>
      <w:pPr>
        <w:spacing w:line="440" w:lineRule="exact"/>
        <w:ind w:firstLine="482" w:firstLineChars="200"/>
        <w:rPr>
          <w:rFonts w:ascii="宋体" w:hAnsi="宋体"/>
          <w:b/>
          <w:color w:val="auto"/>
          <w:sz w:val="24"/>
        </w:rPr>
      </w:pPr>
      <w:r>
        <w:rPr>
          <w:rFonts w:hint="eastAsia" w:ascii="宋体" w:hAnsi="宋体"/>
          <w:b/>
          <w:color w:val="auto"/>
          <w:sz w:val="24"/>
        </w:rPr>
        <w:t xml:space="preserve">6.4 </w:t>
      </w:r>
      <w:r>
        <w:rPr>
          <w:rFonts w:ascii="宋体" w:hAnsi="宋体"/>
          <w:color w:val="auto"/>
          <w:kern w:val="0"/>
          <w:szCs w:val="21"/>
        </w:rPr>
        <w:t> 废标后，除采购任务取消情形外，应当重新组织招标；需要采取其他方式采购的，应当在采购活动开始前获得</w:t>
      </w:r>
      <w:r>
        <w:rPr>
          <w:rFonts w:hint="eastAsia" w:ascii="宋体" w:hAnsi="宋体"/>
          <w:color w:val="auto"/>
          <w:kern w:val="0"/>
          <w:szCs w:val="21"/>
        </w:rPr>
        <w:t>温县</w:t>
      </w:r>
      <w:r>
        <w:rPr>
          <w:rFonts w:ascii="宋体" w:hAnsi="宋体"/>
          <w:color w:val="auto"/>
          <w:kern w:val="0"/>
          <w:szCs w:val="21"/>
        </w:rPr>
        <w:t>人民政府采购监督管理部门或者政府有关部门批准。</w:t>
      </w:r>
    </w:p>
    <w:p>
      <w:pPr>
        <w:spacing w:line="420" w:lineRule="exact"/>
        <w:ind w:firstLine="482" w:firstLineChars="200"/>
        <w:rPr>
          <w:rFonts w:ascii="宋体" w:hAnsi="宋体"/>
          <w:b/>
          <w:color w:val="auto"/>
          <w:sz w:val="24"/>
        </w:rPr>
      </w:pPr>
      <w:r>
        <w:rPr>
          <w:rFonts w:hint="eastAsia" w:ascii="宋体" w:hAnsi="宋体"/>
          <w:b/>
          <w:color w:val="auto"/>
          <w:sz w:val="24"/>
        </w:rPr>
        <w:t>6.5 纪律和监督</w:t>
      </w:r>
    </w:p>
    <w:p>
      <w:pPr>
        <w:spacing w:line="420" w:lineRule="exact"/>
        <w:ind w:firstLine="420" w:firstLineChars="200"/>
        <w:rPr>
          <w:rFonts w:ascii="宋体" w:hAnsi="宋体"/>
          <w:color w:val="auto"/>
          <w:szCs w:val="21"/>
        </w:rPr>
      </w:pPr>
      <w:r>
        <w:rPr>
          <w:rFonts w:hint="eastAsia" w:ascii="宋体" w:hAnsi="宋体"/>
          <w:color w:val="auto"/>
          <w:szCs w:val="21"/>
        </w:rPr>
        <w:t>6.5.1对采购人的纪律要求。采购人不得泄漏招标投标活动中应当保密的情况和资料，不得与投标人串通损害国家利益、社会公共利益或者他人合法权益。</w:t>
      </w:r>
    </w:p>
    <w:p>
      <w:pPr>
        <w:spacing w:line="420" w:lineRule="exact"/>
        <w:ind w:firstLine="420" w:firstLineChars="200"/>
        <w:rPr>
          <w:rFonts w:ascii="宋体" w:hAnsi="宋体"/>
          <w:color w:val="auto"/>
          <w:szCs w:val="21"/>
        </w:rPr>
      </w:pPr>
      <w:r>
        <w:rPr>
          <w:rFonts w:hint="eastAsia" w:ascii="宋体" w:hAnsi="宋体"/>
          <w:color w:val="auto"/>
          <w:szCs w:val="21"/>
        </w:rPr>
        <w:t>6.5.2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20" w:lineRule="exact"/>
        <w:ind w:firstLine="420" w:firstLineChars="200"/>
        <w:rPr>
          <w:rFonts w:ascii="宋体" w:hAnsi="宋体"/>
          <w:color w:val="auto"/>
          <w:szCs w:val="21"/>
        </w:rPr>
      </w:pPr>
      <w:r>
        <w:rPr>
          <w:rFonts w:hint="eastAsia" w:ascii="宋体" w:hAnsi="宋体"/>
          <w:color w:val="auto"/>
          <w:szCs w:val="21"/>
        </w:rPr>
        <w:t>6.5.3</w:t>
      </w:r>
      <w:r>
        <w:rPr>
          <w:rFonts w:hint="eastAsia" w:ascii="宋体" w:hAnsi="宋体"/>
          <w:color w:val="auto"/>
          <w:kern w:val="0"/>
          <w:szCs w:val="21"/>
        </w:rPr>
        <w:t>对评标委员会成员的纪律要求</w:t>
      </w:r>
      <w:r>
        <w:rPr>
          <w:rFonts w:hint="eastAsia" w:ascii="宋体" w:hAnsi="宋体"/>
          <w:color w:val="auto"/>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20" w:lineRule="exact"/>
        <w:ind w:firstLine="482" w:firstLineChars="200"/>
        <w:rPr>
          <w:rFonts w:ascii="宋体" w:hAnsi="宋体"/>
          <w:b/>
          <w:color w:val="auto"/>
          <w:kern w:val="0"/>
          <w:sz w:val="24"/>
        </w:rPr>
      </w:pPr>
      <w:r>
        <w:rPr>
          <w:rFonts w:hint="eastAsia" w:ascii="宋体" w:hAnsi="宋体"/>
          <w:b/>
          <w:color w:val="auto"/>
          <w:sz w:val="24"/>
        </w:rPr>
        <w:t>6.5</w:t>
      </w:r>
      <w:r>
        <w:rPr>
          <w:rFonts w:hint="eastAsia" w:ascii="宋体" w:hAnsi="宋体"/>
          <w:b/>
          <w:color w:val="auto"/>
          <w:kern w:val="0"/>
          <w:sz w:val="24"/>
        </w:rPr>
        <w:t>对与评标活动有关的工作人员的纪律要求</w:t>
      </w:r>
    </w:p>
    <w:p>
      <w:pPr>
        <w:spacing w:line="420" w:lineRule="exact"/>
        <w:ind w:firstLine="420" w:firstLineChars="200"/>
        <w:rPr>
          <w:rFonts w:ascii="宋体" w:hAnsi="宋体"/>
          <w:color w:val="auto"/>
          <w:szCs w:val="21"/>
        </w:rPr>
      </w:pPr>
      <w:r>
        <w:rPr>
          <w:rFonts w:hint="eastAsia" w:ascii="宋体" w:hAnsi="宋体"/>
          <w:color w:val="auto"/>
          <w:kern w:val="0"/>
          <w:szCs w:val="21"/>
        </w:rPr>
        <w:t>与评标活动有关</w:t>
      </w:r>
      <w:r>
        <w:rPr>
          <w:rFonts w:hint="eastAsia" w:ascii="宋体" w:hAnsi="宋体"/>
          <w:color w:val="auto"/>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20" w:lineRule="exact"/>
        <w:ind w:firstLine="482" w:firstLineChars="200"/>
        <w:rPr>
          <w:rFonts w:ascii="宋体" w:hAnsi="宋体"/>
          <w:color w:val="auto"/>
          <w:sz w:val="24"/>
        </w:rPr>
      </w:pPr>
      <w:r>
        <w:rPr>
          <w:rFonts w:hint="eastAsia" w:ascii="宋体" w:hAnsi="宋体" w:cs="宋体"/>
          <w:b/>
          <w:bCs/>
          <w:color w:val="auto"/>
          <w:kern w:val="0"/>
          <w:sz w:val="24"/>
        </w:rPr>
        <w:t>6.6 质疑和投诉</w:t>
      </w:r>
    </w:p>
    <w:p>
      <w:pPr>
        <w:spacing w:line="420" w:lineRule="exact"/>
        <w:ind w:firstLine="420" w:firstLineChars="200"/>
        <w:rPr>
          <w:rFonts w:ascii="宋体" w:hAnsi="宋体"/>
          <w:color w:val="auto"/>
          <w:szCs w:val="21"/>
        </w:rPr>
      </w:pPr>
      <w:r>
        <w:rPr>
          <w:rFonts w:hint="eastAsia" w:ascii="宋体" w:hAnsi="宋体" w:cs="宋体"/>
          <w:color w:val="auto"/>
          <w:kern w:val="0"/>
          <w:szCs w:val="21"/>
        </w:rPr>
        <w:t>投标人认为采购文件、采购过程和中标、成交结果使自己的权益受到损害的，可以在知道或者应知其权益受到损害之日起七个工作日内，以书面形式向采购人或采购代理机构提出质疑，否则不予受理。</w:t>
      </w:r>
    </w:p>
    <w:p>
      <w:pPr>
        <w:autoSpaceDE w:val="0"/>
        <w:autoSpaceDN w:val="0"/>
        <w:adjustRightInd w:val="0"/>
        <w:spacing w:line="420" w:lineRule="exact"/>
        <w:ind w:firstLine="360" w:firstLineChars="112"/>
        <w:jc w:val="left"/>
        <w:outlineLvl w:val="1"/>
        <w:rPr>
          <w:rFonts w:ascii="方正黑体简体" w:hAnsi="宋体" w:eastAsia="方正黑体简体"/>
          <w:b/>
          <w:color w:val="auto"/>
          <w:kern w:val="0"/>
          <w:sz w:val="32"/>
          <w:szCs w:val="32"/>
        </w:rPr>
      </w:pPr>
      <w:bookmarkStart w:id="10" w:name="_Toc6631"/>
      <w:r>
        <w:rPr>
          <w:rFonts w:hint="eastAsia" w:ascii="方正黑体简体" w:hAnsi="宋体" w:eastAsia="方正黑体简体"/>
          <w:b/>
          <w:color w:val="auto"/>
          <w:kern w:val="0"/>
          <w:sz w:val="32"/>
          <w:szCs w:val="32"/>
        </w:rPr>
        <w:t>7.合同授予</w:t>
      </w:r>
      <w:bookmarkEnd w:id="10"/>
    </w:p>
    <w:p>
      <w:pPr>
        <w:autoSpaceDE w:val="0"/>
        <w:autoSpaceDN w:val="0"/>
        <w:adjustRightInd w:val="0"/>
        <w:spacing w:line="420" w:lineRule="exact"/>
        <w:ind w:firstLine="420" w:firstLineChars="200"/>
        <w:jc w:val="left"/>
        <w:rPr>
          <w:rFonts w:ascii="宋体" w:hAnsi="宋体"/>
          <w:color w:val="auto"/>
          <w:kern w:val="0"/>
          <w:sz w:val="24"/>
        </w:rPr>
      </w:pPr>
      <w:r>
        <w:rPr>
          <w:rFonts w:hint="eastAsia" w:ascii="宋体" w:hAnsi="宋体"/>
          <w:color w:val="auto"/>
          <w:kern w:val="0"/>
          <w:szCs w:val="21"/>
        </w:rPr>
        <w:t xml:space="preserve">  </w:t>
      </w:r>
      <w:r>
        <w:rPr>
          <w:rFonts w:hint="eastAsia" w:ascii="宋体" w:hAnsi="宋体"/>
          <w:color w:val="auto"/>
          <w:kern w:val="0"/>
          <w:sz w:val="24"/>
        </w:rPr>
        <w:t>7</w:t>
      </w:r>
      <w:r>
        <w:rPr>
          <w:rFonts w:hint="eastAsia" w:ascii="宋体" w:hAnsi="宋体"/>
          <w:b/>
          <w:color w:val="auto"/>
          <w:kern w:val="0"/>
          <w:sz w:val="24"/>
        </w:rPr>
        <w:t>.1 中标通知</w:t>
      </w:r>
    </w:p>
    <w:p>
      <w:pPr>
        <w:autoSpaceDE w:val="0"/>
        <w:autoSpaceDN w:val="0"/>
        <w:adjustRightInd w:val="0"/>
        <w:spacing w:line="420" w:lineRule="exact"/>
        <w:ind w:firstLine="525" w:firstLineChars="250"/>
        <w:jc w:val="left"/>
        <w:rPr>
          <w:rFonts w:ascii="宋体" w:hAnsi="宋体"/>
          <w:color w:val="auto"/>
          <w:kern w:val="0"/>
          <w:szCs w:val="21"/>
        </w:rPr>
      </w:pPr>
      <w:r>
        <w:rPr>
          <w:rFonts w:hint="eastAsia" w:ascii="宋体" w:hAnsi="宋体"/>
          <w:color w:val="auto"/>
          <w:kern w:val="0"/>
          <w:szCs w:val="21"/>
        </w:rPr>
        <w:t>在本章第3.4款规定的投标有效期内，采购人在指定的政府采购网公布中标结果，并以书面形式向中标人发出中标通知书，同时将中标结果通知未中标的投标人。</w:t>
      </w:r>
    </w:p>
    <w:p>
      <w:pPr>
        <w:autoSpaceDE w:val="0"/>
        <w:autoSpaceDN w:val="0"/>
        <w:adjustRightInd w:val="0"/>
        <w:spacing w:line="420" w:lineRule="exact"/>
        <w:ind w:firstLine="420" w:firstLineChars="200"/>
        <w:jc w:val="left"/>
        <w:rPr>
          <w:rFonts w:ascii="宋体" w:hAnsi="宋体"/>
          <w:b/>
          <w:color w:val="auto"/>
          <w:kern w:val="0"/>
          <w:sz w:val="24"/>
        </w:rPr>
      </w:pPr>
      <w:r>
        <w:rPr>
          <w:rFonts w:hint="eastAsia" w:ascii="宋体" w:hAnsi="宋体"/>
          <w:color w:val="auto"/>
          <w:kern w:val="0"/>
          <w:szCs w:val="21"/>
        </w:rPr>
        <w:t xml:space="preserve"> </w:t>
      </w:r>
      <w:r>
        <w:rPr>
          <w:rFonts w:hint="eastAsia" w:ascii="宋体" w:hAnsi="宋体"/>
          <w:b/>
          <w:color w:val="auto"/>
          <w:kern w:val="0"/>
          <w:sz w:val="24"/>
        </w:rPr>
        <w:t>7.2 履约担保</w:t>
      </w:r>
    </w:p>
    <w:p>
      <w:pPr>
        <w:autoSpaceDE w:val="0"/>
        <w:autoSpaceDN w:val="0"/>
        <w:adjustRightInd w:val="0"/>
        <w:spacing w:line="420" w:lineRule="exact"/>
        <w:ind w:firstLine="542" w:firstLineChars="258"/>
        <w:jc w:val="left"/>
        <w:rPr>
          <w:rFonts w:ascii="宋体" w:hAnsi="宋体"/>
          <w:color w:val="auto"/>
          <w:kern w:val="0"/>
          <w:szCs w:val="21"/>
        </w:rPr>
      </w:pPr>
      <w:r>
        <w:rPr>
          <w:rFonts w:hint="eastAsia" w:ascii="宋体" w:hAnsi="宋体"/>
          <w:color w:val="auto"/>
          <w:kern w:val="0"/>
          <w:szCs w:val="21"/>
        </w:rPr>
        <w:t>7.2.1 在签订合同前，中标人应按投标人须知前附表规定的金额、担保形式和招标文件的有关规定提交履约担保。</w:t>
      </w:r>
    </w:p>
    <w:p>
      <w:pPr>
        <w:autoSpaceDE w:val="0"/>
        <w:autoSpaceDN w:val="0"/>
        <w:adjustRightInd w:val="0"/>
        <w:spacing w:line="420" w:lineRule="exact"/>
        <w:ind w:left="296" w:hanging="296" w:hangingChars="141"/>
        <w:jc w:val="left"/>
        <w:rPr>
          <w:rFonts w:ascii="宋体" w:hAnsi="宋体"/>
          <w:color w:val="auto"/>
          <w:kern w:val="0"/>
          <w:szCs w:val="21"/>
        </w:rPr>
      </w:pPr>
      <w:r>
        <w:rPr>
          <w:rFonts w:hint="eastAsia" w:ascii="宋体" w:hAnsi="宋体"/>
          <w:color w:val="auto"/>
          <w:kern w:val="0"/>
          <w:szCs w:val="21"/>
        </w:rPr>
        <w:t xml:space="preserve">       7.2.2 中标人不能按本章第7.3.1项要求提交履约担保的，视为放弃中标，其投标保证金不予退还；给采购人造成的损失超过投标保证金数额的，中标人还应当对超过部分的损失予以赔偿。</w:t>
      </w:r>
    </w:p>
    <w:p>
      <w:pPr>
        <w:autoSpaceDE w:val="0"/>
        <w:autoSpaceDN w:val="0"/>
        <w:adjustRightInd w:val="0"/>
        <w:spacing w:line="420" w:lineRule="exact"/>
        <w:ind w:firstLine="420" w:firstLineChars="200"/>
        <w:jc w:val="left"/>
        <w:rPr>
          <w:rFonts w:ascii="宋体" w:hAnsi="宋体"/>
          <w:b/>
          <w:color w:val="auto"/>
          <w:kern w:val="0"/>
          <w:sz w:val="24"/>
        </w:rPr>
      </w:pPr>
      <w:r>
        <w:rPr>
          <w:rFonts w:hint="eastAsia" w:ascii="宋体" w:hAnsi="宋体"/>
          <w:color w:val="auto"/>
          <w:kern w:val="0"/>
          <w:szCs w:val="21"/>
        </w:rPr>
        <w:t xml:space="preserve"> </w:t>
      </w:r>
      <w:r>
        <w:rPr>
          <w:rFonts w:hint="eastAsia" w:ascii="宋体" w:hAnsi="宋体"/>
          <w:b/>
          <w:color w:val="auto"/>
          <w:kern w:val="0"/>
          <w:sz w:val="24"/>
        </w:rPr>
        <w:t>7.3 签订合同</w:t>
      </w:r>
    </w:p>
    <w:p>
      <w:pPr>
        <w:autoSpaceDE w:val="0"/>
        <w:autoSpaceDN w:val="0"/>
        <w:adjustRightInd w:val="0"/>
        <w:spacing w:line="420" w:lineRule="exact"/>
        <w:ind w:firstLine="420" w:firstLineChars="200"/>
        <w:jc w:val="left"/>
        <w:rPr>
          <w:rFonts w:ascii="宋体" w:hAnsi="宋体"/>
          <w:color w:val="auto"/>
          <w:kern w:val="0"/>
          <w:szCs w:val="21"/>
        </w:rPr>
      </w:pPr>
      <w:r>
        <w:rPr>
          <w:rFonts w:hint="eastAsia" w:ascii="宋体" w:hAnsi="宋体"/>
          <w:color w:val="auto"/>
          <w:kern w:val="0"/>
          <w:szCs w:val="21"/>
        </w:rPr>
        <w:t>7.3.1 采购人和中标人应当自中标通知书发出之日起30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20" w:lineRule="exact"/>
        <w:ind w:firstLine="420" w:firstLineChars="200"/>
        <w:jc w:val="left"/>
        <w:rPr>
          <w:rFonts w:ascii="宋体" w:hAnsi="宋体"/>
          <w:b/>
          <w:color w:val="auto"/>
          <w:kern w:val="0"/>
          <w:sz w:val="24"/>
        </w:rPr>
      </w:pPr>
      <w:r>
        <w:rPr>
          <w:rFonts w:hint="eastAsia" w:ascii="宋体" w:hAnsi="宋体"/>
          <w:color w:val="auto"/>
          <w:kern w:val="0"/>
          <w:szCs w:val="21"/>
        </w:rPr>
        <w:t>7.3.2发出中标通知书后，采购人无正当理由拒签合同的，采购人向中标人退还投标保证金；给中标人造成损失的，还应当赔偿损失。</w:t>
      </w:r>
    </w:p>
    <w:p>
      <w:pPr>
        <w:autoSpaceDE w:val="0"/>
        <w:autoSpaceDN w:val="0"/>
        <w:adjustRightInd w:val="0"/>
        <w:spacing w:line="420" w:lineRule="exact"/>
        <w:ind w:firstLine="482" w:firstLineChars="200"/>
        <w:jc w:val="left"/>
        <w:rPr>
          <w:rFonts w:ascii="宋体" w:hAnsi="宋体"/>
          <w:color w:val="auto"/>
          <w:kern w:val="0"/>
          <w:sz w:val="24"/>
        </w:rPr>
      </w:pPr>
      <w:r>
        <w:rPr>
          <w:rFonts w:hint="eastAsia" w:ascii="宋体" w:hAnsi="宋体"/>
          <w:b/>
          <w:color w:val="auto"/>
          <w:kern w:val="0"/>
          <w:sz w:val="24"/>
        </w:rPr>
        <w:t xml:space="preserve">7.4 付款方式： </w:t>
      </w:r>
      <w:r>
        <w:rPr>
          <w:rFonts w:hint="eastAsia" w:ascii="宋体" w:hAnsi="宋体"/>
          <w:color w:val="auto"/>
          <w:kern w:val="0"/>
          <w:sz w:val="24"/>
        </w:rPr>
        <w:t xml:space="preserve"> </w:t>
      </w:r>
    </w:p>
    <w:p>
      <w:pPr>
        <w:autoSpaceDE w:val="0"/>
        <w:autoSpaceDN w:val="0"/>
        <w:adjustRightInd w:val="0"/>
        <w:spacing w:line="420" w:lineRule="exact"/>
        <w:ind w:firstLine="420" w:firstLineChars="200"/>
        <w:jc w:val="left"/>
        <w:rPr>
          <w:rFonts w:ascii="方正黑体简体" w:hAnsi="宋体" w:eastAsia="方正黑体简体" w:cs="宋体"/>
          <w:b/>
          <w:bCs/>
          <w:color w:val="auto"/>
          <w:kern w:val="0"/>
          <w:sz w:val="32"/>
          <w:szCs w:val="32"/>
        </w:rPr>
      </w:pPr>
      <w:r>
        <w:rPr>
          <w:rFonts w:hint="eastAsia" w:ascii="宋体" w:hAnsi="宋体"/>
          <w:color w:val="auto"/>
          <w:kern w:val="0"/>
          <w:szCs w:val="21"/>
        </w:rPr>
        <w:t>付款办法按第五章“合同条款”约定执行。</w:t>
      </w:r>
      <w:bookmarkStart w:id="11" w:name="_Toc4251"/>
    </w:p>
    <w:p>
      <w:pPr>
        <w:autoSpaceDE w:val="0"/>
        <w:autoSpaceDN w:val="0"/>
        <w:adjustRightInd w:val="0"/>
        <w:spacing w:line="420" w:lineRule="exact"/>
        <w:ind w:firstLine="315" w:firstLineChars="98"/>
        <w:jc w:val="left"/>
        <w:outlineLvl w:val="1"/>
        <w:rPr>
          <w:rFonts w:ascii="方正黑体简体" w:hAnsi="宋体" w:eastAsia="方正黑体简体" w:cs="宋体"/>
          <w:b/>
          <w:bCs/>
          <w:color w:val="auto"/>
          <w:kern w:val="0"/>
          <w:sz w:val="32"/>
          <w:szCs w:val="32"/>
        </w:rPr>
      </w:pPr>
    </w:p>
    <w:p>
      <w:pPr>
        <w:autoSpaceDE w:val="0"/>
        <w:autoSpaceDN w:val="0"/>
        <w:adjustRightInd w:val="0"/>
        <w:spacing w:line="420" w:lineRule="exact"/>
        <w:ind w:firstLine="315" w:firstLineChars="98"/>
        <w:jc w:val="left"/>
        <w:outlineLvl w:val="1"/>
        <w:rPr>
          <w:rFonts w:ascii="方正黑体简体" w:hAnsi="宋体" w:eastAsia="方正黑体简体" w:cs="宋体"/>
          <w:b/>
          <w:bCs/>
          <w:color w:val="auto"/>
          <w:kern w:val="0"/>
          <w:sz w:val="32"/>
          <w:szCs w:val="32"/>
        </w:rPr>
      </w:pPr>
      <w:r>
        <w:rPr>
          <w:rFonts w:hint="eastAsia" w:ascii="方正黑体简体" w:hAnsi="宋体" w:eastAsia="方正黑体简体" w:cs="宋体"/>
          <w:b/>
          <w:bCs/>
          <w:color w:val="auto"/>
          <w:kern w:val="0"/>
          <w:sz w:val="32"/>
          <w:szCs w:val="32"/>
        </w:rPr>
        <w:t>8．行贿犯罪查询记录</w:t>
      </w:r>
      <w:bookmarkEnd w:id="11"/>
    </w:p>
    <w:p>
      <w:pPr>
        <w:autoSpaceDE w:val="0"/>
        <w:autoSpaceDN w:val="0"/>
        <w:adjustRightInd w:val="0"/>
        <w:spacing w:line="420" w:lineRule="exact"/>
        <w:ind w:firstLine="420" w:firstLineChars="200"/>
        <w:jc w:val="left"/>
        <w:rPr>
          <w:rFonts w:ascii="宋体" w:hAnsi="宋体"/>
          <w:color w:val="auto"/>
          <w:kern w:val="0"/>
          <w:szCs w:val="21"/>
        </w:rPr>
      </w:pPr>
      <w:r>
        <w:rPr>
          <w:rFonts w:hint="eastAsia" w:ascii="宋体" w:hAnsi="宋体"/>
          <w:color w:val="auto"/>
          <w:kern w:val="0"/>
          <w:szCs w:val="21"/>
        </w:rPr>
        <w:t>若开标时要求须提供由检察机关出具的近三年企业法人、法定代表人、授权委托人行贿犯罪查询记录的。</w:t>
      </w:r>
    </w:p>
    <w:p>
      <w:pPr>
        <w:numPr>
          <w:ilvl w:val="0"/>
          <w:numId w:val="12"/>
        </w:numPr>
        <w:autoSpaceDE w:val="0"/>
        <w:autoSpaceDN w:val="0"/>
        <w:adjustRightInd w:val="0"/>
        <w:spacing w:line="420" w:lineRule="exact"/>
        <w:ind w:firstLine="360" w:firstLineChars="112"/>
        <w:outlineLvl w:val="1"/>
        <w:rPr>
          <w:rFonts w:ascii="方正黑体简体" w:hAnsi="宋体" w:eastAsia="方正黑体简体" w:cs="宋体"/>
          <w:b/>
          <w:bCs/>
          <w:color w:val="auto"/>
          <w:kern w:val="0"/>
          <w:sz w:val="32"/>
          <w:szCs w:val="32"/>
        </w:rPr>
      </w:pPr>
      <w:r>
        <w:rPr>
          <w:rFonts w:hint="eastAsia" w:ascii="方正黑体简体" w:hAnsi="宋体" w:eastAsia="方正黑体简体" w:cs="宋体"/>
          <w:b/>
          <w:bCs/>
          <w:color w:val="auto"/>
          <w:kern w:val="0"/>
          <w:sz w:val="32"/>
          <w:szCs w:val="32"/>
        </w:rPr>
        <w:t>政策功能</w:t>
      </w:r>
    </w:p>
    <w:p>
      <w:pPr>
        <w:autoSpaceDE w:val="0"/>
        <w:autoSpaceDN w:val="0"/>
        <w:adjustRightInd w:val="0"/>
        <w:spacing w:line="420" w:lineRule="exact"/>
        <w:ind w:firstLine="481"/>
        <w:rPr>
          <w:rFonts w:ascii="宋体" w:hAnsi="宋体"/>
          <w:bCs/>
          <w:color w:val="auto"/>
          <w:kern w:val="0"/>
          <w:szCs w:val="21"/>
        </w:rPr>
      </w:pPr>
      <w:r>
        <w:rPr>
          <w:rFonts w:hint="eastAsia" w:ascii="宋体" w:hAnsi="宋体"/>
          <w:bCs/>
          <w:color w:val="auto"/>
          <w:kern w:val="0"/>
          <w:szCs w:val="21"/>
        </w:rPr>
        <w:t>9.1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w:t>
      </w:r>
    </w:p>
    <w:p>
      <w:pPr>
        <w:autoSpaceDE w:val="0"/>
        <w:autoSpaceDN w:val="0"/>
        <w:adjustRightInd w:val="0"/>
        <w:spacing w:line="420" w:lineRule="exact"/>
        <w:ind w:firstLine="481"/>
        <w:rPr>
          <w:rFonts w:ascii="宋体" w:hAnsi="宋体"/>
          <w:bCs/>
          <w:color w:val="auto"/>
          <w:kern w:val="0"/>
          <w:szCs w:val="21"/>
        </w:rPr>
      </w:pPr>
      <w:r>
        <w:rPr>
          <w:rFonts w:hint="eastAsia" w:ascii="宋体" w:hAnsi="宋体"/>
          <w:bCs/>
          <w:color w:val="auto"/>
          <w:kern w:val="0"/>
          <w:szCs w:val="21"/>
        </w:rPr>
        <w:t>9.2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pPr>
        <w:autoSpaceDE w:val="0"/>
        <w:autoSpaceDN w:val="0"/>
        <w:adjustRightInd w:val="0"/>
        <w:spacing w:line="420" w:lineRule="exact"/>
        <w:ind w:firstLine="481"/>
        <w:rPr>
          <w:rFonts w:ascii="宋体" w:hAnsi="宋体"/>
          <w:bCs/>
          <w:color w:val="auto"/>
          <w:kern w:val="0"/>
          <w:szCs w:val="21"/>
        </w:rPr>
      </w:pPr>
      <w:r>
        <w:rPr>
          <w:rFonts w:hint="eastAsia" w:ascii="宋体" w:hAnsi="宋体"/>
          <w:bCs/>
          <w:color w:val="auto"/>
          <w:kern w:val="0"/>
          <w:szCs w:val="21"/>
        </w:rPr>
        <w:t>9.3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pPr>
        <w:autoSpaceDE w:val="0"/>
        <w:autoSpaceDN w:val="0"/>
        <w:adjustRightInd w:val="0"/>
        <w:spacing w:line="420" w:lineRule="exact"/>
        <w:ind w:firstLine="481"/>
        <w:rPr>
          <w:rFonts w:ascii="宋体" w:hAnsi="宋体"/>
          <w:color w:val="auto"/>
          <w:kern w:val="0"/>
          <w:szCs w:val="21"/>
        </w:rPr>
      </w:pPr>
      <w:r>
        <w:rPr>
          <w:rFonts w:hint="eastAsia" w:ascii="宋体" w:hAnsi="宋体"/>
          <w:bCs/>
          <w:color w:val="auto"/>
          <w:kern w:val="0"/>
          <w:szCs w:val="21"/>
        </w:rPr>
        <w:t>9.4按照《政府采购促进中小企业发展暂行办法》规定，专门面向中小企业或小型、微型企业采购的项目，应当在招标文件中予以注明；对于非专门面向中小企业的项目，评标委员会对小型和微型企业产品的价格给予6%-10%的扣除，用扣除后的价格参与评审，本项目对小型和微型企业产品的价格给予6%进行扣除。</w:t>
      </w:r>
    </w:p>
    <w:p>
      <w:pPr>
        <w:autoSpaceDE w:val="0"/>
        <w:autoSpaceDN w:val="0"/>
        <w:adjustRightInd w:val="0"/>
        <w:spacing w:line="420" w:lineRule="exact"/>
        <w:ind w:firstLine="360" w:firstLineChars="112"/>
        <w:outlineLvl w:val="1"/>
        <w:rPr>
          <w:rFonts w:ascii="方正黑体简体" w:hAnsi="宋体" w:eastAsia="方正黑体简体" w:cs="宋体"/>
          <w:b/>
          <w:bCs/>
          <w:color w:val="auto"/>
          <w:kern w:val="0"/>
          <w:sz w:val="32"/>
          <w:szCs w:val="32"/>
        </w:rPr>
      </w:pPr>
      <w:bookmarkStart w:id="12" w:name="_Toc1910"/>
      <w:r>
        <w:rPr>
          <w:rFonts w:hint="eastAsia" w:ascii="方正黑体简体" w:hAnsi="宋体" w:eastAsia="方正黑体简体" w:cs="宋体"/>
          <w:b/>
          <w:bCs/>
          <w:color w:val="auto"/>
          <w:kern w:val="0"/>
          <w:sz w:val="32"/>
          <w:szCs w:val="32"/>
        </w:rPr>
        <w:t>10. 需要补充的其他内容</w:t>
      </w:r>
      <w:bookmarkEnd w:id="12"/>
    </w:p>
    <w:p>
      <w:pPr>
        <w:autoSpaceDE w:val="0"/>
        <w:autoSpaceDN w:val="0"/>
        <w:adjustRightInd w:val="0"/>
        <w:spacing w:line="420" w:lineRule="exact"/>
        <w:ind w:firstLine="482" w:firstLineChars="200"/>
        <w:rPr>
          <w:rFonts w:ascii="宋体" w:hAnsi="宋体"/>
          <w:color w:val="auto"/>
          <w:kern w:val="0"/>
          <w:sz w:val="24"/>
        </w:rPr>
      </w:pPr>
      <w:r>
        <w:rPr>
          <w:rFonts w:hint="eastAsia" w:ascii="宋体" w:hAnsi="宋体"/>
          <w:b/>
          <w:color w:val="auto"/>
          <w:kern w:val="0"/>
          <w:sz w:val="24"/>
        </w:rPr>
        <w:t>10.1费用承担</w:t>
      </w:r>
    </w:p>
    <w:p>
      <w:pPr>
        <w:autoSpaceDE w:val="0"/>
        <w:autoSpaceDN w:val="0"/>
        <w:adjustRightInd w:val="0"/>
        <w:spacing w:line="420" w:lineRule="exact"/>
        <w:ind w:firstLine="420" w:firstLineChars="200"/>
        <w:jc w:val="left"/>
        <w:rPr>
          <w:rFonts w:ascii="宋体" w:hAnsi="宋体"/>
          <w:color w:val="auto"/>
          <w:szCs w:val="21"/>
        </w:rPr>
      </w:pPr>
      <w:r>
        <w:rPr>
          <w:rFonts w:hint="eastAsia" w:ascii="宋体" w:hAnsi="宋体"/>
          <w:color w:val="auto"/>
          <w:szCs w:val="21"/>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420" w:lineRule="exact"/>
        <w:ind w:firstLine="420" w:firstLineChars="200"/>
        <w:jc w:val="left"/>
        <w:rPr>
          <w:rFonts w:ascii="宋体" w:hAnsi="宋体"/>
          <w:color w:val="auto"/>
          <w:szCs w:val="21"/>
        </w:rPr>
      </w:pPr>
      <w:r>
        <w:rPr>
          <w:rFonts w:hint="eastAsia" w:ascii="宋体" w:hAnsi="宋体"/>
          <w:color w:val="auto"/>
          <w:szCs w:val="21"/>
        </w:rPr>
        <w:t>招标代理服务费由中标人支付。</w:t>
      </w:r>
    </w:p>
    <w:p>
      <w:pPr>
        <w:spacing w:line="420" w:lineRule="exact"/>
        <w:ind w:firstLine="482" w:firstLineChars="200"/>
        <w:jc w:val="left"/>
        <w:rPr>
          <w:rFonts w:ascii="宋体" w:hAnsi="宋体"/>
          <w:b/>
          <w:color w:val="auto"/>
          <w:kern w:val="0"/>
          <w:sz w:val="24"/>
        </w:rPr>
      </w:pPr>
      <w:r>
        <w:rPr>
          <w:rFonts w:hint="eastAsia" w:ascii="宋体" w:hAnsi="宋体"/>
          <w:b/>
          <w:color w:val="auto"/>
          <w:kern w:val="0"/>
          <w:sz w:val="24"/>
        </w:rPr>
        <w:t>10.2 解释权</w:t>
      </w:r>
    </w:p>
    <w:p>
      <w:pPr>
        <w:autoSpaceDE w:val="0"/>
        <w:autoSpaceDN w:val="0"/>
        <w:adjustRightInd w:val="0"/>
        <w:spacing w:line="420" w:lineRule="exact"/>
        <w:ind w:firstLine="420" w:firstLineChars="200"/>
        <w:jc w:val="left"/>
        <w:rPr>
          <w:rFonts w:ascii="宋体" w:hAnsi="宋体"/>
          <w:color w:val="auto"/>
          <w:kern w:val="0"/>
          <w:szCs w:val="21"/>
        </w:rPr>
      </w:pPr>
      <w:r>
        <w:rPr>
          <w:rFonts w:hint="eastAsia"/>
          <w:color w:val="auto"/>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20" w:lineRule="exact"/>
        <w:ind w:firstLine="482" w:firstLineChars="200"/>
        <w:rPr>
          <w:rFonts w:ascii="方正黑体简体" w:eastAsia="方正黑体简体"/>
          <w:color w:val="auto"/>
          <w:sz w:val="44"/>
          <w:szCs w:val="44"/>
        </w:rPr>
      </w:pPr>
      <w:r>
        <w:rPr>
          <w:rFonts w:hint="eastAsia" w:ascii="宋体" w:hAnsi="宋体"/>
          <w:b/>
          <w:color w:val="auto"/>
          <w:kern w:val="0"/>
          <w:sz w:val="24"/>
        </w:rPr>
        <w:t>10.3 本招标文件未尽事宜，按《中华人民共和国政府采购法》等法律法规的有关规定执行。</w:t>
      </w:r>
      <w:bookmarkStart w:id="13" w:name="_Toc26480"/>
    </w:p>
    <w:p>
      <w:pPr>
        <w:pStyle w:val="2"/>
        <w:spacing w:line="440" w:lineRule="exact"/>
        <w:jc w:val="both"/>
        <w:rPr>
          <w:rFonts w:ascii="方正黑体简体" w:eastAsia="方正黑体简体"/>
          <w:color w:val="auto"/>
          <w:sz w:val="44"/>
          <w:szCs w:val="44"/>
        </w:rPr>
      </w:pPr>
    </w:p>
    <w:p>
      <w:pPr>
        <w:rPr>
          <w:color w:val="auto"/>
        </w:rPr>
      </w:pPr>
    </w:p>
    <w:p>
      <w:pPr>
        <w:pStyle w:val="2"/>
        <w:spacing w:line="440" w:lineRule="exact"/>
        <w:rPr>
          <w:rFonts w:ascii="方正黑体简体" w:eastAsia="方正黑体简体"/>
          <w:color w:val="auto"/>
          <w:sz w:val="44"/>
          <w:szCs w:val="44"/>
        </w:rPr>
      </w:pPr>
      <w:r>
        <w:rPr>
          <w:rFonts w:hint="eastAsia" w:ascii="方正黑体简体" w:eastAsia="方正黑体简体"/>
          <w:color w:val="auto"/>
          <w:sz w:val="44"/>
          <w:szCs w:val="44"/>
        </w:rPr>
        <w:t>第三章  评 标 方 法</w:t>
      </w:r>
      <w:bookmarkEnd w:id="13"/>
    </w:p>
    <w:p>
      <w:pPr>
        <w:spacing w:line="440" w:lineRule="exact"/>
        <w:rPr>
          <w:color w:val="auto"/>
        </w:rPr>
      </w:pPr>
    </w:p>
    <w:p>
      <w:pPr>
        <w:pStyle w:val="3"/>
        <w:spacing w:line="440" w:lineRule="exact"/>
        <w:jc w:val="both"/>
        <w:rPr>
          <w:rFonts w:ascii="宋体" w:eastAsia="宋体"/>
          <w:color w:val="auto"/>
        </w:rPr>
      </w:pPr>
      <w:bookmarkStart w:id="14" w:name="_Toc388541206"/>
      <w:bookmarkStart w:id="15" w:name="_Toc14734"/>
      <w:r>
        <w:rPr>
          <w:rFonts w:hint="eastAsia" w:ascii="宋体" w:eastAsia="宋体"/>
          <w:color w:val="auto"/>
        </w:rPr>
        <w:t>1.评标准则和评标方法</w:t>
      </w:r>
      <w:bookmarkEnd w:id="14"/>
      <w:bookmarkEnd w:id="15"/>
    </w:p>
    <w:p>
      <w:pPr>
        <w:autoSpaceDE w:val="0"/>
        <w:autoSpaceDN w:val="0"/>
        <w:adjustRightInd w:val="0"/>
        <w:spacing w:line="440" w:lineRule="exact"/>
        <w:ind w:firstLine="420" w:firstLineChars="200"/>
        <w:rPr>
          <w:rFonts w:ascii="宋体" w:hAnsi="宋体"/>
          <w:color w:val="auto"/>
          <w:szCs w:val="21"/>
        </w:rPr>
      </w:pPr>
      <w:r>
        <w:rPr>
          <w:rFonts w:hint="eastAsia" w:ascii="宋体" w:hAnsi="宋体"/>
          <w:color w:val="auto"/>
          <w:szCs w:val="21"/>
        </w:rPr>
        <w:t>1.1  评标过程将遵循“公平、公正、科学、择优”的原则进行。</w:t>
      </w:r>
    </w:p>
    <w:p>
      <w:pPr>
        <w:autoSpaceDE w:val="0"/>
        <w:autoSpaceDN w:val="0"/>
        <w:adjustRightInd w:val="0"/>
        <w:spacing w:line="440" w:lineRule="exact"/>
        <w:ind w:firstLine="420" w:firstLineChars="200"/>
        <w:rPr>
          <w:rFonts w:ascii="宋体" w:hAnsi="宋体"/>
          <w:color w:val="auto"/>
          <w:kern w:val="0"/>
          <w:szCs w:val="21"/>
        </w:rPr>
      </w:pPr>
      <w:r>
        <w:rPr>
          <w:rFonts w:hint="eastAsia" w:ascii="宋体" w:hAnsi="宋体"/>
          <w:color w:val="auto"/>
          <w:szCs w:val="21"/>
        </w:rPr>
        <w:t>1.2  评标将严格按照招标文</w:t>
      </w:r>
      <w:r>
        <w:rPr>
          <w:rFonts w:hint="eastAsia" w:ascii="宋体" w:hAnsi="宋体"/>
          <w:color w:val="auto"/>
          <w:kern w:val="0"/>
          <w:szCs w:val="21"/>
        </w:rPr>
        <w:t>件的要求和条件进行。</w:t>
      </w:r>
    </w:p>
    <w:p>
      <w:pPr>
        <w:autoSpaceDE w:val="0"/>
        <w:autoSpaceDN w:val="0"/>
        <w:adjustRightInd w:val="0"/>
        <w:spacing w:line="440" w:lineRule="exact"/>
        <w:ind w:firstLine="420" w:firstLineChars="200"/>
        <w:rPr>
          <w:rFonts w:ascii="宋体" w:hAnsi="宋体"/>
          <w:b/>
          <w:color w:val="auto"/>
          <w:szCs w:val="21"/>
        </w:rPr>
      </w:pPr>
      <w:bookmarkStart w:id="16" w:name="_Toc27273"/>
      <w:bookmarkStart w:id="17" w:name="_Toc4231"/>
      <w:bookmarkStart w:id="18" w:name="_Toc371423272"/>
      <w:bookmarkStart w:id="19" w:name="_Toc9035"/>
      <w:bookmarkStart w:id="20" w:name="_Toc371425843"/>
      <w:r>
        <w:rPr>
          <w:rFonts w:hint="eastAsia" w:ascii="宋体" w:hAnsi="宋体"/>
          <w:color w:val="auto"/>
          <w:szCs w:val="21"/>
        </w:rPr>
        <w:t xml:space="preserve">1.3  </w:t>
      </w:r>
      <w:r>
        <w:rPr>
          <w:rFonts w:hint="eastAsia" w:ascii="宋体" w:hAnsi="宋体"/>
          <w:b/>
          <w:color w:val="auto"/>
          <w:szCs w:val="21"/>
          <w:highlight w:val="yellow"/>
        </w:rPr>
        <w:t>本次评标采用最低评标价法</w:t>
      </w:r>
      <w:r>
        <w:rPr>
          <w:rFonts w:hint="eastAsia" w:ascii="宋体" w:hAnsi="宋体"/>
          <w:b/>
          <w:color w:val="auto"/>
          <w:szCs w:val="21"/>
        </w:rPr>
        <w:t>。</w:t>
      </w:r>
      <w:bookmarkStart w:id="21" w:name="OLE_LINK1"/>
      <w:r>
        <w:rPr>
          <w:rFonts w:hint="eastAsia" w:ascii="宋体" w:hAnsi="宋体"/>
          <w:b/>
          <w:color w:val="auto"/>
          <w:szCs w:val="21"/>
        </w:rPr>
        <w:t>最低评标价法</w:t>
      </w:r>
      <w:bookmarkEnd w:id="21"/>
      <w:r>
        <w:rPr>
          <w:rFonts w:hint="eastAsia" w:ascii="宋体" w:hAnsi="宋体"/>
          <w:b/>
          <w:color w:val="auto"/>
          <w:szCs w:val="21"/>
        </w:rPr>
        <w:t>，是指以价格为主要因素确定中标候选投标人的评标方法，即在全部满足招标文件实质性要求前提下，依据统一的价格要素评定最低报价，以提出最低报价的投标人作为中标候选投标人或者中标投标人的评标方法。</w:t>
      </w:r>
    </w:p>
    <w:p>
      <w:pPr>
        <w:pStyle w:val="3"/>
        <w:spacing w:line="440" w:lineRule="exact"/>
        <w:jc w:val="both"/>
        <w:rPr>
          <w:rFonts w:ascii="宋体" w:eastAsia="宋体"/>
          <w:color w:val="auto"/>
        </w:rPr>
      </w:pPr>
      <w:r>
        <w:rPr>
          <w:rFonts w:hint="eastAsia" w:ascii="宋体" w:eastAsia="宋体"/>
          <w:color w:val="auto"/>
        </w:rPr>
        <w:t xml:space="preserve"> </w:t>
      </w:r>
      <w:bookmarkStart w:id="22" w:name="_Toc380581853"/>
      <w:bookmarkStart w:id="23" w:name="_Toc388541207"/>
      <w:bookmarkStart w:id="24" w:name="_Toc28161"/>
      <w:r>
        <w:rPr>
          <w:rFonts w:hint="eastAsia" w:ascii="宋体" w:eastAsia="宋体"/>
          <w:color w:val="auto"/>
        </w:rPr>
        <w:t>2.评审标准</w:t>
      </w:r>
      <w:bookmarkEnd w:id="16"/>
      <w:bookmarkEnd w:id="17"/>
      <w:bookmarkEnd w:id="18"/>
      <w:bookmarkEnd w:id="19"/>
      <w:bookmarkEnd w:id="20"/>
      <w:bookmarkEnd w:id="22"/>
      <w:bookmarkEnd w:id="23"/>
      <w:bookmarkEnd w:id="24"/>
    </w:p>
    <w:p>
      <w:pPr>
        <w:spacing w:line="440" w:lineRule="exact"/>
        <w:rPr>
          <w:rFonts w:ascii="宋体" w:hAnsi="宋体" w:cs="宋体"/>
          <w:b/>
          <w:bCs/>
          <w:color w:val="auto"/>
        </w:rPr>
      </w:pPr>
      <w:bookmarkStart w:id="25" w:name="_Toc388541208"/>
      <w:r>
        <w:rPr>
          <w:rFonts w:hint="eastAsia" w:ascii="宋体" w:hAnsi="宋体" w:cs="宋体"/>
          <w:b/>
          <w:bCs/>
          <w:color w:val="auto"/>
        </w:rPr>
        <w:t>2.1  初步评审标准</w:t>
      </w:r>
      <w:bookmarkEnd w:id="25"/>
    </w:p>
    <w:tbl>
      <w:tblPr>
        <w:tblW w:w="10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
        <w:gridCol w:w="2355"/>
        <w:gridCol w:w="6932"/>
      </w:tblGrid>
      <w:tr>
        <w:trPr>
          <w:trHeight w:val="482" w:hRule="exact"/>
          <w:jc w:val="center"/>
        </w:trPr>
        <w:tc>
          <w:tcPr>
            <w:tcW w:w="328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color w:val="auto"/>
                <w:szCs w:val="21"/>
              </w:rPr>
            </w:pPr>
            <w:r>
              <w:rPr>
                <w:rFonts w:hint="eastAsia" w:ascii="宋体" w:hAnsi="宋体"/>
                <w:b/>
                <w:color w:val="auto"/>
                <w:szCs w:val="21"/>
              </w:rPr>
              <w:t>评审因素</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b/>
                <w:color w:val="auto"/>
                <w:szCs w:val="21"/>
              </w:rPr>
            </w:pPr>
            <w:r>
              <w:rPr>
                <w:rFonts w:hint="eastAsia" w:ascii="宋体" w:hAnsi="宋体"/>
                <w:b/>
                <w:color w:val="auto"/>
                <w:szCs w:val="21"/>
              </w:rPr>
              <w:t>评审标准</w:t>
            </w:r>
          </w:p>
        </w:tc>
      </w:tr>
      <w:tr>
        <w:trPr>
          <w:trHeight w:val="487" w:hRule="exact"/>
          <w:jc w:val="center"/>
        </w:trPr>
        <w:tc>
          <w:tcPr>
            <w:tcW w:w="928"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一</w:t>
            </w:r>
          </w:p>
          <w:p>
            <w:pPr>
              <w:spacing w:line="440" w:lineRule="exact"/>
              <w:jc w:val="center"/>
              <w:rPr>
                <w:rFonts w:ascii="宋体" w:hAnsi="宋体"/>
                <w:color w:val="auto"/>
                <w:szCs w:val="21"/>
              </w:rPr>
            </w:pPr>
            <w:r>
              <w:rPr>
                <w:rFonts w:hint="eastAsia" w:ascii="宋体" w:hAnsi="宋体"/>
                <w:color w:val="auto"/>
                <w:szCs w:val="21"/>
              </w:rPr>
              <w:t>资格评审标准</w:t>
            </w:r>
          </w:p>
          <w:p>
            <w:pPr>
              <w:spacing w:line="440" w:lineRule="exact"/>
              <w:jc w:val="center"/>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营业执照（副本）</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具备有效的营业执照（原件）（三证合一单位只需提供营业执照副本）</w:t>
            </w:r>
          </w:p>
        </w:tc>
      </w:tr>
      <w:tr>
        <w:trPr>
          <w:trHeight w:val="482" w:hRule="exact"/>
          <w:jc w:val="center"/>
        </w:trPr>
        <w:tc>
          <w:tcPr>
            <w:tcW w:w="928" w:type="dxa"/>
            <w:vMerge w:val="continue"/>
            <w:tcBorders>
              <w:left w:val="single" w:color="auto" w:sz="4" w:space="0"/>
              <w:right w:val="single" w:color="auto" w:sz="4" w:space="0"/>
            </w:tcBorders>
            <w:vAlign w:val="center"/>
          </w:tcPr>
          <w:p>
            <w:pPr>
              <w:spacing w:line="440" w:lineRule="exact"/>
              <w:jc w:val="center"/>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税务登记证（副本）</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具备有效的税务登记证（原件）（三证合一单位只需提供营业执照副本）</w:t>
            </w:r>
          </w:p>
        </w:tc>
      </w:tr>
      <w:tr>
        <w:trPr>
          <w:trHeight w:val="482" w:hRule="exact"/>
          <w:jc w:val="center"/>
        </w:trPr>
        <w:tc>
          <w:tcPr>
            <w:tcW w:w="928" w:type="dxa"/>
            <w:vMerge w:val="continue"/>
            <w:tcBorders>
              <w:left w:val="single" w:color="auto" w:sz="4" w:space="0"/>
              <w:right w:val="single" w:color="auto" w:sz="4" w:space="0"/>
            </w:tcBorders>
            <w:vAlign w:val="center"/>
          </w:tcPr>
          <w:p>
            <w:pPr>
              <w:widowControl/>
              <w:spacing w:line="440" w:lineRule="exact"/>
              <w:jc w:val="left"/>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组织机构代码证（副本）</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pacing w:val="-2"/>
                <w:szCs w:val="21"/>
              </w:rPr>
              <w:t>具备有效的组织机构代码证（原件）（三证合一单位只需提供营业执</w:t>
            </w:r>
            <w:r>
              <w:rPr>
                <w:rFonts w:hint="eastAsia" w:ascii="宋体" w:hAnsi="宋体"/>
                <w:color w:val="auto"/>
                <w:spacing w:val="1"/>
                <w:szCs w:val="21"/>
              </w:rPr>
              <w:t>照副本）</w:t>
            </w:r>
          </w:p>
        </w:tc>
      </w:tr>
      <w:tr>
        <w:trPr>
          <w:trHeight w:val="4952" w:hRule="exact"/>
          <w:jc w:val="center"/>
        </w:trPr>
        <w:tc>
          <w:tcPr>
            <w:tcW w:w="928" w:type="dxa"/>
            <w:vMerge w:val="continue"/>
            <w:tcBorders>
              <w:left w:val="single" w:color="auto" w:sz="4" w:space="0"/>
              <w:right w:val="single" w:color="auto" w:sz="4" w:space="0"/>
            </w:tcBorders>
            <w:vAlign w:val="center"/>
          </w:tcPr>
          <w:p>
            <w:pPr>
              <w:widowControl/>
              <w:spacing w:line="440" w:lineRule="exact"/>
              <w:jc w:val="left"/>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资格要求</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1.符合第二章“投标人须知”第1.4.1项规定</w:t>
            </w:r>
          </w:p>
          <w:p>
            <w:pPr>
              <w:numPr>
                <w:ilvl w:val="0"/>
                <w:numId w:val="4"/>
              </w:numPr>
              <w:spacing w:line="440" w:lineRule="exact"/>
              <w:jc w:val="left"/>
              <w:rPr>
                <w:rFonts w:ascii="宋体" w:hAnsi="宋体" w:cs="宋体"/>
                <w:color w:val="auto"/>
                <w:szCs w:val="21"/>
              </w:rPr>
            </w:pPr>
            <w:r>
              <w:rPr>
                <w:rFonts w:hint="eastAsia" w:ascii="宋体" w:hAnsi="宋体" w:cs="宋体"/>
                <w:color w:val="auto"/>
                <w:szCs w:val="21"/>
              </w:rPr>
              <w:t>投标单位必须符合《政府采购法》第二十二条之规定；</w:t>
            </w:r>
          </w:p>
          <w:p>
            <w:pPr>
              <w:spacing w:line="440" w:lineRule="exact"/>
              <w:rPr>
                <w:color w:val="auto"/>
                <w:szCs w:val="21"/>
              </w:rPr>
            </w:pPr>
            <w:r>
              <w:rPr>
                <w:rFonts w:hint="eastAsia"/>
                <w:color w:val="auto"/>
                <w:szCs w:val="21"/>
              </w:rPr>
              <w:t xml:space="preserve">（1）具有独立承担民事责任的能力； </w:t>
            </w:r>
          </w:p>
          <w:p>
            <w:pPr>
              <w:spacing w:line="440" w:lineRule="exact"/>
              <w:rPr>
                <w:color w:val="auto"/>
                <w:szCs w:val="21"/>
              </w:rPr>
            </w:pPr>
            <w:r>
              <w:rPr>
                <w:rFonts w:hint="eastAsia"/>
                <w:color w:val="auto"/>
                <w:szCs w:val="21"/>
              </w:rPr>
              <w:t xml:space="preserve">（2）具有良好的商业信誉和健全的财务会计制度； </w:t>
            </w:r>
          </w:p>
          <w:p>
            <w:pPr>
              <w:spacing w:line="440" w:lineRule="exact"/>
              <w:rPr>
                <w:color w:val="auto"/>
                <w:szCs w:val="21"/>
              </w:rPr>
            </w:pPr>
            <w:r>
              <w:rPr>
                <w:rFonts w:hint="eastAsia"/>
                <w:color w:val="auto"/>
                <w:szCs w:val="21"/>
              </w:rPr>
              <w:t xml:space="preserve">（3）具有履行合同所必需的设备和专业技术能力； </w:t>
            </w:r>
          </w:p>
          <w:p>
            <w:pPr>
              <w:spacing w:line="440" w:lineRule="exact"/>
              <w:rPr>
                <w:color w:val="auto"/>
                <w:szCs w:val="21"/>
              </w:rPr>
            </w:pPr>
            <w:r>
              <w:rPr>
                <w:rFonts w:hint="eastAsia"/>
                <w:color w:val="auto"/>
                <w:szCs w:val="21"/>
              </w:rPr>
              <w:t xml:space="preserve">（4）有依法缴纳税收和社会保障资金的良好记录； </w:t>
            </w:r>
          </w:p>
          <w:p>
            <w:pPr>
              <w:spacing w:line="440" w:lineRule="exact"/>
              <w:rPr>
                <w:color w:val="auto"/>
                <w:szCs w:val="21"/>
              </w:rPr>
            </w:pPr>
            <w:r>
              <w:rPr>
                <w:rFonts w:hint="eastAsia"/>
                <w:color w:val="auto"/>
                <w:szCs w:val="21"/>
              </w:rPr>
              <w:t xml:space="preserve">（5）参加政府采购活动前三年内，在经营活动中没有重大违法记录； </w:t>
            </w:r>
          </w:p>
          <w:p>
            <w:pPr>
              <w:spacing w:line="440" w:lineRule="exact"/>
              <w:jc w:val="left"/>
              <w:rPr>
                <w:rFonts w:ascii="宋体" w:hAnsi="宋体" w:cs="宋体"/>
                <w:color w:val="auto"/>
                <w:szCs w:val="21"/>
              </w:rPr>
            </w:pPr>
            <w:r>
              <w:rPr>
                <w:rFonts w:hint="eastAsia"/>
                <w:color w:val="auto"/>
                <w:szCs w:val="21"/>
              </w:rPr>
              <w:t>（6）法律、行政法规规定的其他条件。</w:t>
            </w:r>
          </w:p>
          <w:p>
            <w:pPr>
              <w:pStyle w:val="19"/>
              <w:shd w:val="clear" w:color="auto" w:fill="FFFFFF"/>
              <w:spacing w:before="0" w:beforeAutospacing="0" w:after="0" w:afterAutospacing="0" w:line="440" w:lineRule="exact"/>
              <w:rPr>
                <w:color w:val="auto"/>
                <w:szCs w:val="21"/>
                <w:shd w:val="clear" w:color="auto" w:fill="FFFFFF"/>
              </w:rPr>
            </w:pPr>
            <w:r>
              <w:rPr>
                <w:rFonts w:hint="eastAsia"/>
                <w:color w:val="auto"/>
                <w:sz w:val="21"/>
                <w:szCs w:val="21"/>
                <w:shd w:val="clear" w:color="auto" w:fill="FFFFFF"/>
              </w:rPr>
              <w:t>3.公路交通工程专业承包一级资质（公路机电工程专业分项），安全生产许可证有效期内，拟派建造师具有公路工程或机电工程专业二级（含二级）以上注册建造师证书及有效的安全生产考核合格证书；</w:t>
            </w:r>
          </w:p>
          <w:p>
            <w:pPr>
              <w:spacing w:line="440" w:lineRule="exact"/>
              <w:rPr>
                <w:rFonts w:ascii="宋体" w:hAnsi="宋体"/>
                <w:color w:val="auto"/>
                <w:szCs w:val="21"/>
              </w:rPr>
            </w:pPr>
          </w:p>
        </w:tc>
      </w:tr>
      <w:tr>
        <w:trPr>
          <w:trHeight w:val="642" w:hRule="exact"/>
          <w:jc w:val="center"/>
        </w:trPr>
        <w:tc>
          <w:tcPr>
            <w:tcW w:w="928" w:type="dxa"/>
            <w:vMerge w:val="continue"/>
            <w:tcBorders>
              <w:left w:val="single" w:color="auto" w:sz="4" w:space="0"/>
              <w:right w:val="single" w:color="auto" w:sz="4" w:space="0"/>
            </w:tcBorders>
            <w:vAlign w:val="center"/>
          </w:tcPr>
          <w:p>
            <w:pPr>
              <w:widowControl/>
              <w:spacing w:line="440" w:lineRule="exact"/>
              <w:jc w:val="left"/>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业绩要求</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2014年1月1日以来类似交通信号灯业绩，（提供中标通知书、合同原件）</w:t>
            </w:r>
          </w:p>
        </w:tc>
      </w:tr>
      <w:tr>
        <w:trPr>
          <w:trHeight w:val="882" w:hRule="exact"/>
          <w:jc w:val="center"/>
        </w:trPr>
        <w:tc>
          <w:tcPr>
            <w:tcW w:w="928" w:type="dxa"/>
            <w:vMerge w:val="continue"/>
            <w:tcBorders>
              <w:left w:val="single" w:color="auto" w:sz="4" w:space="0"/>
              <w:right w:val="single" w:color="auto" w:sz="4" w:space="0"/>
            </w:tcBorders>
            <w:vAlign w:val="center"/>
          </w:tcPr>
          <w:p>
            <w:pPr>
              <w:widowControl/>
              <w:spacing w:line="440" w:lineRule="exact"/>
              <w:jc w:val="left"/>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s="宋体"/>
                <w:color w:val="auto"/>
                <w:kern w:val="0"/>
                <w:szCs w:val="21"/>
              </w:rPr>
              <w:t>财务要求</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s="宋体"/>
                <w:color w:val="auto"/>
                <w:kern w:val="0"/>
                <w:szCs w:val="21"/>
              </w:rPr>
              <w:t>近三年财务审计报告(指2013—2015年，新成立企业不足3年的按已有年份计算）</w:t>
            </w:r>
          </w:p>
        </w:tc>
      </w:tr>
      <w:tr>
        <w:trPr>
          <w:trHeight w:val="447" w:hRule="exact"/>
          <w:jc w:val="center"/>
        </w:trPr>
        <w:tc>
          <w:tcPr>
            <w:tcW w:w="928" w:type="dxa"/>
            <w:vMerge w:val="continue"/>
            <w:tcBorders>
              <w:left w:val="single" w:color="auto" w:sz="4" w:space="0"/>
              <w:right w:val="single" w:color="auto" w:sz="4" w:space="0"/>
            </w:tcBorders>
            <w:vAlign w:val="center"/>
          </w:tcPr>
          <w:p>
            <w:pPr>
              <w:widowControl/>
              <w:spacing w:line="440" w:lineRule="exact"/>
              <w:jc w:val="left"/>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法人代表证明或授权书</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法人代表证明或法人授权委托书</w:t>
            </w:r>
          </w:p>
        </w:tc>
      </w:tr>
      <w:tr>
        <w:trPr>
          <w:trHeight w:val="482" w:hRule="exact"/>
          <w:jc w:val="center"/>
        </w:trPr>
        <w:tc>
          <w:tcPr>
            <w:tcW w:w="928" w:type="dxa"/>
            <w:vMerge w:val="continue"/>
            <w:tcBorders>
              <w:left w:val="single" w:color="auto" w:sz="4" w:space="0"/>
              <w:right w:val="single" w:color="auto" w:sz="4" w:space="0"/>
            </w:tcBorders>
            <w:vAlign w:val="center"/>
          </w:tcPr>
          <w:p>
            <w:pPr>
              <w:widowControl/>
              <w:spacing w:line="440" w:lineRule="exact"/>
              <w:jc w:val="left"/>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投标保证金</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人民币</w:t>
            </w:r>
            <w:r>
              <w:rPr>
                <w:rFonts w:hint="eastAsia" w:ascii="宋体" w:hAnsi="宋体"/>
                <w:color w:val="auto"/>
                <w:szCs w:val="21"/>
                <w:lang w:eastAsia="zh-CN"/>
              </w:rPr>
              <w:t>壹万肆仟</w:t>
            </w:r>
            <w:r>
              <w:rPr>
                <w:rFonts w:hint="eastAsia" w:ascii="宋体" w:hAnsi="宋体"/>
                <w:color w:val="auto"/>
                <w:szCs w:val="21"/>
              </w:rPr>
              <w:t>元整</w:t>
            </w:r>
          </w:p>
        </w:tc>
      </w:tr>
      <w:tr>
        <w:trPr>
          <w:trHeight w:val="477" w:hRule="exact"/>
          <w:jc w:val="center"/>
        </w:trPr>
        <w:tc>
          <w:tcPr>
            <w:tcW w:w="928"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二</w:t>
            </w:r>
          </w:p>
          <w:p>
            <w:pPr>
              <w:spacing w:line="440" w:lineRule="exact"/>
              <w:jc w:val="center"/>
              <w:rPr>
                <w:rFonts w:ascii="宋体" w:hAnsi="宋体"/>
                <w:color w:val="auto"/>
                <w:szCs w:val="21"/>
              </w:rPr>
            </w:pPr>
            <w:r>
              <w:rPr>
                <w:rFonts w:hint="eastAsia" w:ascii="宋体" w:hAnsi="宋体"/>
                <w:color w:val="auto"/>
                <w:szCs w:val="21"/>
              </w:rPr>
              <w:t>形式评审标准</w:t>
            </w: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投标人名称</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与营业执照、资质证书等证件一致</w:t>
            </w:r>
          </w:p>
        </w:tc>
      </w:tr>
      <w:tr>
        <w:trPr>
          <w:trHeight w:val="482" w:hRule="exact"/>
          <w:jc w:val="center"/>
        </w:trPr>
        <w:tc>
          <w:tcPr>
            <w:tcW w:w="928" w:type="dxa"/>
            <w:vMerge w:val="continue"/>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投标函签字盖章</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由法定代表人或委托代理人签字并加盖单位公章</w:t>
            </w:r>
          </w:p>
        </w:tc>
      </w:tr>
      <w:tr>
        <w:trPr>
          <w:trHeight w:val="482" w:hRule="exact"/>
          <w:jc w:val="center"/>
        </w:trPr>
        <w:tc>
          <w:tcPr>
            <w:tcW w:w="928" w:type="dxa"/>
            <w:vMerge w:val="continue"/>
            <w:tcBorders>
              <w:left w:val="single" w:color="auto" w:sz="4" w:space="0"/>
              <w:right w:val="single" w:color="auto" w:sz="4" w:space="0"/>
            </w:tcBorders>
            <w:vAlign w:val="center"/>
          </w:tcPr>
          <w:p>
            <w:pPr>
              <w:widowControl/>
              <w:spacing w:line="440" w:lineRule="exact"/>
              <w:jc w:val="left"/>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投标文件格式</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符合招标文件格式要求</w:t>
            </w:r>
          </w:p>
        </w:tc>
      </w:tr>
      <w:tr>
        <w:trPr>
          <w:trHeight w:val="482" w:hRule="exact"/>
          <w:jc w:val="center"/>
        </w:trPr>
        <w:tc>
          <w:tcPr>
            <w:tcW w:w="928" w:type="dxa"/>
            <w:vMerge w:val="continue"/>
            <w:tcBorders>
              <w:left w:val="single" w:color="auto" w:sz="4" w:space="0"/>
              <w:bottom w:val="single" w:color="auto" w:sz="4" w:space="0"/>
              <w:right w:val="single" w:color="auto" w:sz="4" w:space="0"/>
            </w:tcBorders>
            <w:vAlign w:val="center"/>
          </w:tcPr>
          <w:p>
            <w:pPr>
              <w:widowControl/>
              <w:spacing w:line="440" w:lineRule="exact"/>
              <w:jc w:val="left"/>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报价唯一</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s="宋体"/>
                <w:color w:val="auto"/>
                <w:szCs w:val="21"/>
              </w:rPr>
              <w:t>只能有一个有效报价</w:t>
            </w:r>
          </w:p>
        </w:tc>
      </w:tr>
      <w:tr>
        <w:trPr>
          <w:trHeight w:val="482" w:hRule="exact"/>
          <w:jc w:val="center"/>
        </w:trPr>
        <w:tc>
          <w:tcPr>
            <w:tcW w:w="928" w:type="dxa"/>
            <w:vMerge w:val="restart"/>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三</w:t>
            </w:r>
          </w:p>
          <w:p>
            <w:pPr>
              <w:spacing w:line="440" w:lineRule="exact"/>
              <w:jc w:val="center"/>
              <w:rPr>
                <w:rFonts w:ascii="宋体" w:hAnsi="宋体"/>
                <w:color w:val="auto"/>
                <w:szCs w:val="21"/>
              </w:rPr>
            </w:pPr>
            <w:r>
              <w:rPr>
                <w:rFonts w:hint="eastAsia" w:ascii="宋体" w:hAnsi="宋体"/>
                <w:color w:val="auto"/>
                <w:szCs w:val="21"/>
              </w:rPr>
              <w:t>响应性性评审标准</w:t>
            </w:r>
          </w:p>
          <w:p>
            <w:pPr>
              <w:spacing w:line="440" w:lineRule="exact"/>
              <w:jc w:val="center"/>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投标内容和技术标准</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olor w:val="auto"/>
                <w:szCs w:val="21"/>
              </w:rPr>
            </w:pPr>
            <w:r>
              <w:rPr>
                <w:rFonts w:hint="eastAsia" w:ascii="宋体"/>
                <w:color w:val="auto"/>
                <w:szCs w:val="21"/>
              </w:rPr>
              <w:t>符合本招标项目内容和参数的规定</w:t>
            </w:r>
          </w:p>
        </w:tc>
      </w:tr>
      <w:tr>
        <w:trPr>
          <w:trHeight w:val="482" w:hRule="exact"/>
          <w:jc w:val="center"/>
        </w:trPr>
        <w:tc>
          <w:tcPr>
            <w:tcW w:w="928" w:type="dxa"/>
            <w:vMerge w:val="continue"/>
            <w:tcBorders>
              <w:left w:val="single" w:color="auto" w:sz="4" w:space="0"/>
              <w:right w:val="single" w:color="auto" w:sz="4" w:space="0"/>
            </w:tcBorders>
            <w:vAlign w:val="center"/>
          </w:tcPr>
          <w:p>
            <w:pPr>
              <w:spacing w:line="440" w:lineRule="exact"/>
              <w:jc w:val="center"/>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供货期</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color w:val="auto"/>
                <w:szCs w:val="21"/>
              </w:rPr>
            </w:pPr>
            <w:r>
              <w:rPr>
                <w:rFonts w:hint="eastAsia" w:ascii="宋体"/>
                <w:color w:val="auto"/>
                <w:szCs w:val="21"/>
              </w:rPr>
              <w:t>自签订合同之日起</w:t>
            </w:r>
            <w:r>
              <w:rPr>
                <w:rFonts w:hint="eastAsia" w:ascii="宋体"/>
                <w:color w:val="auto"/>
                <w:szCs w:val="21"/>
                <w:u w:val="single"/>
                <w:lang w:val="en-US" w:eastAsia="zh-CN"/>
              </w:rPr>
              <w:t>6</w:t>
            </w:r>
            <w:r>
              <w:rPr>
                <w:rFonts w:hint="eastAsia" w:ascii="宋体"/>
                <w:color w:val="auto"/>
                <w:szCs w:val="21"/>
                <w:u w:val="single"/>
              </w:rPr>
              <w:t>0日</w:t>
            </w:r>
          </w:p>
        </w:tc>
      </w:tr>
      <w:tr>
        <w:trPr>
          <w:trHeight w:val="482" w:hRule="exact"/>
          <w:jc w:val="center"/>
        </w:trPr>
        <w:tc>
          <w:tcPr>
            <w:tcW w:w="928" w:type="dxa"/>
            <w:vMerge w:val="continue"/>
            <w:tcBorders>
              <w:left w:val="single" w:color="auto" w:sz="4" w:space="0"/>
              <w:right w:val="single" w:color="auto" w:sz="4" w:space="0"/>
            </w:tcBorders>
            <w:vAlign w:val="center"/>
          </w:tcPr>
          <w:p>
            <w:pPr>
              <w:spacing w:line="440" w:lineRule="exact"/>
              <w:jc w:val="center"/>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供货质量</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color w:val="auto"/>
                <w:szCs w:val="21"/>
              </w:rPr>
              <w:t>达到国家和行业现行技术标准，合格</w:t>
            </w:r>
          </w:p>
        </w:tc>
      </w:tr>
      <w:tr>
        <w:trPr>
          <w:trHeight w:val="482" w:hRule="exact"/>
          <w:jc w:val="center"/>
        </w:trPr>
        <w:tc>
          <w:tcPr>
            <w:tcW w:w="928" w:type="dxa"/>
            <w:vMerge w:val="continue"/>
            <w:tcBorders>
              <w:left w:val="single" w:color="auto" w:sz="4" w:space="0"/>
              <w:right w:val="single" w:color="auto" w:sz="4" w:space="0"/>
            </w:tcBorders>
            <w:vAlign w:val="center"/>
          </w:tcPr>
          <w:p>
            <w:pPr>
              <w:spacing w:line="440" w:lineRule="exact"/>
              <w:jc w:val="center"/>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商务报价</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只能有一个有效报价，且不能超过招标预算价</w:t>
            </w:r>
          </w:p>
        </w:tc>
      </w:tr>
      <w:tr>
        <w:trPr>
          <w:trHeight w:val="482" w:hRule="exact"/>
          <w:jc w:val="center"/>
        </w:trPr>
        <w:tc>
          <w:tcPr>
            <w:tcW w:w="928" w:type="dxa"/>
            <w:vMerge w:val="continue"/>
            <w:tcBorders>
              <w:left w:val="single" w:color="auto" w:sz="4" w:space="0"/>
              <w:right w:val="single" w:color="auto" w:sz="4" w:space="0"/>
            </w:tcBorders>
            <w:vAlign w:val="center"/>
          </w:tcPr>
          <w:p>
            <w:pPr>
              <w:spacing w:line="440" w:lineRule="exact"/>
              <w:jc w:val="center"/>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投标保证金</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符合本招标文件“投标须知”有关规定</w:t>
            </w:r>
          </w:p>
        </w:tc>
      </w:tr>
      <w:tr>
        <w:trPr>
          <w:trHeight w:val="482" w:hRule="exact"/>
          <w:jc w:val="center"/>
        </w:trPr>
        <w:tc>
          <w:tcPr>
            <w:tcW w:w="928" w:type="dxa"/>
            <w:vMerge w:val="continue"/>
            <w:tcBorders>
              <w:left w:val="single" w:color="auto" w:sz="4" w:space="0"/>
              <w:right w:val="single" w:color="auto" w:sz="4" w:space="0"/>
            </w:tcBorders>
            <w:vAlign w:val="center"/>
          </w:tcPr>
          <w:p>
            <w:pPr>
              <w:spacing w:line="440" w:lineRule="exact"/>
              <w:jc w:val="center"/>
              <w:rPr>
                <w:rFonts w:ascii="宋体" w:hAnsi="宋体"/>
                <w:color w:val="auto"/>
                <w:szCs w:val="21"/>
              </w:rPr>
            </w:pPr>
          </w:p>
        </w:tc>
        <w:tc>
          <w:tcPr>
            <w:tcW w:w="2355"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投标有效期</w:t>
            </w:r>
          </w:p>
        </w:tc>
        <w:tc>
          <w:tcPr>
            <w:tcW w:w="693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投标文件递交截止日起</w:t>
            </w:r>
            <w:r>
              <w:rPr>
                <w:rFonts w:hint="eastAsia" w:ascii="宋体" w:hAnsi="宋体"/>
                <w:color w:val="auto"/>
                <w:szCs w:val="21"/>
                <w:u w:val="single"/>
              </w:rPr>
              <w:t>60</w:t>
            </w:r>
            <w:r>
              <w:rPr>
                <w:rFonts w:hint="eastAsia" w:ascii="宋体" w:hAnsi="宋体"/>
                <w:color w:val="auto"/>
                <w:szCs w:val="21"/>
              </w:rPr>
              <w:t>日历天</w:t>
            </w:r>
          </w:p>
        </w:tc>
      </w:tr>
      <w:tr>
        <w:trPr>
          <w:trHeight w:val="482" w:hRule="exact"/>
          <w:jc w:val="center"/>
        </w:trPr>
        <w:tc>
          <w:tcPr>
            <w:tcW w:w="928" w:type="dxa"/>
            <w:vMerge w:val="continue"/>
            <w:tcBorders>
              <w:left w:val="single" w:color="auto" w:sz="4" w:space="0"/>
              <w:right w:val="single" w:color="auto" w:sz="4" w:space="0"/>
            </w:tcBorders>
            <w:vAlign w:val="center"/>
          </w:tcPr>
          <w:p>
            <w:pPr>
              <w:spacing w:line="440" w:lineRule="exact"/>
              <w:jc w:val="center"/>
              <w:rPr>
                <w:rFonts w:ascii="宋体" w:hAnsi="宋体"/>
                <w:color w:val="auto"/>
                <w:szCs w:val="21"/>
              </w:rPr>
            </w:pPr>
          </w:p>
        </w:tc>
        <w:tc>
          <w:tcPr>
            <w:tcW w:w="2355" w:type="dxa"/>
            <w:tcBorders>
              <w:top w:val="single" w:color="auto" w:sz="4" w:space="0"/>
              <w:left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投标文件的其他响应</w:t>
            </w:r>
          </w:p>
        </w:tc>
        <w:tc>
          <w:tcPr>
            <w:tcW w:w="6932" w:type="dxa"/>
            <w:tcBorders>
              <w:top w:val="single" w:color="auto" w:sz="4" w:space="0"/>
              <w:left w:val="single" w:color="auto" w:sz="4" w:space="0"/>
              <w:right w:val="single" w:color="auto" w:sz="4" w:space="0"/>
            </w:tcBorders>
            <w:vAlign w:val="center"/>
          </w:tcPr>
          <w:p>
            <w:pPr>
              <w:spacing w:line="440" w:lineRule="exact"/>
              <w:rPr>
                <w:rFonts w:ascii="宋体" w:hAnsi="宋体"/>
                <w:color w:val="auto"/>
                <w:szCs w:val="21"/>
              </w:rPr>
            </w:pPr>
            <w:r>
              <w:rPr>
                <w:rFonts w:hint="eastAsia" w:ascii="宋体" w:hAnsi="宋体"/>
                <w:color w:val="auto"/>
                <w:szCs w:val="21"/>
              </w:rPr>
              <w:t>符合法律、法规和招标文件中规定的其他实质性要求的</w:t>
            </w:r>
          </w:p>
        </w:tc>
      </w:tr>
    </w:tbl>
    <w:p>
      <w:pPr>
        <w:tabs>
          <w:tab w:val="left" w:pos="1192"/>
        </w:tabs>
        <w:autoSpaceDE w:val="0"/>
        <w:autoSpaceDN w:val="0"/>
        <w:adjustRightInd w:val="0"/>
        <w:spacing w:line="440" w:lineRule="exact"/>
        <w:rPr>
          <w:rFonts w:ascii="宋体" w:hAnsi="宋体"/>
          <w:b/>
          <w:color w:val="auto"/>
          <w:szCs w:val="21"/>
        </w:rPr>
      </w:pPr>
    </w:p>
    <w:p>
      <w:pPr>
        <w:pStyle w:val="3"/>
        <w:spacing w:line="440" w:lineRule="exact"/>
        <w:ind w:firstLine="472" w:firstLineChars="147"/>
        <w:jc w:val="both"/>
        <w:rPr>
          <w:rFonts w:ascii="宋体" w:eastAsia="宋体"/>
          <w:color w:val="auto"/>
        </w:rPr>
      </w:pPr>
      <w:bookmarkStart w:id="26" w:name="_Toc241"/>
      <w:bookmarkStart w:id="27" w:name="_Toc18099"/>
      <w:bookmarkStart w:id="28" w:name="_Toc371425844"/>
      <w:bookmarkStart w:id="29" w:name="_Toc371423273"/>
      <w:bookmarkStart w:id="30" w:name="_Toc388541209"/>
      <w:bookmarkStart w:id="31" w:name="_Toc3441"/>
      <w:bookmarkStart w:id="32" w:name="_Toc388091815"/>
      <w:bookmarkStart w:id="33" w:name="_Toc31363"/>
      <w:bookmarkStart w:id="34" w:name="_Toc380581854"/>
    </w:p>
    <w:p>
      <w:pPr>
        <w:pStyle w:val="3"/>
        <w:spacing w:line="440" w:lineRule="exact"/>
        <w:ind w:firstLine="472" w:firstLineChars="147"/>
        <w:jc w:val="both"/>
        <w:rPr>
          <w:rFonts w:ascii="宋体" w:eastAsia="宋体"/>
          <w:color w:val="auto"/>
        </w:rPr>
      </w:pPr>
      <w:r>
        <w:rPr>
          <w:rFonts w:hint="eastAsia" w:ascii="宋体" w:eastAsia="宋体"/>
          <w:color w:val="auto"/>
        </w:rPr>
        <w:t>3.评标程序</w:t>
      </w:r>
      <w:bookmarkEnd w:id="26"/>
      <w:bookmarkEnd w:id="27"/>
      <w:bookmarkEnd w:id="28"/>
      <w:bookmarkEnd w:id="29"/>
      <w:bookmarkEnd w:id="30"/>
      <w:bookmarkEnd w:id="31"/>
      <w:bookmarkEnd w:id="32"/>
      <w:bookmarkEnd w:id="33"/>
      <w:bookmarkEnd w:id="34"/>
    </w:p>
    <w:p>
      <w:pPr>
        <w:autoSpaceDE w:val="0"/>
        <w:autoSpaceDN w:val="0"/>
        <w:adjustRightInd w:val="0"/>
        <w:spacing w:line="420" w:lineRule="exact"/>
        <w:ind w:firstLine="482" w:firstLineChars="200"/>
        <w:rPr>
          <w:rFonts w:ascii="宋体" w:hAnsi="宋体"/>
          <w:b/>
          <w:color w:val="auto"/>
          <w:kern w:val="0"/>
          <w:sz w:val="24"/>
        </w:rPr>
      </w:pPr>
      <w:r>
        <w:rPr>
          <w:rFonts w:hint="eastAsia" w:ascii="宋体" w:hAnsi="宋体"/>
          <w:b/>
          <w:color w:val="auto"/>
          <w:kern w:val="0"/>
          <w:sz w:val="24"/>
        </w:rPr>
        <w:t>3.1.资格性与符合性审查</w:t>
      </w:r>
    </w:p>
    <w:p>
      <w:pPr>
        <w:autoSpaceDE w:val="0"/>
        <w:autoSpaceDN w:val="0"/>
        <w:adjustRightInd w:val="0"/>
        <w:spacing w:line="420" w:lineRule="exact"/>
        <w:ind w:firstLine="420" w:firstLineChars="200"/>
        <w:rPr>
          <w:rFonts w:ascii="宋体" w:hAnsi="宋体"/>
          <w:color w:val="auto"/>
          <w:kern w:val="0"/>
          <w:szCs w:val="21"/>
        </w:rPr>
      </w:pPr>
      <w:r>
        <w:rPr>
          <w:rFonts w:hint="eastAsia" w:ascii="宋体" w:hAnsi="宋体"/>
          <w:color w:val="auto"/>
          <w:kern w:val="0"/>
          <w:szCs w:val="21"/>
        </w:rPr>
        <w:t>3.1.1  评标委员会可以要求投标人提交第二章“投标人须知”的有关证明和证件的原件，以便核验。评标委员会依据本章第2.1款规定的标准对投标文件进行初步评审。有一项不符合评审标准的，作无效投标处理。</w:t>
      </w:r>
    </w:p>
    <w:p>
      <w:pPr>
        <w:spacing w:line="420" w:lineRule="exact"/>
        <w:ind w:firstLine="420" w:firstLineChars="200"/>
        <w:rPr>
          <w:rFonts w:ascii="宋体" w:hAnsi="宋体"/>
          <w:color w:val="auto"/>
          <w:kern w:val="0"/>
          <w:szCs w:val="21"/>
        </w:rPr>
      </w:pPr>
      <w:r>
        <w:rPr>
          <w:rFonts w:hint="eastAsia" w:ascii="宋体" w:hAnsi="宋体"/>
          <w:color w:val="auto"/>
          <w:kern w:val="0"/>
          <w:szCs w:val="21"/>
        </w:rPr>
        <w:t>3.1.2 投标文件属下列情况之一的，应当在资格性、符合性检查时按照无效投标处理：</w:t>
      </w:r>
    </w:p>
    <w:p>
      <w:pPr>
        <w:widowControl/>
        <w:spacing w:line="420" w:lineRule="exact"/>
        <w:ind w:firstLine="420" w:firstLineChars="200"/>
        <w:jc w:val="left"/>
        <w:rPr>
          <w:rFonts w:ascii="宋体" w:hAnsi="宋体"/>
          <w:color w:val="auto"/>
          <w:kern w:val="0"/>
          <w:szCs w:val="21"/>
        </w:rPr>
      </w:pPr>
      <w:r>
        <w:rPr>
          <w:rFonts w:hint="eastAsia" w:ascii="宋体" w:hAnsi="宋体"/>
          <w:color w:val="auto"/>
          <w:kern w:val="0"/>
          <w:szCs w:val="21"/>
        </w:rPr>
        <w:t>（1）应交未交投标保证金的；</w:t>
      </w:r>
    </w:p>
    <w:p>
      <w:pPr>
        <w:widowControl/>
        <w:spacing w:line="420" w:lineRule="exact"/>
        <w:ind w:firstLine="420" w:firstLineChars="200"/>
        <w:jc w:val="left"/>
        <w:rPr>
          <w:rFonts w:ascii="宋体" w:hAnsi="宋体"/>
          <w:color w:val="auto"/>
          <w:kern w:val="0"/>
          <w:szCs w:val="21"/>
        </w:rPr>
      </w:pPr>
      <w:r>
        <w:rPr>
          <w:rFonts w:hint="eastAsia" w:ascii="宋体" w:hAnsi="宋体"/>
          <w:color w:val="auto"/>
          <w:kern w:val="0"/>
          <w:szCs w:val="21"/>
        </w:rPr>
        <w:t>（2）未按照招标文件规定要求密封、签署、盖章的；</w:t>
      </w:r>
    </w:p>
    <w:p>
      <w:pPr>
        <w:widowControl/>
        <w:spacing w:line="420" w:lineRule="exact"/>
        <w:ind w:firstLine="420" w:firstLineChars="200"/>
        <w:jc w:val="left"/>
        <w:rPr>
          <w:rFonts w:ascii="宋体" w:hAnsi="宋体"/>
          <w:color w:val="auto"/>
          <w:kern w:val="0"/>
          <w:szCs w:val="21"/>
        </w:rPr>
      </w:pPr>
      <w:r>
        <w:rPr>
          <w:rFonts w:hint="eastAsia" w:ascii="宋体" w:hAnsi="宋体"/>
          <w:color w:val="auto"/>
          <w:kern w:val="0"/>
          <w:szCs w:val="21"/>
        </w:rPr>
        <w:t>（3）不具备招标文件中规定资格要求的；</w:t>
      </w:r>
    </w:p>
    <w:p>
      <w:pPr>
        <w:widowControl/>
        <w:spacing w:line="420" w:lineRule="exact"/>
        <w:ind w:firstLine="420" w:firstLineChars="200"/>
        <w:jc w:val="left"/>
        <w:rPr>
          <w:rFonts w:ascii="宋体" w:hAnsi="宋体"/>
          <w:color w:val="auto"/>
          <w:kern w:val="0"/>
          <w:szCs w:val="21"/>
        </w:rPr>
      </w:pPr>
      <w:r>
        <w:rPr>
          <w:rFonts w:hint="eastAsia" w:ascii="宋体" w:hAnsi="宋体"/>
          <w:color w:val="auto"/>
          <w:kern w:val="0"/>
          <w:szCs w:val="21"/>
        </w:rPr>
        <w:t>（4）不</w:t>
      </w:r>
      <w:r>
        <w:rPr>
          <w:rFonts w:hint="eastAsia" w:ascii="宋体" w:hAnsi="宋体"/>
          <w:color w:val="auto"/>
          <w:szCs w:val="21"/>
        </w:rPr>
        <w:t>符合第四章招标项目内容和参数要求的；</w:t>
      </w:r>
    </w:p>
    <w:p>
      <w:pPr>
        <w:widowControl/>
        <w:spacing w:line="420" w:lineRule="exact"/>
        <w:ind w:firstLine="420" w:firstLineChars="200"/>
        <w:jc w:val="left"/>
        <w:rPr>
          <w:rFonts w:ascii="宋体" w:hAnsi="宋体"/>
          <w:color w:val="auto"/>
          <w:kern w:val="0"/>
          <w:szCs w:val="21"/>
        </w:rPr>
      </w:pPr>
      <w:r>
        <w:rPr>
          <w:rFonts w:hint="eastAsia" w:ascii="宋体" w:hAnsi="宋体"/>
          <w:color w:val="auto"/>
          <w:kern w:val="0"/>
          <w:szCs w:val="21"/>
        </w:rPr>
        <w:t>（5）不符合法律、法规和招标文件中规定的其他实质性要求的。</w:t>
      </w:r>
    </w:p>
    <w:p>
      <w:pPr>
        <w:spacing w:line="440" w:lineRule="exact"/>
        <w:ind w:firstLine="420" w:firstLineChars="200"/>
        <w:rPr>
          <w:rFonts w:ascii="宋体" w:hAnsi="宋体"/>
          <w:color w:val="auto"/>
          <w:szCs w:val="21"/>
        </w:rPr>
      </w:pPr>
      <w:r>
        <w:rPr>
          <w:rFonts w:hint="eastAsia" w:ascii="宋体" w:hAnsi="宋体"/>
          <w:color w:val="auto"/>
          <w:szCs w:val="21"/>
        </w:rPr>
        <w:t>3.1.3  投标报价有算数错误的，评标委员会按以下原则对投标报价进行修正，修正的价格经投标人书面确认后具有约束力。投标人不接受修正价格的，其投标作无效投标处理。</w:t>
      </w:r>
    </w:p>
    <w:p>
      <w:pPr>
        <w:spacing w:line="440" w:lineRule="exact"/>
        <w:ind w:firstLine="420" w:firstLineChars="200"/>
        <w:rPr>
          <w:rFonts w:ascii="宋体" w:hAnsi="宋体"/>
          <w:color w:val="auto"/>
          <w:szCs w:val="21"/>
        </w:rPr>
      </w:pPr>
      <w:r>
        <w:rPr>
          <w:rFonts w:hint="eastAsia" w:ascii="宋体" w:hAnsi="宋体"/>
          <w:color w:val="auto"/>
          <w:szCs w:val="21"/>
        </w:rPr>
        <w:t>（1）投标文件中的大写金额与小写金额不一致的，以大写金额为准；</w:t>
      </w:r>
    </w:p>
    <w:p>
      <w:pPr>
        <w:spacing w:line="440" w:lineRule="exact"/>
        <w:ind w:firstLine="420" w:firstLineChars="200"/>
        <w:rPr>
          <w:rFonts w:ascii="宋体" w:hAnsi="宋体"/>
          <w:color w:val="auto"/>
          <w:szCs w:val="21"/>
        </w:rPr>
      </w:pPr>
      <w:r>
        <w:rPr>
          <w:rFonts w:hint="eastAsia" w:ascii="宋体" w:hAnsi="宋体"/>
          <w:color w:val="auto"/>
          <w:szCs w:val="21"/>
        </w:rPr>
        <w:t>（2）投标文件中开标一览表(报价表)内容与投标文件中明细表内容不一致的，以开标一览表(报价表)为准。</w:t>
      </w:r>
    </w:p>
    <w:p>
      <w:pPr>
        <w:spacing w:line="440" w:lineRule="exact"/>
        <w:ind w:firstLine="420" w:firstLineChars="200"/>
        <w:rPr>
          <w:rFonts w:ascii="宋体" w:hAnsi="宋体"/>
          <w:color w:val="auto"/>
          <w:szCs w:val="21"/>
        </w:rPr>
      </w:pPr>
      <w:r>
        <w:rPr>
          <w:rFonts w:hint="eastAsia" w:ascii="宋体" w:hAnsi="宋体"/>
          <w:color w:val="auto"/>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2" w:firstLineChars="200"/>
        <w:rPr>
          <w:rFonts w:ascii="宋体" w:hAnsi="宋体"/>
          <w:b/>
          <w:color w:val="auto"/>
          <w:sz w:val="24"/>
        </w:rPr>
      </w:pPr>
      <w:r>
        <w:rPr>
          <w:rFonts w:hint="eastAsia" w:ascii="宋体" w:hAnsi="宋体"/>
          <w:b/>
          <w:color w:val="auto"/>
          <w:sz w:val="24"/>
        </w:rPr>
        <w:t>3.2 详细评审</w:t>
      </w:r>
    </w:p>
    <w:p>
      <w:pPr>
        <w:spacing w:line="440" w:lineRule="exact"/>
        <w:ind w:firstLine="420" w:firstLineChars="200"/>
        <w:rPr>
          <w:rFonts w:ascii="宋体" w:hAnsi="宋体"/>
          <w:color w:val="auto"/>
          <w:szCs w:val="21"/>
        </w:rPr>
      </w:pPr>
      <w:r>
        <w:rPr>
          <w:rFonts w:hint="eastAsia" w:ascii="宋体" w:hAnsi="宋体"/>
          <w:color w:val="auto"/>
          <w:szCs w:val="21"/>
        </w:rPr>
        <w:t>3.2.1  评标委员会按最低评标价法进行评审，在全部满足招标文件实质性要求的前提下，依据统一的价格要素评定最低报价，以提出最低报价的投标人作为中标候选人。</w:t>
      </w:r>
    </w:p>
    <w:p>
      <w:pPr>
        <w:spacing w:line="440" w:lineRule="exact"/>
        <w:ind w:firstLine="420" w:firstLineChars="200"/>
        <w:rPr>
          <w:rFonts w:ascii="宋体" w:hAnsi="宋体"/>
          <w:color w:val="auto"/>
          <w:szCs w:val="21"/>
        </w:rPr>
      </w:pPr>
      <w:r>
        <w:rPr>
          <w:rFonts w:hint="eastAsia" w:ascii="宋体" w:hAnsi="宋体"/>
          <w:color w:val="auto"/>
          <w:szCs w:val="21"/>
        </w:rPr>
        <w:t>3.2.2  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82" w:firstLineChars="200"/>
        <w:jc w:val="left"/>
        <w:rPr>
          <w:rFonts w:ascii="宋体" w:hAnsi="宋体"/>
          <w:b/>
          <w:color w:val="auto"/>
          <w:sz w:val="24"/>
        </w:rPr>
      </w:pPr>
      <w:r>
        <w:rPr>
          <w:rFonts w:hint="eastAsia" w:ascii="宋体" w:hAnsi="宋体"/>
          <w:b/>
          <w:color w:val="auto"/>
          <w:sz w:val="24"/>
        </w:rPr>
        <w:t>3.3 投标文件的澄清和补正</w:t>
      </w:r>
    </w:p>
    <w:p>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3.3.1 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0" w:firstLineChars="200"/>
        <w:jc w:val="left"/>
        <w:rPr>
          <w:rFonts w:ascii="宋体" w:hAnsi="宋体"/>
          <w:color w:val="auto"/>
          <w:szCs w:val="21"/>
        </w:rPr>
      </w:pPr>
      <w:r>
        <w:rPr>
          <w:rFonts w:hint="eastAsia" w:ascii="宋体" w:hAnsi="宋体"/>
          <w:color w:val="auto"/>
          <w:szCs w:val="21"/>
        </w:rPr>
        <w:t>3.3.2 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2" w:firstLineChars="200"/>
        <w:jc w:val="left"/>
        <w:rPr>
          <w:rFonts w:ascii="宋体" w:hAnsi="宋体"/>
          <w:b/>
          <w:color w:val="auto"/>
          <w:sz w:val="24"/>
        </w:rPr>
      </w:pPr>
    </w:p>
    <w:p>
      <w:pPr>
        <w:autoSpaceDE w:val="0"/>
        <w:autoSpaceDN w:val="0"/>
        <w:adjustRightInd w:val="0"/>
        <w:spacing w:line="440" w:lineRule="exact"/>
        <w:ind w:firstLine="482" w:firstLineChars="200"/>
        <w:jc w:val="left"/>
        <w:rPr>
          <w:rFonts w:ascii="宋体" w:hAnsi="宋体"/>
          <w:b/>
          <w:color w:val="auto"/>
          <w:sz w:val="24"/>
        </w:rPr>
      </w:pPr>
      <w:r>
        <w:rPr>
          <w:rFonts w:hint="eastAsia" w:ascii="宋体" w:hAnsi="宋体"/>
          <w:b/>
          <w:color w:val="auto"/>
          <w:sz w:val="24"/>
        </w:rPr>
        <w:t>3.4 评标结果</w:t>
      </w:r>
    </w:p>
    <w:p>
      <w:pPr>
        <w:autoSpaceDE w:val="0"/>
        <w:autoSpaceDN w:val="0"/>
        <w:adjustRightInd w:val="0"/>
        <w:spacing w:line="440" w:lineRule="exact"/>
        <w:ind w:firstLine="420" w:firstLineChars="200"/>
        <w:jc w:val="left"/>
        <w:rPr>
          <w:rFonts w:ascii="宋体" w:hAnsi="宋体"/>
          <w:b/>
          <w:color w:val="auto"/>
          <w:szCs w:val="21"/>
        </w:rPr>
      </w:pPr>
      <w:r>
        <w:rPr>
          <w:rFonts w:hint="eastAsia" w:ascii="宋体" w:hAnsi="宋体"/>
          <w:color w:val="auto"/>
          <w:szCs w:val="21"/>
        </w:rPr>
        <w:t>3.4.1 评标委员会按照评标价格由低到高的顺序推荐1名中标候选人。</w:t>
      </w:r>
    </w:p>
    <w:p>
      <w:pPr>
        <w:autoSpaceDE w:val="0"/>
        <w:autoSpaceDN w:val="0"/>
        <w:adjustRightInd w:val="0"/>
        <w:spacing w:line="440" w:lineRule="exact"/>
        <w:ind w:firstLine="420" w:firstLineChars="200"/>
        <w:rPr>
          <w:rFonts w:ascii="宋体" w:hAnsi="宋体"/>
          <w:color w:val="auto"/>
          <w:szCs w:val="21"/>
        </w:rPr>
      </w:pPr>
      <w:r>
        <w:rPr>
          <w:rFonts w:hint="eastAsia" w:ascii="宋体" w:hAnsi="宋体"/>
          <w:color w:val="auto"/>
          <w:szCs w:val="21"/>
        </w:rPr>
        <w:t>3.4.2 评标委员会完成评标后，应当向采购人提交书面评标报告。</w:t>
      </w:r>
    </w:p>
    <w:p>
      <w:pPr>
        <w:autoSpaceDE w:val="0"/>
        <w:autoSpaceDN w:val="0"/>
        <w:adjustRightInd w:val="0"/>
        <w:spacing w:line="440" w:lineRule="exact"/>
        <w:ind w:firstLine="482" w:firstLineChars="200"/>
        <w:rPr>
          <w:rFonts w:ascii="宋体" w:hAnsi="宋体"/>
          <w:b/>
          <w:color w:val="auto"/>
          <w:kern w:val="0"/>
          <w:szCs w:val="21"/>
        </w:rPr>
      </w:pPr>
      <w:r>
        <w:rPr>
          <w:rFonts w:hint="eastAsia" w:ascii="宋体" w:hAnsi="宋体"/>
          <w:b/>
          <w:color w:val="auto"/>
          <w:sz w:val="24"/>
        </w:rPr>
        <w:t>3.5  顺延中标人或重新招标</w:t>
      </w:r>
    </w:p>
    <w:p>
      <w:pPr>
        <w:autoSpaceDE w:val="0"/>
        <w:autoSpaceDN w:val="0"/>
        <w:adjustRightInd w:val="0"/>
        <w:spacing w:line="440" w:lineRule="exact"/>
        <w:ind w:firstLine="420" w:firstLineChars="200"/>
        <w:rPr>
          <w:rFonts w:ascii="宋体" w:hAnsi="宋体"/>
          <w:color w:val="auto"/>
          <w:szCs w:val="21"/>
        </w:rPr>
      </w:pPr>
      <w:r>
        <w:rPr>
          <w:rFonts w:hint="eastAsia" w:ascii="宋体" w:hAnsi="宋体"/>
          <w:color w:val="auto"/>
          <w:szCs w:val="21"/>
        </w:rPr>
        <w:t>中标人因不可抗力不能履行政府采购合同的，采购人可以重新招标。</w:t>
      </w:r>
    </w:p>
    <w:p>
      <w:pPr>
        <w:spacing w:line="440" w:lineRule="exact"/>
        <w:rPr>
          <w:rFonts w:ascii="宋体" w:hAnsi="宋体"/>
          <w:color w:val="auto"/>
        </w:rPr>
      </w:pPr>
    </w:p>
    <w:p>
      <w:pPr>
        <w:spacing w:line="440" w:lineRule="exact"/>
        <w:rPr>
          <w:rFonts w:ascii="宋体" w:hAnsi="宋体"/>
          <w:color w:val="auto"/>
        </w:rPr>
      </w:pPr>
    </w:p>
    <w:p>
      <w:pPr>
        <w:spacing w:line="440" w:lineRule="exact"/>
        <w:rPr>
          <w:rFonts w:ascii="宋体" w:hAnsi="宋体"/>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sectPr>
          <w:footerReference r:id="rId11" w:type="first"/>
          <w:footerReference r:id="rId10" w:type="default"/>
          <w:pgSz w:w="11907" w:h="16840"/>
          <w:pgMar w:top="1418" w:right="927" w:bottom="1418" w:left="1247" w:header="851" w:footer="992" w:gutter="0"/>
          <w:cols w:space="720" w:num="1"/>
          <w:titlePg/>
          <w:docGrid w:type="linesAndChars" w:linePitch="312"/>
        </w:sectPr>
      </w:pPr>
    </w:p>
    <w:p>
      <w:pPr>
        <w:spacing w:line="440" w:lineRule="exact"/>
        <w:rPr>
          <w:color w:val="auto"/>
        </w:rPr>
      </w:pPr>
    </w:p>
    <w:p>
      <w:pPr>
        <w:pStyle w:val="2"/>
        <w:spacing w:line="440" w:lineRule="exact"/>
        <w:rPr>
          <w:color w:val="auto"/>
          <w:sz w:val="44"/>
          <w:szCs w:val="44"/>
        </w:rPr>
      </w:pPr>
      <w:bookmarkStart w:id="35" w:name="_Toc315"/>
      <w:r>
        <w:rPr>
          <w:rFonts w:hint="eastAsia"/>
          <w:color w:val="auto"/>
          <w:sz w:val="44"/>
          <w:szCs w:val="44"/>
        </w:rPr>
        <w:t>第四章招标项目参数</w:t>
      </w:r>
      <w:bookmarkEnd w:id="35"/>
      <w:bookmarkStart w:id="36" w:name="_Toc22079"/>
    </w:p>
    <w:tbl>
      <w:tblPr>
        <w:tblpPr w:leftFromText="180" w:rightFromText="180" w:vertAnchor="page" w:horzAnchor="page" w:tblpX="1723" w:tblpY="10201"/>
        <w:tblW w:w="8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3"/>
        <w:gridCol w:w="1390"/>
        <w:gridCol w:w="1110"/>
        <w:gridCol w:w="1180"/>
        <w:gridCol w:w="2044"/>
      </w:tblGrid>
      <w:tr>
        <w:trPr>
          <w:trHeight w:val="296" w:hRule="exact"/>
        </w:trPr>
        <w:tc>
          <w:tcPr>
            <w:tcW w:w="8367" w:type="dxa"/>
            <w:gridSpan w:val="5"/>
            <w:vAlign w:val="center"/>
          </w:tcPr>
          <w:p>
            <w:pPr>
              <w:jc w:val="center"/>
              <w:rPr>
                <w:color w:val="auto"/>
                <w:szCs w:val="21"/>
              </w:rPr>
            </w:pPr>
            <w:r>
              <w:rPr>
                <w:rFonts w:hint="eastAsia"/>
                <w:b/>
                <w:bCs/>
                <w:color w:val="auto"/>
                <w:szCs w:val="21"/>
              </w:rPr>
              <w:t>交通标线工程计算表</w:t>
            </w:r>
          </w:p>
        </w:tc>
      </w:tr>
      <w:tr>
        <w:trPr>
          <w:trHeight w:val="296" w:hRule="exact"/>
        </w:trPr>
        <w:tc>
          <w:tcPr>
            <w:tcW w:w="2643" w:type="dxa"/>
            <w:vAlign w:val="center"/>
          </w:tcPr>
          <w:p>
            <w:pPr>
              <w:jc w:val="center"/>
              <w:rPr>
                <w:color w:val="auto"/>
                <w:szCs w:val="21"/>
              </w:rPr>
            </w:pPr>
            <w:r>
              <w:rPr>
                <w:rFonts w:hint="eastAsia"/>
                <w:color w:val="auto"/>
                <w:szCs w:val="21"/>
              </w:rPr>
              <w:t>施工路段</w:t>
            </w:r>
          </w:p>
        </w:tc>
        <w:tc>
          <w:tcPr>
            <w:tcW w:w="1390" w:type="dxa"/>
            <w:vAlign w:val="center"/>
          </w:tcPr>
          <w:p>
            <w:pPr>
              <w:jc w:val="center"/>
              <w:rPr>
                <w:color w:val="auto"/>
                <w:szCs w:val="21"/>
              </w:rPr>
            </w:pPr>
            <w:r>
              <w:rPr>
                <w:rFonts w:hint="eastAsia"/>
                <w:color w:val="auto"/>
                <w:szCs w:val="21"/>
              </w:rPr>
              <w:t>合计㎡</w:t>
            </w:r>
          </w:p>
          <w:p>
            <w:pPr>
              <w:jc w:val="center"/>
              <w:rPr>
                <w:color w:val="auto"/>
                <w:szCs w:val="21"/>
              </w:rPr>
            </w:pPr>
          </w:p>
        </w:tc>
        <w:tc>
          <w:tcPr>
            <w:tcW w:w="1110" w:type="dxa"/>
            <w:vAlign w:val="center"/>
          </w:tcPr>
          <w:p>
            <w:pPr>
              <w:jc w:val="center"/>
              <w:rPr>
                <w:color w:val="auto"/>
                <w:szCs w:val="21"/>
              </w:rPr>
            </w:pPr>
            <w:r>
              <w:rPr>
                <w:rFonts w:hint="eastAsia"/>
                <w:color w:val="auto"/>
                <w:szCs w:val="21"/>
              </w:rPr>
              <w:t>单价</w:t>
            </w:r>
          </w:p>
        </w:tc>
        <w:tc>
          <w:tcPr>
            <w:tcW w:w="1180" w:type="dxa"/>
            <w:vAlign w:val="center"/>
          </w:tcPr>
          <w:p>
            <w:pPr>
              <w:jc w:val="center"/>
              <w:rPr>
                <w:color w:val="auto"/>
                <w:szCs w:val="21"/>
              </w:rPr>
            </w:pPr>
            <w:r>
              <w:rPr>
                <w:rFonts w:hint="eastAsia"/>
                <w:color w:val="auto"/>
                <w:szCs w:val="21"/>
              </w:rPr>
              <w:t>合价</w:t>
            </w:r>
          </w:p>
        </w:tc>
        <w:tc>
          <w:tcPr>
            <w:tcW w:w="2044" w:type="dxa"/>
            <w:vAlign w:val="center"/>
          </w:tcPr>
          <w:p>
            <w:pPr>
              <w:jc w:val="center"/>
              <w:rPr>
                <w:color w:val="auto"/>
                <w:szCs w:val="21"/>
              </w:rPr>
            </w:pPr>
            <w:r>
              <w:rPr>
                <w:rFonts w:hint="eastAsia"/>
                <w:color w:val="auto"/>
                <w:szCs w:val="21"/>
              </w:rPr>
              <w:t>备注</w:t>
            </w:r>
          </w:p>
        </w:tc>
      </w:tr>
      <w:tr>
        <w:trPr>
          <w:trHeight w:val="549" w:hRule="exact"/>
        </w:trPr>
        <w:tc>
          <w:tcPr>
            <w:tcW w:w="2643" w:type="dxa"/>
            <w:vAlign w:val="center"/>
          </w:tcPr>
          <w:p>
            <w:pPr>
              <w:jc w:val="center"/>
              <w:rPr>
                <w:color w:val="auto"/>
                <w:szCs w:val="21"/>
              </w:rPr>
            </w:pPr>
            <w:r>
              <w:rPr>
                <w:rFonts w:hint="eastAsia"/>
                <w:color w:val="auto"/>
                <w:szCs w:val="21"/>
              </w:rPr>
              <w:t>大练线与纬二路</w:t>
            </w:r>
          </w:p>
        </w:tc>
        <w:tc>
          <w:tcPr>
            <w:tcW w:w="1390" w:type="dxa"/>
            <w:vAlign w:val="center"/>
          </w:tcPr>
          <w:p>
            <w:pPr>
              <w:jc w:val="center"/>
              <w:rPr>
                <w:color w:val="auto"/>
                <w:szCs w:val="21"/>
              </w:rPr>
            </w:pPr>
            <w:r>
              <w:rPr>
                <w:rFonts w:hint="eastAsia"/>
                <w:color w:val="auto"/>
                <w:szCs w:val="21"/>
              </w:rPr>
              <w:t>883.6</w:t>
            </w:r>
          </w:p>
        </w:tc>
        <w:tc>
          <w:tcPr>
            <w:tcW w:w="1110" w:type="dxa"/>
            <w:vAlign w:val="center"/>
          </w:tcPr>
          <w:p>
            <w:pPr>
              <w:jc w:val="center"/>
              <w:rPr>
                <w:color w:val="auto"/>
                <w:szCs w:val="21"/>
              </w:rPr>
            </w:pPr>
          </w:p>
        </w:tc>
        <w:tc>
          <w:tcPr>
            <w:tcW w:w="1180" w:type="dxa"/>
            <w:vAlign w:val="center"/>
          </w:tcPr>
          <w:p>
            <w:pPr>
              <w:jc w:val="center"/>
              <w:rPr>
                <w:color w:val="auto"/>
                <w:szCs w:val="21"/>
              </w:rPr>
            </w:pPr>
          </w:p>
        </w:tc>
        <w:tc>
          <w:tcPr>
            <w:tcW w:w="2044" w:type="dxa"/>
            <w:vMerge w:val="restart"/>
            <w:vAlign w:val="center"/>
          </w:tcPr>
          <w:p>
            <w:pPr>
              <w:jc w:val="center"/>
              <w:rPr>
                <w:color w:val="auto"/>
                <w:szCs w:val="21"/>
              </w:rPr>
            </w:pPr>
            <w:r>
              <w:rPr>
                <w:rFonts w:hint="eastAsia"/>
                <w:color w:val="auto"/>
                <w:szCs w:val="21"/>
              </w:rPr>
              <w:t>热熔标线质保期24个月</w:t>
            </w:r>
          </w:p>
        </w:tc>
      </w:tr>
      <w:tr>
        <w:trPr>
          <w:trHeight w:val="583" w:hRule="exact"/>
        </w:trPr>
        <w:tc>
          <w:tcPr>
            <w:tcW w:w="2643" w:type="dxa"/>
            <w:vAlign w:val="center"/>
          </w:tcPr>
          <w:p>
            <w:pPr>
              <w:jc w:val="center"/>
              <w:rPr>
                <w:color w:val="auto"/>
                <w:szCs w:val="21"/>
              </w:rPr>
            </w:pPr>
            <w:r>
              <w:rPr>
                <w:rFonts w:hint="eastAsia"/>
                <w:color w:val="auto"/>
                <w:szCs w:val="21"/>
              </w:rPr>
              <w:t>太行路与司马大街路口</w:t>
            </w:r>
          </w:p>
        </w:tc>
        <w:tc>
          <w:tcPr>
            <w:tcW w:w="1390" w:type="dxa"/>
            <w:vAlign w:val="center"/>
          </w:tcPr>
          <w:p>
            <w:pPr>
              <w:jc w:val="center"/>
              <w:rPr>
                <w:color w:val="auto"/>
                <w:szCs w:val="21"/>
              </w:rPr>
            </w:pPr>
            <w:r>
              <w:rPr>
                <w:rFonts w:hint="eastAsia"/>
                <w:color w:val="auto"/>
                <w:szCs w:val="21"/>
              </w:rPr>
              <w:t>406.2</w:t>
            </w:r>
          </w:p>
        </w:tc>
        <w:tc>
          <w:tcPr>
            <w:tcW w:w="1110" w:type="dxa"/>
            <w:vAlign w:val="top"/>
          </w:tcPr>
          <w:p>
            <w:pPr>
              <w:jc w:val="center"/>
              <w:rPr>
                <w:color w:val="auto"/>
                <w:szCs w:val="21"/>
              </w:rPr>
            </w:pPr>
          </w:p>
        </w:tc>
        <w:tc>
          <w:tcPr>
            <w:tcW w:w="1180" w:type="dxa"/>
            <w:vAlign w:val="top"/>
          </w:tcPr>
          <w:p>
            <w:pPr>
              <w:jc w:val="center"/>
              <w:rPr>
                <w:color w:val="auto"/>
                <w:szCs w:val="21"/>
              </w:rPr>
            </w:pPr>
          </w:p>
        </w:tc>
        <w:tc>
          <w:tcPr>
            <w:tcW w:w="2044" w:type="dxa"/>
            <w:vMerge w:val="continue"/>
            <w:vAlign w:val="top"/>
          </w:tcPr>
          <w:p>
            <w:pPr>
              <w:jc w:val="center"/>
              <w:rPr>
                <w:color w:val="auto"/>
                <w:szCs w:val="21"/>
              </w:rPr>
            </w:pPr>
          </w:p>
        </w:tc>
      </w:tr>
      <w:tr>
        <w:trPr>
          <w:trHeight w:val="630" w:hRule="exact"/>
        </w:trPr>
        <w:tc>
          <w:tcPr>
            <w:tcW w:w="2643" w:type="dxa"/>
            <w:vAlign w:val="center"/>
          </w:tcPr>
          <w:p>
            <w:pPr>
              <w:jc w:val="center"/>
              <w:rPr>
                <w:color w:val="auto"/>
                <w:szCs w:val="21"/>
              </w:rPr>
            </w:pPr>
            <w:r>
              <w:rPr>
                <w:rFonts w:hint="eastAsia"/>
                <w:color w:val="auto"/>
                <w:szCs w:val="21"/>
              </w:rPr>
              <w:t>太行路与子夏大街路路口</w:t>
            </w:r>
          </w:p>
        </w:tc>
        <w:tc>
          <w:tcPr>
            <w:tcW w:w="1390" w:type="dxa"/>
            <w:vAlign w:val="center"/>
          </w:tcPr>
          <w:p>
            <w:pPr>
              <w:jc w:val="center"/>
              <w:rPr>
                <w:color w:val="auto"/>
                <w:szCs w:val="21"/>
              </w:rPr>
            </w:pPr>
            <w:r>
              <w:rPr>
                <w:rFonts w:hint="eastAsia"/>
                <w:color w:val="auto"/>
                <w:szCs w:val="21"/>
              </w:rPr>
              <w:t>1045.4</w:t>
            </w:r>
          </w:p>
        </w:tc>
        <w:tc>
          <w:tcPr>
            <w:tcW w:w="1110" w:type="dxa"/>
            <w:vAlign w:val="top"/>
          </w:tcPr>
          <w:p>
            <w:pPr>
              <w:jc w:val="center"/>
              <w:rPr>
                <w:color w:val="auto"/>
                <w:szCs w:val="21"/>
              </w:rPr>
            </w:pPr>
          </w:p>
        </w:tc>
        <w:tc>
          <w:tcPr>
            <w:tcW w:w="1180" w:type="dxa"/>
            <w:vAlign w:val="top"/>
          </w:tcPr>
          <w:p>
            <w:pPr>
              <w:jc w:val="center"/>
              <w:rPr>
                <w:color w:val="auto"/>
                <w:szCs w:val="21"/>
              </w:rPr>
            </w:pPr>
          </w:p>
        </w:tc>
        <w:tc>
          <w:tcPr>
            <w:tcW w:w="2044" w:type="dxa"/>
            <w:vMerge w:val="continue"/>
            <w:vAlign w:val="top"/>
          </w:tcPr>
          <w:p>
            <w:pPr>
              <w:jc w:val="center"/>
              <w:rPr>
                <w:color w:val="auto"/>
                <w:szCs w:val="21"/>
              </w:rPr>
            </w:pPr>
          </w:p>
        </w:tc>
      </w:tr>
      <w:tr>
        <w:trPr>
          <w:trHeight w:val="504" w:hRule="exact"/>
        </w:trPr>
        <w:tc>
          <w:tcPr>
            <w:tcW w:w="2643" w:type="dxa"/>
            <w:vAlign w:val="center"/>
          </w:tcPr>
          <w:p>
            <w:pPr>
              <w:jc w:val="center"/>
              <w:rPr>
                <w:color w:val="auto"/>
                <w:szCs w:val="21"/>
              </w:rPr>
            </w:pPr>
            <w:r>
              <w:rPr>
                <w:rFonts w:hint="eastAsia"/>
                <w:color w:val="auto"/>
                <w:szCs w:val="21"/>
              </w:rPr>
              <w:t>新洛路与谷黄路路口</w:t>
            </w:r>
          </w:p>
        </w:tc>
        <w:tc>
          <w:tcPr>
            <w:tcW w:w="1390" w:type="dxa"/>
            <w:vAlign w:val="center"/>
          </w:tcPr>
          <w:p>
            <w:pPr>
              <w:jc w:val="center"/>
              <w:rPr>
                <w:color w:val="auto"/>
                <w:szCs w:val="21"/>
              </w:rPr>
            </w:pPr>
            <w:r>
              <w:rPr>
                <w:rFonts w:hint="eastAsia"/>
                <w:color w:val="auto"/>
                <w:szCs w:val="21"/>
              </w:rPr>
              <w:t>626</w:t>
            </w:r>
          </w:p>
        </w:tc>
        <w:tc>
          <w:tcPr>
            <w:tcW w:w="1110" w:type="dxa"/>
            <w:vAlign w:val="top"/>
          </w:tcPr>
          <w:p>
            <w:pPr>
              <w:jc w:val="center"/>
              <w:rPr>
                <w:color w:val="auto"/>
                <w:szCs w:val="21"/>
              </w:rPr>
            </w:pPr>
          </w:p>
        </w:tc>
        <w:tc>
          <w:tcPr>
            <w:tcW w:w="1180" w:type="dxa"/>
            <w:vAlign w:val="top"/>
          </w:tcPr>
          <w:p>
            <w:pPr>
              <w:jc w:val="center"/>
              <w:rPr>
                <w:color w:val="auto"/>
                <w:szCs w:val="21"/>
              </w:rPr>
            </w:pPr>
          </w:p>
        </w:tc>
        <w:tc>
          <w:tcPr>
            <w:tcW w:w="2044" w:type="dxa"/>
            <w:vMerge w:val="continue"/>
            <w:vAlign w:val="top"/>
          </w:tcPr>
          <w:p>
            <w:pPr>
              <w:jc w:val="center"/>
              <w:rPr>
                <w:color w:val="auto"/>
                <w:szCs w:val="21"/>
              </w:rPr>
            </w:pPr>
          </w:p>
        </w:tc>
      </w:tr>
      <w:tr>
        <w:trPr>
          <w:trHeight w:val="694" w:hRule="exact"/>
        </w:trPr>
        <w:tc>
          <w:tcPr>
            <w:tcW w:w="2643" w:type="dxa"/>
            <w:vAlign w:val="center"/>
          </w:tcPr>
          <w:p>
            <w:pPr>
              <w:jc w:val="center"/>
              <w:rPr>
                <w:color w:val="auto"/>
                <w:szCs w:val="21"/>
              </w:rPr>
            </w:pPr>
            <w:r>
              <w:rPr>
                <w:rFonts w:hint="eastAsia"/>
                <w:color w:val="auto"/>
                <w:szCs w:val="21"/>
              </w:rPr>
              <w:t>新洛路与杨磊五叉路路口</w:t>
            </w:r>
          </w:p>
        </w:tc>
        <w:tc>
          <w:tcPr>
            <w:tcW w:w="1390" w:type="dxa"/>
            <w:vAlign w:val="center"/>
          </w:tcPr>
          <w:p>
            <w:pPr>
              <w:jc w:val="center"/>
              <w:rPr>
                <w:color w:val="auto"/>
                <w:szCs w:val="21"/>
              </w:rPr>
            </w:pPr>
            <w:r>
              <w:rPr>
                <w:rFonts w:hint="eastAsia"/>
                <w:color w:val="auto"/>
                <w:szCs w:val="21"/>
              </w:rPr>
              <w:t>522.8</w:t>
            </w:r>
          </w:p>
        </w:tc>
        <w:tc>
          <w:tcPr>
            <w:tcW w:w="1110" w:type="dxa"/>
            <w:vAlign w:val="top"/>
          </w:tcPr>
          <w:p>
            <w:pPr>
              <w:jc w:val="center"/>
              <w:rPr>
                <w:color w:val="auto"/>
                <w:szCs w:val="21"/>
              </w:rPr>
            </w:pPr>
          </w:p>
        </w:tc>
        <w:tc>
          <w:tcPr>
            <w:tcW w:w="1180" w:type="dxa"/>
            <w:vAlign w:val="top"/>
          </w:tcPr>
          <w:p>
            <w:pPr>
              <w:jc w:val="center"/>
              <w:rPr>
                <w:color w:val="auto"/>
                <w:szCs w:val="21"/>
              </w:rPr>
            </w:pPr>
          </w:p>
        </w:tc>
        <w:tc>
          <w:tcPr>
            <w:tcW w:w="2044" w:type="dxa"/>
            <w:vMerge w:val="continue"/>
            <w:vAlign w:val="top"/>
          </w:tcPr>
          <w:p>
            <w:pPr>
              <w:jc w:val="center"/>
              <w:rPr>
                <w:color w:val="auto"/>
                <w:szCs w:val="21"/>
              </w:rPr>
            </w:pPr>
          </w:p>
        </w:tc>
      </w:tr>
      <w:tr>
        <w:trPr>
          <w:trHeight w:val="342" w:hRule="exact"/>
        </w:trPr>
        <w:tc>
          <w:tcPr>
            <w:tcW w:w="2643" w:type="dxa"/>
            <w:vAlign w:val="center"/>
          </w:tcPr>
          <w:p>
            <w:pPr>
              <w:jc w:val="center"/>
              <w:rPr>
                <w:color w:val="auto"/>
                <w:szCs w:val="21"/>
              </w:rPr>
            </w:pPr>
            <w:r>
              <w:rPr>
                <w:rFonts w:hint="eastAsia"/>
                <w:color w:val="auto"/>
                <w:szCs w:val="21"/>
              </w:rPr>
              <w:t>税费</w:t>
            </w:r>
          </w:p>
        </w:tc>
        <w:tc>
          <w:tcPr>
            <w:tcW w:w="1390" w:type="dxa"/>
            <w:vAlign w:val="center"/>
          </w:tcPr>
          <w:p>
            <w:pPr>
              <w:jc w:val="center"/>
              <w:rPr>
                <w:color w:val="auto"/>
                <w:szCs w:val="21"/>
              </w:rPr>
            </w:pPr>
          </w:p>
        </w:tc>
        <w:tc>
          <w:tcPr>
            <w:tcW w:w="1110" w:type="dxa"/>
            <w:vAlign w:val="top"/>
          </w:tcPr>
          <w:p>
            <w:pPr>
              <w:jc w:val="center"/>
              <w:rPr>
                <w:color w:val="auto"/>
                <w:szCs w:val="21"/>
              </w:rPr>
            </w:pPr>
          </w:p>
        </w:tc>
        <w:tc>
          <w:tcPr>
            <w:tcW w:w="1180" w:type="dxa"/>
            <w:vAlign w:val="top"/>
          </w:tcPr>
          <w:p>
            <w:pPr>
              <w:jc w:val="center"/>
              <w:rPr>
                <w:color w:val="auto"/>
                <w:szCs w:val="21"/>
              </w:rPr>
            </w:pPr>
          </w:p>
        </w:tc>
        <w:tc>
          <w:tcPr>
            <w:tcW w:w="2044" w:type="dxa"/>
            <w:vAlign w:val="top"/>
          </w:tcPr>
          <w:p>
            <w:pPr>
              <w:jc w:val="center"/>
              <w:rPr>
                <w:color w:val="auto"/>
                <w:szCs w:val="21"/>
              </w:rPr>
            </w:pPr>
            <w:r>
              <w:rPr>
                <w:rFonts w:hint="eastAsia" w:ascii="宋体" w:hAnsi="宋体" w:cs="宋体"/>
                <w:color w:val="auto"/>
                <w:szCs w:val="21"/>
              </w:rPr>
              <w:t>按11%计取</w:t>
            </w:r>
          </w:p>
        </w:tc>
      </w:tr>
      <w:tr>
        <w:trPr>
          <w:trHeight w:val="587" w:hRule="exact"/>
        </w:trPr>
        <w:tc>
          <w:tcPr>
            <w:tcW w:w="2643" w:type="dxa"/>
            <w:vAlign w:val="center"/>
          </w:tcPr>
          <w:p>
            <w:pPr>
              <w:jc w:val="center"/>
              <w:rPr>
                <w:color w:val="auto"/>
                <w:szCs w:val="21"/>
              </w:rPr>
            </w:pPr>
            <w:r>
              <w:rPr>
                <w:rFonts w:hint="eastAsia"/>
                <w:color w:val="auto"/>
                <w:szCs w:val="21"/>
              </w:rPr>
              <w:t>合计</w:t>
            </w:r>
          </w:p>
        </w:tc>
        <w:tc>
          <w:tcPr>
            <w:tcW w:w="5724" w:type="dxa"/>
            <w:gridSpan w:val="4"/>
            <w:vAlign w:val="center"/>
          </w:tcPr>
          <w:p>
            <w:pPr>
              <w:jc w:val="center"/>
              <w:rPr>
                <w:rFonts w:ascii="宋体" w:hAnsi="宋体" w:cs="宋体"/>
                <w:color w:val="auto"/>
                <w:szCs w:val="21"/>
              </w:rPr>
            </w:pPr>
          </w:p>
        </w:tc>
      </w:tr>
    </w:tbl>
    <w:p>
      <w:pPr>
        <w:jc w:val="center"/>
        <w:rPr>
          <w:b/>
          <w:bCs/>
          <w:color w:val="auto"/>
          <w:szCs w:val="21"/>
        </w:rPr>
      </w:pPr>
    </w:p>
    <w:p>
      <w:pPr>
        <w:jc w:val="center"/>
        <w:rPr>
          <w:b/>
          <w:bCs/>
          <w:color w:val="auto"/>
          <w:szCs w:val="21"/>
        </w:rPr>
      </w:pPr>
    </w:p>
    <w:p>
      <w:pPr>
        <w:rPr>
          <w:b/>
          <w:bCs/>
          <w:color w:val="auto"/>
          <w:szCs w:val="21"/>
        </w:rPr>
      </w:pPr>
      <w:r>
        <w:rPr>
          <w:rFonts w:hint="eastAsia"/>
          <w:b/>
          <w:bCs/>
          <w:color w:val="auto"/>
          <w:szCs w:val="21"/>
        </w:rPr>
        <w:t xml:space="preserve"> </w:t>
      </w:r>
    </w:p>
    <w:p>
      <w:pPr>
        <w:jc w:val="center"/>
        <w:rPr>
          <w:b/>
          <w:bCs/>
          <w:color w:val="auto"/>
          <w:szCs w:val="21"/>
        </w:rPr>
      </w:pPr>
    </w:p>
    <w:p>
      <w:pPr>
        <w:jc w:val="center"/>
        <w:rPr>
          <w:b/>
          <w:bCs/>
          <w:color w:val="auto"/>
          <w:szCs w:val="21"/>
        </w:rPr>
      </w:pPr>
      <w:r>
        <w:rPr>
          <w:rFonts w:hint="eastAsia"/>
          <w:b/>
          <w:bCs/>
          <w:color w:val="auto"/>
          <w:szCs w:val="21"/>
        </w:rPr>
        <w:t>2017年安装分道标志牌、指路标志牌等预算清单（一标段）  金额单位：元</w:t>
      </w:r>
    </w:p>
    <w:p>
      <w:pPr>
        <w:jc w:val="center"/>
        <w:rPr>
          <w:b/>
          <w:bCs/>
          <w:color w:val="auto"/>
          <w:szCs w:val="21"/>
        </w:rPr>
      </w:pPr>
    </w:p>
    <w:tbl>
      <w:tblPr>
        <w:tblpPr w:leftFromText="180" w:rightFromText="180" w:vertAnchor="page" w:horzAnchor="page" w:tblpX="1430" w:tblpY="4759"/>
        <w:tblOverlap w:val="never"/>
        <w:tblW w:w="84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860"/>
        <w:gridCol w:w="3629"/>
        <w:gridCol w:w="601"/>
        <w:gridCol w:w="722"/>
        <w:gridCol w:w="818"/>
        <w:gridCol w:w="737"/>
        <w:gridCol w:w="1130"/>
      </w:tblGrid>
      <w:tr>
        <w:trPr>
          <w:trHeight w:val="63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szCs w:val="21"/>
              </w:rPr>
              <w:t>项目</w:t>
            </w:r>
          </w:p>
        </w:tc>
        <w:tc>
          <w:tcPr>
            <w:tcW w:w="362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规格</w:t>
            </w:r>
          </w:p>
        </w:tc>
        <w:tc>
          <w:tcPr>
            <w:tcW w:w="6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单位</w:t>
            </w:r>
          </w:p>
        </w:tc>
        <w:tc>
          <w:tcPr>
            <w:tcW w:w="7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数量</w:t>
            </w:r>
          </w:p>
        </w:tc>
        <w:tc>
          <w:tcPr>
            <w:tcW w:w="81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单价</w:t>
            </w:r>
          </w:p>
        </w:tc>
        <w:tc>
          <w:tcPr>
            <w:tcW w:w="73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合价</w:t>
            </w:r>
          </w:p>
        </w:tc>
        <w:tc>
          <w:tcPr>
            <w:tcW w:w="113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备注</w:t>
            </w:r>
          </w:p>
        </w:tc>
      </w:tr>
      <w:tr>
        <w:trPr>
          <w:trHeight w:val="630"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标志牌</w:t>
            </w:r>
          </w:p>
        </w:tc>
        <w:tc>
          <w:tcPr>
            <w:tcW w:w="362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2m*4m（3M工程棱镜反光膜，3MM厚铝板）</w:t>
            </w:r>
          </w:p>
        </w:tc>
        <w:tc>
          <w:tcPr>
            <w:tcW w:w="601"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套</w:t>
            </w:r>
          </w:p>
        </w:tc>
        <w:tc>
          <w:tcPr>
            <w:tcW w:w="722" w:type="dxa"/>
            <w:vMerge w:val="restart"/>
            <w:tcBorders>
              <w:top w:val="single" w:color="000000" w:sz="4" w:space="0"/>
              <w:left w:val="single" w:color="000000" w:sz="4" w:space="0"/>
              <w:right w:val="single" w:color="auto"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17</w:t>
            </w:r>
          </w:p>
        </w:tc>
        <w:tc>
          <w:tcPr>
            <w:tcW w:w="818" w:type="dxa"/>
            <w:vMerge w:val="restart"/>
            <w:tcBorders>
              <w:top w:val="single" w:color="000000" w:sz="4" w:space="0"/>
              <w:left w:val="single" w:color="auto" w:sz="4" w:space="0"/>
              <w:right w:val="single" w:color="auto" w:sz="4" w:space="0"/>
            </w:tcBorders>
            <w:vAlign w:val="center"/>
          </w:tcPr>
          <w:p>
            <w:pPr>
              <w:widowControl/>
              <w:jc w:val="center"/>
              <w:textAlignment w:val="center"/>
              <w:rPr>
                <w:rFonts w:ascii="宋体" w:hAnsi="宋体" w:cs="宋体"/>
                <w:color w:val="auto"/>
                <w:kern w:val="0"/>
                <w:szCs w:val="21"/>
              </w:rPr>
            </w:pPr>
          </w:p>
        </w:tc>
        <w:tc>
          <w:tcPr>
            <w:tcW w:w="737" w:type="dxa"/>
            <w:vMerge w:val="restart"/>
            <w:tcBorders>
              <w:top w:val="single" w:color="000000" w:sz="4" w:space="0"/>
              <w:left w:val="single" w:color="auto" w:sz="4" w:space="0"/>
              <w:right w:val="single" w:color="auto" w:sz="4" w:space="0"/>
            </w:tcBorders>
            <w:vAlign w:val="center"/>
          </w:tcPr>
          <w:p>
            <w:pPr>
              <w:widowControl/>
              <w:jc w:val="center"/>
              <w:textAlignment w:val="center"/>
              <w:rPr>
                <w:rFonts w:ascii="宋体" w:hAnsi="宋体" w:cs="宋体"/>
                <w:color w:val="auto"/>
                <w:kern w:val="0"/>
                <w:szCs w:val="21"/>
              </w:rPr>
            </w:pPr>
          </w:p>
        </w:tc>
        <w:tc>
          <w:tcPr>
            <w:tcW w:w="1130" w:type="dxa"/>
            <w:vMerge w:val="restart"/>
            <w:tcBorders>
              <w:top w:val="single" w:color="000000" w:sz="4" w:space="0"/>
              <w:left w:val="single" w:color="auto"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含地笼、螺丝抱箍、挖坑、安装费、运费</w:t>
            </w:r>
          </w:p>
        </w:tc>
      </w:tr>
      <w:tr>
        <w:trPr>
          <w:trHeight w:val="1327" w:hRule="atLeast"/>
        </w:trPr>
        <w:tc>
          <w:tcPr>
            <w:tcW w:w="8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双悬臂标杆</w:t>
            </w:r>
          </w:p>
        </w:tc>
        <w:tc>
          <w:tcPr>
            <w:tcW w:w="362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kern w:val="0"/>
                <w:szCs w:val="21"/>
              </w:rPr>
              <w:t>1、材料品种:Q235钢管，热浸镀。2、规格:立柱 φ219×8mm×7500mm，横梁2*φ114×5mm×4500mm。3、基础预制1.5M×1.5M×1.8M</w:t>
            </w:r>
          </w:p>
        </w:tc>
        <w:tc>
          <w:tcPr>
            <w:tcW w:w="601" w:type="dxa"/>
            <w:vMerge w:val="continue"/>
            <w:tcBorders>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auto"/>
                <w:szCs w:val="21"/>
              </w:rPr>
            </w:pPr>
          </w:p>
        </w:tc>
        <w:tc>
          <w:tcPr>
            <w:tcW w:w="722" w:type="dxa"/>
            <w:vMerge w:val="continue"/>
            <w:tcBorders>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818"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737" w:type="dxa"/>
            <w:vMerge w:val="continue"/>
            <w:tcBorders>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1130" w:type="dxa"/>
            <w:vMerge w:val="continue"/>
            <w:tcBorders>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auto"/>
                <w:szCs w:val="21"/>
              </w:rPr>
            </w:pPr>
          </w:p>
        </w:tc>
      </w:tr>
      <w:tr>
        <w:trPr>
          <w:trHeight w:val="521" w:hRule="atLeast"/>
        </w:trPr>
        <w:tc>
          <w:tcPr>
            <w:tcW w:w="860" w:type="dxa"/>
            <w:tcBorders>
              <w:top w:val="single" w:color="000000" w:sz="4" w:space="0"/>
              <w:left w:val="single" w:color="000000" w:sz="4" w:space="0"/>
              <w:bottom w:val="single" w:color="000000" w:sz="4" w:space="0"/>
              <w:right w:val="single" w:color="auto" w:sz="4" w:space="0"/>
            </w:tcBorders>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税费</w:t>
            </w:r>
          </w:p>
        </w:tc>
        <w:tc>
          <w:tcPr>
            <w:tcW w:w="3629"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ascii="宋体" w:hAnsi="宋体" w:cs="宋体"/>
                <w:color w:val="auto"/>
                <w:kern w:val="0"/>
                <w:szCs w:val="21"/>
              </w:rPr>
            </w:pPr>
          </w:p>
        </w:tc>
        <w:tc>
          <w:tcPr>
            <w:tcW w:w="601" w:type="dxa"/>
            <w:tcBorders>
              <w:top w:val="single" w:color="auto" w:sz="4" w:space="0"/>
              <w:left w:val="single" w:color="000000"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72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81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73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color w:val="auto"/>
                <w:szCs w:val="21"/>
              </w:rPr>
            </w:pPr>
          </w:p>
        </w:tc>
        <w:tc>
          <w:tcPr>
            <w:tcW w:w="1130" w:type="dxa"/>
            <w:tcBorders>
              <w:top w:val="single" w:color="auto" w:sz="4" w:space="0"/>
              <w:left w:val="single" w:color="auto" w:sz="4" w:space="0"/>
              <w:bottom w:val="single" w:color="auto" w:sz="4" w:space="0"/>
              <w:right w:val="single" w:color="000000" w:sz="4" w:space="0"/>
            </w:tcBorders>
            <w:vAlign w:val="center"/>
          </w:tcPr>
          <w:p>
            <w:pPr>
              <w:widowControl/>
              <w:jc w:val="center"/>
              <w:textAlignment w:val="center"/>
              <w:rPr>
                <w:rFonts w:ascii="宋体" w:hAnsi="宋体" w:cs="宋体"/>
                <w:color w:val="auto"/>
                <w:szCs w:val="21"/>
              </w:rPr>
            </w:pPr>
            <w:r>
              <w:rPr>
                <w:rFonts w:hint="eastAsia" w:ascii="宋体" w:hAnsi="宋体" w:cs="宋体"/>
                <w:color w:val="auto"/>
                <w:szCs w:val="21"/>
              </w:rPr>
              <w:t>按11%计取</w:t>
            </w:r>
          </w:p>
        </w:tc>
      </w:tr>
      <w:tr>
        <w:trPr>
          <w:trHeight w:val="521" w:hRule="atLeast"/>
        </w:trPr>
        <w:tc>
          <w:tcPr>
            <w:tcW w:w="448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合计</w:t>
            </w:r>
          </w:p>
        </w:tc>
        <w:tc>
          <w:tcPr>
            <w:tcW w:w="4008" w:type="dxa"/>
            <w:gridSpan w:val="5"/>
            <w:tcBorders>
              <w:top w:val="single" w:color="auto"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宋体"/>
                <w:color w:val="auto"/>
                <w:szCs w:val="21"/>
              </w:rPr>
            </w:pPr>
          </w:p>
        </w:tc>
      </w:tr>
    </w:tbl>
    <w:p>
      <w:pP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r>
        <w:rPr>
          <w:rFonts w:hint="eastAsia"/>
          <w:b/>
          <w:bCs/>
          <w:color w:val="auto"/>
          <w:szCs w:val="21"/>
        </w:rPr>
        <w:t xml:space="preserve">2017年路口标线预算（一标段） </w:t>
      </w:r>
    </w:p>
    <w:p>
      <w:pPr>
        <w:jc w:val="center"/>
        <w:rPr>
          <w:b/>
          <w:bCs/>
          <w:color w:val="auto"/>
          <w:szCs w:val="21"/>
        </w:rPr>
      </w:pPr>
      <w:r>
        <w:rPr>
          <w:rFonts w:hint="eastAsia"/>
          <w:b/>
          <w:bCs/>
          <w:color w:val="auto"/>
          <w:szCs w:val="21"/>
        </w:rPr>
        <w:t xml:space="preserve">                                       金额单位：元</w:t>
      </w:r>
    </w:p>
    <w:p>
      <w:pP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p>
    <w:p>
      <w:pPr>
        <w:jc w:val="center"/>
        <w:rPr>
          <w:b/>
          <w:bCs/>
          <w:color w:val="auto"/>
          <w:szCs w:val="21"/>
        </w:rPr>
      </w:pPr>
      <w:r>
        <w:rPr>
          <w:rFonts w:hint="eastAsia"/>
          <w:b/>
          <w:bCs/>
          <w:color w:val="auto"/>
          <w:szCs w:val="21"/>
        </w:rPr>
        <w:t xml:space="preserve">2017年更新司马大街与太行路、子夏大街太行路、大练线纬二路、司马大街与振兴路，新增新洛路杨磊五岔口、新洛路谷黄路路口交通信号灯更新设备预算清单 </w:t>
      </w:r>
    </w:p>
    <w:p>
      <w:pPr>
        <w:jc w:val="center"/>
        <w:rPr>
          <w:b/>
          <w:bCs/>
          <w:color w:val="auto"/>
          <w:szCs w:val="21"/>
        </w:rPr>
      </w:pPr>
    </w:p>
    <w:p>
      <w:pPr>
        <w:jc w:val="center"/>
        <w:rPr>
          <w:b/>
          <w:bCs/>
          <w:color w:val="auto"/>
          <w:szCs w:val="21"/>
        </w:rPr>
      </w:pPr>
      <w:r>
        <w:rPr>
          <w:rFonts w:hint="eastAsia"/>
          <w:b/>
          <w:bCs/>
          <w:color w:val="auto"/>
          <w:szCs w:val="21"/>
        </w:rPr>
        <w:t xml:space="preserve">                                       金额单位：元</w:t>
      </w:r>
    </w:p>
    <w:p>
      <w:pPr>
        <w:jc w:val="center"/>
        <w:rPr>
          <w:b/>
          <w:bCs/>
          <w:color w:val="auto"/>
          <w:szCs w:val="21"/>
        </w:rPr>
      </w:pPr>
    </w:p>
    <w:p>
      <w:pPr>
        <w:jc w:val="center"/>
        <w:rPr>
          <w:b/>
          <w:bCs/>
          <w:color w:val="auto"/>
          <w:szCs w:val="21"/>
        </w:rPr>
      </w:pPr>
    </w:p>
    <w:tbl>
      <w:tblPr>
        <w:tblW w:w="88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1260"/>
        <w:gridCol w:w="3669"/>
        <w:gridCol w:w="610"/>
        <w:gridCol w:w="660"/>
        <w:gridCol w:w="560"/>
        <w:gridCol w:w="560"/>
        <w:gridCol w:w="931"/>
      </w:tblGrid>
      <w:tr>
        <w:trPr>
          <w:trHeight w:val="549" w:hRule="atLeast"/>
          <w:jc w:val="center"/>
        </w:trPr>
        <w:tc>
          <w:tcPr>
            <w:tcW w:w="570" w:type="dxa"/>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b/>
                <w:color w:val="auto"/>
                <w:kern w:val="0"/>
                <w:szCs w:val="21"/>
              </w:rPr>
              <w:t>项目名称</w:t>
            </w:r>
          </w:p>
        </w:tc>
        <w:tc>
          <w:tcPr>
            <w:tcW w:w="3669" w:type="dxa"/>
            <w:vAlign w:val="center"/>
          </w:tcPr>
          <w:p>
            <w:pPr>
              <w:widowControl/>
              <w:jc w:val="center"/>
              <w:textAlignment w:val="center"/>
              <w:rPr>
                <w:color w:val="auto"/>
                <w:szCs w:val="21"/>
              </w:rPr>
            </w:pPr>
            <w:r>
              <w:rPr>
                <w:rFonts w:hint="eastAsia" w:ascii="宋体" w:hAnsi="宋体" w:cs="宋体"/>
                <w:b/>
                <w:color w:val="auto"/>
                <w:kern w:val="0"/>
                <w:szCs w:val="21"/>
              </w:rPr>
              <w:t>参数</w:t>
            </w:r>
          </w:p>
        </w:tc>
        <w:tc>
          <w:tcPr>
            <w:tcW w:w="610" w:type="dxa"/>
            <w:vAlign w:val="center"/>
          </w:tcPr>
          <w:p>
            <w:pPr>
              <w:widowControl/>
              <w:jc w:val="center"/>
              <w:textAlignment w:val="center"/>
              <w:rPr>
                <w:color w:val="auto"/>
                <w:szCs w:val="21"/>
              </w:rPr>
            </w:pPr>
            <w:r>
              <w:rPr>
                <w:rFonts w:hint="eastAsia" w:ascii="宋体" w:hAnsi="宋体" w:cs="宋体"/>
                <w:b/>
                <w:color w:val="auto"/>
                <w:kern w:val="0"/>
                <w:szCs w:val="21"/>
              </w:rPr>
              <w:t>单位</w:t>
            </w:r>
          </w:p>
        </w:tc>
        <w:tc>
          <w:tcPr>
            <w:tcW w:w="660" w:type="dxa"/>
            <w:vAlign w:val="center"/>
          </w:tcPr>
          <w:p>
            <w:pPr>
              <w:widowControl/>
              <w:jc w:val="center"/>
              <w:textAlignment w:val="center"/>
              <w:rPr>
                <w:color w:val="auto"/>
                <w:szCs w:val="21"/>
              </w:rPr>
            </w:pPr>
            <w:r>
              <w:rPr>
                <w:rFonts w:hint="eastAsia" w:ascii="宋体" w:hAnsi="宋体" w:cs="宋体"/>
                <w:b/>
                <w:color w:val="auto"/>
                <w:kern w:val="0"/>
                <w:szCs w:val="21"/>
              </w:rPr>
              <w:t>数量</w:t>
            </w:r>
          </w:p>
        </w:tc>
        <w:tc>
          <w:tcPr>
            <w:tcW w:w="560" w:type="dxa"/>
            <w:vAlign w:val="center"/>
          </w:tcPr>
          <w:p>
            <w:pPr>
              <w:widowControl/>
              <w:jc w:val="center"/>
              <w:textAlignment w:val="center"/>
              <w:rPr>
                <w:rFonts w:ascii="宋体" w:hAnsi="宋体" w:cs="宋体"/>
                <w:b/>
                <w:color w:val="auto"/>
                <w:kern w:val="0"/>
                <w:szCs w:val="21"/>
              </w:rPr>
            </w:pPr>
            <w:r>
              <w:rPr>
                <w:rFonts w:hint="eastAsia" w:ascii="宋体" w:hAnsi="宋体" w:cs="宋体"/>
                <w:b/>
                <w:color w:val="auto"/>
                <w:kern w:val="0"/>
                <w:szCs w:val="21"/>
              </w:rPr>
              <w:t>单价</w:t>
            </w:r>
          </w:p>
        </w:tc>
        <w:tc>
          <w:tcPr>
            <w:tcW w:w="560" w:type="dxa"/>
            <w:vAlign w:val="center"/>
          </w:tcPr>
          <w:p>
            <w:pPr>
              <w:widowControl/>
              <w:jc w:val="center"/>
              <w:textAlignment w:val="center"/>
              <w:rPr>
                <w:rFonts w:ascii="宋体" w:hAnsi="宋体" w:cs="宋体"/>
                <w:b/>
                <w:color w:val="auto"/>
                <w:kern w:val="0"/>
                <w:szCs w:val="21"/>
              </w:rPr>
            </w:pPr>
            <w:r>
              <w:rPr>
                <w:rFonts w:hint="eastAsia" w:ascii="宋体" w:hAnsi="宋体" w:cs="宋体"/>
                <w:b/>
                <w:color w:val="auto"/>
                <w:kern w:val="0"/>
                <w:szCs w:val="21"/>
              </w:rPr>
              <w:t>合价</w:t>
            </w:r>
          </w:p>
        </w:tc>
        <w:tc>
          <w:tcPr>
            <w:tcW w:w="931" w:type="dxa"/>
            <w:vAlign w:val="center"/>
          </w:tcPr>
          <w:p>
            <w:pPr>
              <w:widowControl/>
              <w:jc w:val="center"/>
              <w:textAlignment w:val="center"/>
              <w:rPr>
                <w:color w:val="auto"/>
                <w:szCs w:val="21"/>
              </w:rPr>
            </w:pPr>
            <w:r>
              <w:rPr>
                <w:rFonts w:hint="eastAsia" w:ascii="宋体" w:hAnsi="宋体" w:cs="宋体"/>
                <w:b/>
                <w:color w:val="auto"/>
                <w:kern w:val="0"/>
                <w:szCs w:val="21"/>
              </w:rPr>
              <w:t>备注</w:t>
            </w:r>
          </w:p>
        </w:tc>
      </w:tr>
      <w:tr>
        <w:trPr>
          <w:trHeight w:val="1053"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灯具</w:t>
            </w: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三联体满屏灯</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信号灯采用三联体结构，发光单元直径为Φ400mm，进口芯片，红、黄、绿灯管数分别不少于186颗，压铸铝外壳体，每单元内壳体及面罩必须完全密封，可整体更换。</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组</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13</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1053"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三联体箭头灯</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信号灯采用三联体结构，发光单元直径为Φ400mm，进口芯片，红、黄、绿灯管数分别不少于117颗，压铸铝外壳体，每单元内壳体及面罩必须完全密封，可整体更换。</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组</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36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1053"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三联体非机动灯</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信号灯采用三联体结构，发光单元直径为Φ400mm，进口芯片，红、黄、绿灯管数分别不少于95颗，压铸铝外壳体，每单元内壳体及面罩必须完全密封，可整体更换。</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组</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8</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1053"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两联体动态人行灯</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信号灯采用三联体结构，发光单元直径为Φ400mm，进口芯片，红灯管数不少于87颗，动态绿灯管数不少于126颗，压铸铝外壳体，每单元内壳体及面罩必须完全密封，可整体更换。</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组</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500"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24相位智能联网信号机</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嵌入式中央控制系统，工作更加稳定可靠；整机标配4块驱动输出板卡，可支持24相位控制，48路信号输出，可扩展为32相位控制、96路信号输出。可扩展24组人行过街控制功能。采用RJ45接口或串口与上位机通讯；可设置平常日和节假日运行方案，每种运行方案可设置48个工作时段设置；支持32个工作菜单（其中1～30号客户可以自行设置），可在任意时段多次调用；有全红、黄闪、步进手动，跳相手动，四方向手动左转、直行直接通行控制、无线遥控手动功能；信号机一体化操作面板，无需外部设备即可对信号机进行方案、时段、过渡参数等进行新建、更改、删除等操作。信号机前面板有路口的模拟显示图，便于查看信号机的运行状态。外机箱与主机为一体化装配，有前后三防门、照明灯、防雷器、外接电插座，布线整洁。智能联网交通信号机要具有特勤控制功能、绿波控制功能等功能，控制方式可由指挥中心中央控制服务器实现。</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台</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560" w:type="dxa"/>
            <w:vAlign w:val="center"/>
          </w:tcPr>
          <w:p>
            <w:pPr>
              <w:widowControl/>
              <w:jc w:val="center"/>
              <w:textAlignment w:val="center"/>
              <w:rPr>
                <w:rFonts w:ascii="宋体" w:hAnsi="宋体" w:cs="宋体"/>
                <w:color w:val="auto"/>
                <w:kern w:val="0"/>
                <w:szCs w:val="21"/>
              </w:rPr>
            </w:pPr>
          </w:p>
        </w:tc>
        <w:tc>
          <w:tcPr>
            <w:tcW w:w="560" w:type="dxa"/>
            <w:vAlign w:val="center"/>
          </w:tcPr>
          <w:p>
            <w:pPr>
              <w:widowControl/>
              <w:jc w:val="center"/>
              <w:textAlignment w:val="center"/>
              <w:rPr>
                <w:rFonts w:ascii="宋体" w:hAnsi="宋体" w:cs="宋体"/>
                <w:color w:val="auto"/>
                <w:kern w:val="0"/>
                <w:szCs w:val="21"/>
              </w:rPr>
            </w:pPr>
          </w:p>
        </w:tc>
        <w:tc>
          <w:tcPr>
            <w:tcW w:w="931" w:type="dxa"/>
            <w:vAlign w:val="center"/>
          </w:tcPr>
          <w:p>
            <w:pPr>
              <w:widowControl/>
              <w:jc w:val="center"/>
              <w:textAlignment w:val="center"/>
              <w:rPr>
                <w:color w:val="auto"/>
                <w:szCs w:val="21"/>
              </w:rPr>
            </w:pPr>
            <w:r>
              <w:rPr>
                <w:rFonts w:hint="eastAsia" w:ascii="宋体" w:hAnsi="宋体" w:cs="宋体"/>
                <w:color w:val="auto"/>
                <w:kern w:val="0"/>
                <w:szCs w:val="21"/>
              </w:rPr>
              <w:t>含机柜</w:t>
            </w:r>
          </w:p>
        </w:tc>
      </w:tr>
      <w:tr>
        <w:trPr>
          <w:trHeight w:val="709"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线缆</w:t>
            </w: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RVV4*1.0mm</w:t>
            </w:r>
            <w:r>
              <w:rPr>
                <w:rStyle w:val="34"/>
                <w:rFonts w:hint="default"/>
                <w:color w:val="auto"/>
                <w:sz w:val="21"/>
                <w:szCs w:val="21"/>
              </w:rPr>
              <w:t>2</w:t>
            </w:r>
            <w:r>
              <w:rPr>
                <w:rStyle w:val="40"/>
                <w:rFonts w:hint="default"/>
                <w:color w:val="auto"/>
                <w:sz w:val="21"/>
                <w:szCs w:val="21"/>
              </w:rPr>
              <w:t>电缆(灯用)</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RVV4*1.0mm</w:t>
            </w:r>
            <w:r>
              <w:rPr>
                <w:rFonts w:hint="eastAsia" w:ascii="宋体" w:hAnsi="宋体" w:cs="宋体"/>
                <w:color w:val="auto"/>
                <w:kern w:val="0"/>
                <w:szCs w:val="21"/>
                <w:vertAlign w:val="superscript"/>
              </w:rPr>
              <w:t>2</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米</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1050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709"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KVV控制电缆（主灯地埋用）</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KVV16*1.5mm</w:t>
            </w:r>
            <w:r>
              <w:rPr>
                <w:rFonts w:hint="eastAsia" w:ascii="宋体" w:hAnsi="宋体" w:cs="宋体"/>
                <w:color w:val="auto"/>
                <w:kern w:val="0"/>
                <w:szCs w:val="21"/>
                <w:vertAlign w:val="superscript"/>
              </w:rPr>
              <w:t>2</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1140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709"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KVV控制电缆（人行地埋用）</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KVV5*1.5mm</w:t>
            </w:r>
            <w:r>
              <w:rPr>
                <w:rFonts w:hint="eastAsia" w:ascii="宋体" w:hAnsi="宋体" w:cs="宋体"/>
                <w:color w:val="auto"/>
                <w:kern w:val="0"/>
                <w:szCs w:val="21"/>
                <w:vertAlign w:val="superscript"/>
              </w:rPr>
              <w:t>2</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300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709"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RVV2*4mm</w:t>
            </w:r>
            <w:r>
              <w:rPr>
                <w:rFonts w:hint="eastAsia" w:ascii="宋体" w:hAnsi="宋体" w:cs="宋体"/>
                <w:color w:val="auto"/>
                <w:kern w:val="0"/>
                <w:szCs w:val="21"/>
                <w:vertAlign w:val="superscript"/>
              </w:rPr>
              <w:t>2</w:t>
            </w:r>
            <w:r>
              <w:rPr>
                <w:rFonts w:hint="eastAsia" w:ascii="宋体" w:hAnsi="宋体" w:cs="宋体"/>
                <w:color w:val="auto"/>
                <w:kern w:val="0"/>
                <w:szCs w:val="21"/>
              </w:rPr>
              <w:t>电缆(电源线)</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RVV2*4mm</w:t>
            </w:r>
            <w:r>
              <w:rPr>
                <w:rFonts w:hint="eastAsia" w:ascii="宋体" w:hAnsi="宋体" w:cs="宋体"/>
                <w:color w:val="auto"/>
                <w:kern w:val="0"/>
                <w:szCs w:val="21"/>
                <w:vertAlign w:val="superscript"/>
              </w:rPr>
              <w:t>2</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800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641" w:hRule="atLeast"/>
          <w:jc w:val="center"/>
        </w:trPr>
        <w:tc>
          <w:tcPr>
            <w:tcW w:w="570" w:type="dxa"/>
            <w:vMerge w:val="restart"/>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杆件</w:t>
            </w: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机动车镀锌喷塑八棱杆</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JXCB6.8m*6mm-8m*5mm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2</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641"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机动车镀锌喷塑八棱杆</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JXCB6.8m*6mm-6m*5mm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7</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641"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人行灯杆件</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JXCB3.5m*4.5mm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641"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机动车灯杆翻新处理</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原有灯杆拆除、除锈、打磨、镀锌、喷塑处理</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8</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641"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基础施工</w:t>
            </w: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信号机基础筑建</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0.6m*0.6m*0.4m</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座</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立杆基础筑建</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1.2m*1.2m*1.5m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座</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9</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人行基础筑建</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0.7m*0.7m*0.8m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座</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16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地下施工</w:t>
            </w: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主路面过路顶管</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含管材</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940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人行道开挖及修复</w:t>
            </w:r>
          </w:p>
        </w:tc>
        <w:tc>
          <w:tcPr>
            <w:tcW w:w="3669"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300mm*500mm</w:t>
            </w: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米</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480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627" w:hRule="atLeast"/>
          <w:jc w:val="center"/>
        </w:trPr>
        <w:tc>
          <w:tcPr>
            <w:tcW w:w="570" w:type="dxa"/>
            <w:vMerge w:val="continue"/>
            <w:vAlign w:val="center"/>
          </w:tcPr>
          <w:p>
            <w:pPr>
              <w:widowControl/>
              <w:jc w:val="center"/>
              <w:textAlignment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碳素波纹管</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φ75mm</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米</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560</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检查井及井盖</w:t>
            </w:r>
          </w:p>
        </w:tc>
        <w:tc>
          <w:tcPr>
            <w:tcW w:w="3669" w:type="dxa"/>
            <w:vAlign w:val="center"/>
          </w:tcPr>
          <w:p>
            <w:pPr>
              <w:widowControl/>
              <w:jc w:val="center"/>
              <w:textAlignment w:val="center"/>
              <w:rPr>
                <w:color w:val="auto"/>
                <w:szCs w:val="21"/>
              </w:rPr>
            </w:pPr>
            <w:r>
              <w:rPr>
                <w:rFonts w:hint="eastAsia" w:ascii="宋体" w:hAnsi="宋体" w:cs="宋体"/>
                <w:color w:val="auto"/>
                <w:kern w:val="0"/>
                <w:szCs w:val="21"/>
              </w:rPr>
              <w:t>500mm*500mm</w:t>
            </w: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个</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37</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restart"/>
            <w:vAlign w:val="center"/>
          </w:tcPr>
          <w:p>
            <w:pPr>
              <w:widowControl/>
              <w:jc w:val="center"/>
              <w:textAlignment w:val="center"/>
              <w:rPr>
                <w:color w:val="auto"/>
                <w:szCs w:val="21"/>
              </w:rPr>
            </w:pPr>
            <w:r>
              <w:rPr>
                <w:rFonts w:hint="eastAsia" w:ascii="宋体" w:hAnsi="宋体" w:cs="宋体"/>
                <w:color w:val="auto"/>
                <w:kern w:val="0"/>
                <w:szCs w:val="21"/>
              </w:rPr>
              <w:t>其它</w:t>
            </w: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地下电缆穿线</w:t>
            </w:r>
          </w:p>
        </w:tc>
        <w:tc>
          <w:tcPr>
            <w:tcW w:w="3669" w:type="dxa"/>
            <w:vAlign w:val="center"/>
          </w:tcPr>
          <w:p>
            <w:pPr>
              <w:jc w:val="center"/>
              <w:rPr>
                <w:color w:val="auto"/>
                <w:szCs w:val="21"/>
              </w:rPr>
            </w:pP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4</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573"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立杆安装</w:t>
            </w:r>
          </w:p>
        </w:tc>
        <w:tc>
          <w:tcPr>
            <w:tcW w:w="3669" w:type="dxa"/>
            <w:vAlign w:val="center"/>
          </w:tcPr>
          <w:p>
            <w:pPr>
              <w:jc w:val="center"/>
              <w:rPr>
                <w:color w:val="auto"/>
                <w:szCs w:val="21"/>
              </w:rPr>
            </w:pP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4</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信号灯安装背杆</w:t>
            </w:r>
          </w:p>
        </w:tc>
        <w:tc>
          <w:tcPr>
            <w:tcW w:w="3669" w:type="dxa"/>
            <w:vAlign w:val="center"/>
          </w:tcPr>
          <w:p>
            <w:pPr>
              <w:jc w:val="center"/>
              <w:rPr>
                <w:color w:val="auto"/>
                <w:szCs w:val="21"/>
              </w:rPr>
            </w:pP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套</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82</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continue"/>
            <w:vAlign w:val="center"/>
          </w:tcPr>
          <w:p>
            <w:pPr>
              <w:widowControl/>
              <w:jc w:val="center"/>
              <w:textAlignment w:val="center"/>
              <w:rPr>
                <w:rFonts w:ascii="宋体" w:hAnsi="宋体" w:cs="宋体"/>
                <w:color w:val="auto"/>
                <w:kern w:val="0"/>
                <w:szCs w:val="21"/>
              </w:rPr>
            </w:pPr>
          </w:p>
        </w:tc>
        <w:tc>
          <w:tcPr>
            <w:tcW w:w="12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螺丝抱箍等安装附件</w:t>
            </w:r>
          </w:p>
        </w:tc>
        <w:tc>
          <w:tcPr>
            <w:tcW w:w="3669" w:type="dxa"/>
            <w:vAlign w:val="center"/>
          </w:tcPr>
          <w:p>
            <w:pPr>
              <w:jc w:val="center"/>
              <w:rPr>
                <w:color w:val="auto"/>
                <w:szCs w:val="21"/>
              </w:rPr>
            </w:pPr>
          </w:p>
        </w:tc>
        <w:tc>
          <w:tcPr>
            <w:tcW w:w="61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4</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continue"/>
            <w:vAlign w:val="center"/>
          </w:tcPr>
          <w:p>
            <w:pPr>
              <w:widowControl/>
              <w:jc w:val="center"/>
              <w:textAlignment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胶布扎带等安装耗材</w:t>
            </w:r>
          </w:p>
        </w:tc>
        <w:tc>
          <w:tcPr>
            <w:tcW w:w="3669" w:type="dxa"/>
            <w:vAlign w:val="center"/>
          </w:tcPr>
          <w:p>
            <w:pPr>
              <w:jc w:val="center"/>
              <w:rPr>
                <w:color w:val="auto"/>
                <w:szCs w:val="21"/>
              </w:rPr>
            </w:pP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批</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365"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信号机安装与接线调试</w:t>
            </w:r>
          </w:p>
        </w:tc>
        <w:tc>
          <w:tcPr>
            <w:tcW w:w="3669" w:type="dxa"/>
            <w:vAlign w:val="center"/>
          </w:tcPr>
          <w:p>
            <w:pPr>
              <w:jc w:val="center"/>
              <w:rPr>
                <w:color w:val="auto"/>
                <w:szCs w:val="21"/>
              </w:rPr>
            </w:pP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655" w:hRule="atLeast"/>
          <w:jc w:val="center"/>
        </w:trPr>
        <w:tc>
          <w:tcPr>
            <w:tcW w:w="570" w:type="dxa"/>
            <w:vMerge w:val="continue"/>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运输费用</w:t>
            </w:r>
          </w:p>
        </w:tc>
        <w:tc>
          <w:tcPr>
            <w:tcW w:w="3669" w:type="dxa"/>
            <w:vAlign w:val="center"/>
          </w:tcPr>
          <w:p>
            <w:pPr>
              <w:jc w:val="center"/>
              <w:rPr>
                <w:color w:val="auto"/>
                <w:szCs w:val="21"/>
              </w:rPr>
            </w:pPr>
          </w:p>
        </w:tc>
        <w:tc>
          <w:tcPr>
            <w:tcW w:w="610" w:type="dxa"/>
            <w:vAlign w:val="center"/>
          </w:tcPr>
          <w:p>
            <w:pPr>
              <w:widowControl/>
              <w:jc w:val="center"/>
              <w:textAlignment w:val="center"/>
              <w:rPr>
                <w:color w:val="auto"/>
                <w:szCs w:val="21"/>
              </w:rPr>
            </w:pPr>
            <w:r>
              <w:rPr>
                <w:rFonts w:hint="eastAsia" w:ascii="宋体" w:hAnsi="宋体" w:cs="宋体"/>
                <w:color w:val="auto"/>
                <w:kern w:val="0"/>
                <w:szCs w:val="21"/>
              </w:rPr>
              <w:t>路口</w:t>
            </w:r>
          </w:p>
        </w:tc>
        <w:tc>
          <w:tcPr>
            <w:tcW w:w="660" w:type="dxa"/>
            <w:vAlign w:val="center"/>
          </w:tcPr>
          <w:p>
            <w:pPr>
              <w:widowControl/>
              <w:jc w:val="center"/>
              <w:textAlignment w:val="center"/>
              <w:rPr>
                <w:color w:val="auto"/>
                <w:szCs w:val="21"/>
              </w:rPr>
            </w:pPr>
            <w:r>
              <w:rPr>
                <w:rFonts w:hint="eastAsia" w:ascii="宋体" w:hAnsi="宋体" w:cs="宋体"/>
                <w:color w:val="auto"/>
                <w:kern w:val="0"/>
                <w:szCs w:val="21"/>
              </w:rPr>
              <w:t>5</w:t>
            </w:r>
          </w:p>
        </w:tc>
        <w:tc>
          <w:tcPr>
            <w:tcW w:w="560" w:type="dxa"/>
            <w:vAlign w:val="center"/>
          </w:tcPr>
          <w:p>
            <w:pPr>
              <w:jc w:val="center"/>
              <w:rPr>
                <w:color w:val="auto"/>
                <w:szCs w:val="21"/>
              </w:rPr>
            </w:pPr>
          </w:p>
        </w:tc>
        <w:tc>
          <w:tcPr>
            <w:tcW w:w="560" w:type="dxa"/>
            <w:vAlign w:val="center"/>
          </w:tcPr>
          <w:p>
            <w:pPr>
              <w:jc w:val="center"/>
              <w:rPr>
                <w:color w:val="auto"/>
                <w:szCs w:val="21"/>
              </w:rPr>
            </w:pPr>
          </w:p>
        </w:tc>
        <w:tc>
          <w:tcPr>
            <w:tcW w:w="931" w:type="dxa"/>
            <w:vAlign w:val="center"/>
          </w:tcPr>
          <w:p>
            <w:pPr>
              <w:jc w:val="center"/>
              <w:rPr>
                <w:color w:val="auto"/>
                <w:szCs w:val="21"/>
              </w:rPr>
            </w:pPr>
          </w:p>
        </w:tc>
      </w:tr>
      <w:tr>
        <w:trPr>
          <w:trHeight w:val="719" w:hRule="atLeast"/>
          <w:jc w:val="center"/>
        </w:trPr>
        <w:tc>
          <w:tcPr>
            <w:tcW w:w="570" w:type="dxa"/>
            <w:vAlign w:val="center"/>
          </w:tcPr>
          <w:p>
            <w:pPr>
              <w:jc w:val="center"/>
              <w:rPr>
                <w:color w:val="auto"/>
                <w:szCs w:val="21"/>
              </w:rPr>
            </w:pPr>
          </w:p>
        </w:tc>
        <w:tc>
          <w:tcPr>
            <w:tcW w:w="1260" w:type="dxa"/>
            <w:vAlign w:val="center"/>
          </w:tcPr>
          <w:p>
            <w:pPr>
              <w:widowControl/>
              <w:jc w:val="center"/>
              <w:textAlignment w:val="center"/>
              <w:rPr>
                <w:color w:val="auto"/>
                <w:szCs w:val="21"/>
              </w:rPr>
            </w:pPr>
            <w:r>
              <w:rPr>
                <w:rFonts w:hint="eastAsia" w:ascii="宋体" w:hAnsi="宋体" w:cs="宋体"/>
                <w:color w:val="auto"/>
                <w:kern w:val="0"/>
                <w:szCs w:val="21"/>
              </w:rPr>
              <w:t>税费</w:t>
            </w:r>
          </w:p>
        </w:tc>
        <w:tc>
          <w:tcPr>
            <w:tcW w:w="3669" w:type="dxa"/>
            <w:vAlign w:val="center"/>
          </w:tcPr>
          <w:p>
            <w:pPr>
              <w:jc w:val="center"/>
              <w:rPr>
                <w:color w:val="auto"/>
                <w:szCs w:val="21"/>
              </w:rPr>
            </w:pPr>
          </w:p>
        </w:tc>
        <w:tc>
          <w:tcPr>
            <w:tcW w:w="610" w:type="dxa"/>
            <w:vAlign w:val="center"/>
          </w:tcPr>
          <w:p>
            <w:pPr>
              <w:jc w:val="center"/>
              <w:rPr>
                <w:color w:val="auto"/>
                <w:szCs w:val="21"/>
              </w:rPr>
            </w:pPr>
          </w:p>
        </w:tc>
        <w:tc>
          <w:tcPr>
            <w:tcW w:w="660" w:type="dxa"/>
            <w:vAlign w:val="center"/>
          </w:tcPr>
          <w:p>
            <w:pPr>
              <w:jc w:val="center"/>
              <w:rPr>
                <w:color w:val="auto"/>
                <w:szCs w:val="21"/>
              </w:rPr>
            </w:pPr>
          </w:p>
        </w:tc>
        <w:tc>
          <w:tcPr>
            <w:tcW w:w="560" w:type="dxa"/>
            <w:vAlign w:val="center"/>
          </w:tcPr>
          <w:p>
            <w:pPr>
              <w:widowControl/>
              <w:jc w:val="center"/>
              <w:textAlignment w:val="center"/>
              <w:rPr>
                <w:rFonts w:ascii="宋体" w:hAnsi="宋体" w:cs="宋体"/>
                <w:color w:val="auto"/>
                <w:kern w:val="0"/>
                <w:szCs w:val="21"/>
              </w:rPr>
            </w:pPr>
          </w:p>
        </w:tc>
        <w:tc>
          <w:tcPr>
            <w:tcW w:w="560" w:type="dxa"/>
            <w:vAlign w:val="center"/>
          </w:tcPr>
          <w:p>
            <w:pPr>
              <w:widowControl/>
              <w:jc w:val="center"/>
              <w:textAlignment w:val="center"/>
              <w:rPr>
                <w:rFonts w:ascii="宋体" w:hAnsi="宋体" w:cs="宋体"/>
                <w:color w:val="auto"/>
                <w:kern w:val="0"/>
                <w:szCs w:val="21"/>
              </w:rPr>
            </w:pPr>
          </w:p>
        </w:tc>
        <w:tc>
          <w:tcPr>
            <w:tcW w:w="931" w:type="dxa"/>
            <w:vAlign w:val="center"/>
          </w:tcPr>
          <w:p>
            <w:pPr>
              <w:widowControl/>
              <w:jc w:val="center"/>
              <w:textAlignment w:val="center"/>
              <w:rPr>
                <w:color w:val="auto"/>
                <w:szCs w:val="21"/>
              </w:rPr>
            </w:pPr>
            <w:r>
              <w:rPr>
                <w:rFonts w:hint="eastAsia" w:ascii="宋体" w:hAnsi="宋体" w:cs="宋体"/>
                <w:color w:val="auto"/>
                <w:kern w:val="0"/>
                <w:szCs w:val="21"/>
              </w:rPr>
              <w:t>按11%计取</w:t>
            </w:r>
          </w:p>
        </w:tc>
      </w:tr>
      <w:tr>
        <w:trPr>
          <w:trHeight w:val="719" w:hRule="atLeast"/>
          <w:jc w:val="center"/>
        </w:trPr>
        <w:tc>
          <w:tcPr>
            <w:tcW w:w="1830" w:type="dxa"/>
            <w:gridSpan w:val="2"/>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合计</w:t>
            </w:r>
          </w:p>
        </w:tc>
        <w:tc>
          <w:tcPr>
            <w:tcW w:w="6990" w:type="dxa"/>
            <w:gridSpan w:val="6"/>
            <w:vAlign w:val="center"/>
          </w:tcPr>
          <w:p>
            <w:pPr>
              <w:widowControl/>
              <w:jc w:val="center"/>
              <w:textAlignment w:val="center"/>
              <w:rPr>
                <w:rFonts w:ascii="宋体" w:hAnsi="宋体" w:cs="宋体"/>
                <w:color w:val="auto"/>
                <w:kern w:val="0"/>
                <w:szCs w:val="21"/>
              </w:rPr>
            </w:pPr>
          </w:p>
        </w:tc>
      </w:tr>
    </w:tbl>
    <w:tbl>
      <w:tblPr>
        <w:tblpPr w:leftFromText="180" w:rightFromText="180" w:vertAnchor="text" w:horzAnchor="page" w:tblpX="1494" w:tblpY="158"/>
        <w:tblOverlap w:val="never"/>
        <w:tblW w:w="89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160"/>
        <w:gridCol w:w="3940"/>
        <w:gridCol w:w="650"/>
        <w:gridCol w:w="630"/>
        <w:gridCol w:w="540"/>
        <w:gridCol w:w="600"/>
        <w:gridCol w:w="660"/>
      </w:tblGrid>
      <w:tr>
        <w:trPr>
          <w:trHeight w:val="808" w:hRule="atLeast"/>
        </w:trPr>
        <w:tc>
          <w:tcPr>
            <w:tcW w:w="8988" w:type="dxa"/>
            <w:gridSpan w:val="8"/>
            <w:vAlign w:val="bottom"/>
          </w:tcPr>
          <w:p>
            <w:pPr>
              <w:widowControl/>
              <w:jc w:val="center"/>
              <w:textAlignment w:val="bottom"/>
              <w:rPr>
                <w:color w:val="auto"/>
                <w:szCs w:val="21"/>
              </w:rPr>
            </w:pPr>
            <w:r>
              <w:rPr>
                <w:rFonts w:hint="eastAsia" w:ascii="宋体" w:hAnsi="宋体" w:cs="宋体"/>
                <w:b/>
                <w:color w:val="auto"/>
                <w:kern w:val="0"/>
                <w:szCs w:val="21"/>
              </w:rPr>
              <w:t>道路交通控制系统后台设备及软件参数（一标段）</w:t>
            </w:r>
          </w:p>
        </w:tc>
      </w:tr>
      <w:tr>
        <w:trPr>
          <w:trHeight w:val="415" w:hRule="atLeast"/>
        </w:trPr>
        <w:tc>
          <w:tcPr>
            <w:tcW w:w="808"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序号</w:t>
            </w:r>
          </w:p>
        </w:tc>
        <w:tc>
          <w:tcPr>
            <w:tcW w:w="1160"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各项分类</w:t>
            </w:r>
          </w:p>
        </w:tc>
        <w:tc>
          <w:tcPr>
            <w:tcW w:w="3940"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规格型号</w:t>
            </w:r>
          </w:p>
        </w:tc>
        <w:tc>
          <w:tcPr>
            <w:tcW w:w="650"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数量</w:t>
            </w:r>
          </w:p>
        </w:tc>
        <w:tc>
          <w:tcPr>
            <w:tcW w:w="630" w:type="dxa"/>
            <w:shd w:val="clear" w:color="auto" w:fill="FFFFFF"/>
            <w:vAlign w:val="bottom"/>
          </w:tcPr>
          <w:p>
            <w:pPr>
              <w:widowControl/>
              <w:jc w:val="center"/>
              <w:textAlignment w:val="bottom"/>
              <w:rPr>
                <w:color w:val="auto"/>
                <w:szCs w:val="21"/>
              </w:rPr>
            </w:pPr>
            <w:r>
              <w:rPr>
                <w:rFonts w:hint="eastAsia" w:ascii="宋体" w:hAnsi="宋体" w:cs="宋体"/>
                <w:b/>
                <w:color w:val="auto"/>
                <w:kern w:val="0"/>
                <w:szCs w:val="21"/>
              </w:rPr>
              <w:t>单位</w:t>
            </w:r>
          </w:p>
        </w:tc>
        <w:tc>
          <w:tcPr>
            <w:tcW w:w="540" w:type="dxa"/>
            <w:shd w:val="clear" w:color="auto" w:fill="FFFFFF"/>
            <w:vAlign w:val="bottom"/>
          </w:tcPr>
          <w:p>
            <w:pPr>
              <w:widowControl/>
              <w:jc w:val="center"/>
              <w:textAlignment w:val="bottom"/>
              <w:rPr>
                <w:color w:val="auto"/>
                <w:szCs w:val="21"/>
              </w:rPr>
            </w:pPr>
            <w:r>
              <w:rPr>
                <w:rFonts w:hint="eastAsia"/>
                <w:color w:val="auto"/>
                <w:szCs w:val="21"/>
              </w:rPr>
              <w:t>单价</w:t>
            </w:r>
          </w:p>
        </w:tc>
        <w:tc>
          <w:tcPr>
            <w:tcW w:w="600" w:type="dxa"/>
            <w:shd w:val="clear" w:color="auto" w:fill="FFFFFF"/>
            <w:vAlign w:val="bottom"/>
          </w:tcPr>
          <w:p>
            <w:pPr>
              <w:widowControl/>
              <w:jc w:val="center"/>
              <w:textAlignment w:val="bottom"/>
              <w:rPr>
                <w:rFonts w:ascii="宋体" w:hAnsi="宋体" w:cs="宋体"/>
                <w:b/>
                <w:color w:val="auto"/>
                <w:kern w:val="0"/>
                <w:szCs w:val="21"/>
              </w:rPr>
            </w:pPr>
            <w:r>
              <w:rPr>
                <w:rFonts w:hint="eastAsia" w:ascii="宋体" w:hAnsi="宋体" w:cs="宋体"/>
                <w:b/>
                <w:color w:val="auto"/>
                <w:kern w:val="0"/>
                <w:szCs w:val="21"/>
              </w:rPr>
              <w:t>合价</w:t>
            </w:r>
          </w:p>
        </w:tc>
        <w:tc>
          <w:tcPr>
            <w:tcW w:w="660" w:type="dxa"/>
            <w:shd w:val="clear" w:color="auto" w:fill="FFFFFF"/>
            <w:vAlign w:val="bottom"/>
          </w:tcPr>
          <w:p>
            <w:pPr>
              <w:widowControl/>
              <w:jc w:val="center"/>
              <w:textAlignment w:val="bottom"/>
              <w:rPr>
                <w:rFonts w:ascii="宋体" w:hAnsi="宋体" w:cs="宋体"/>
                <w:b/>
                <w:color w:val="auto"/>
                <w:kern w:val="0"/>
                <w:szCs w:val="21"/>
              </w:rPr>
            </w:pPr>
            <w:r>
              <w:rPr>
                <w:rFonts w:hint="eastAsia" w:ascii="宋体" w:hAnsi="宋体" w:cs="宋体"/>
                <w:b/>
                <w:color w:val="auto"/>
                <w:kern w:val="0"/>
                <w:szCs w:val="21"/>
              </w:rPr>
              <w:t>备注</w:t>
            </w:r>
          </w:p>
        </w:tc>
      </w:tr>
      <w:tr>
        <w:trPr>
          <w:trHeight w:val="1904"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服务器</w:t>
            </w:r>
          </w:p>
        </w:tc>
        <w:tc>
          <w:tcPr>
            <w:tcW w:w="3940" w:type="dxa"/>
            <w:vAlign w:val="center"/>
          </w:tcPr>
          <w:p>
            <w:pPr>
              <w:widowControl/>
              <w:jc w:val="left"/>
              <w:textAlignment w:val="center"/>
              <w:rPr>
                <w:color w:val="auto"/>
                <w:szCs w:val="21"/>
              </w:rPr>
            </w:pPr>
            <w:r>
              <w:rPr>
                <w:rFonts w:hint="eastAsia" w:ascii="宋体" w:hAnsi="宋体" w:cs="宋体"/>
                <w:color w:val="auto"/>
                <w:kern w:val="0"/>
                <w:szCs w:val="21"/>
              </w:rPr>
              <w:t>1.规格:机架式2U(含导轨套件)；</w:t>
            </w:r>
            <w:r>
              <w:rPr>
                <w:rFonts w:hint="eastAsia" w:ascii="宋体" w:hAnsi="宋体" w:cs="宋体"/>
                <w:color w:val="auto"/>
                <w:kern w:val="0"/>
                <w:szCs w:val="21"/>
              </w:rPr>
              <w:br/>
            </w:r>
            <w:r>
              <w:rPr>
                <w:rFonts w:hint="eastAsia" w:ascii="宋体" w:hAnsi="宋体" w:cs="宋体"/>
                <w:color w:val="auto"/>
                <w:kern w:val="0"/>
                <w:szCs w:val="21"/>
              </w:rPr>
              <w:t>2.CPU:1颗Intel Xeon E5-2620v3(6核/2.40GHz/L3 15MB)处理器(支持2颗E5-2600v3/v4处理器扩展)；</w:t>
            </w:r>
            <w:r>
              <w:rPr>
                <w:rFonts w:hint="eastAsia" w:ascii="宋体" w:hAnsi="宋体" w:cs="宋体"/>
                <w:color w:val="auto"/>
                <w:kern w:val="0"/>
                <w:szCs w:val="21"/>
              </w:rPr>
              <w:br/>
            </w:r>
            <w:r>
              <w:rPr>
                <w:rFonts w:hint="eastAsia" w:ascii="宋体" w:hAnsi="宋体" w:cs="宋体"/>
                <w:color w:val="auto"/>
                <w:kern w:val="0"/>
                <w:szCs w:val="21"/>
              </w:rPr>
              <w:t>3.内存:16GB DDR4-2133 ECC REG RDIMM内存(支持2TB DDR4 容量扩展）；</w:t>
            </w:r>
            <w:r>
              <w:rPr>
                <w:rFonts w:hint="eastAsia" w:ascii="宋体" w:hAnsi="宋体" w:cs="宋体"/>
                <w:color w:val="auto"/>
                <w:kern w:val="0"/>
                <w:szCs w:val="21"/>
              </w:rPr>
              <w:br/>
            </w:r>
            <w:r>
              <w:rPr>
                <w:rFonts w:hint="eastAsia" w:ascii="宋体" w:hAnsi="宋体" w:cs="宋体"/>
                <w:color w:val="auto"/>
                <w:kern w:val="0"/>
                <w:szCs w:val="21"/>
              </w:rPr>
              <w:t>4.硬盘:3块3.5" 1TB 7.2k SAS硬盘(支持8个3.5" SAS/SATA/SSD热插拔硬盘位扩展)；</w:t>
            </w:r>
            <w:r>
              <w:rPr>
                <w:rFonts w:hint="eastAsia" w:ascii="宋体" w:hAnsi="宋体" w:cs="宋体"/>
                <w:color w:val="auto"/>
                <w:kern w:val="0"/>
                <w:szCs w:val="21"/>
              </w:rPr>
              <w:br/>
            </w:r>
            <w:r>
              <w:rPr>
                <w:rFonts w:hint="eastAsia" w:ascii="宋体" w:hAnsi="宋体" w:cs="宋体"/>
                <w:color w:val="auto"/>
                <w:kern w:val="0"/>
                <w:szCs w:val="21"/>
              </w:rPr>
              <w:t>5.阵列卡:12Gb 2GB缓存 SAS RAID卡(支持Raid 0/1/5/6/10/50/60等)；</w:t>
            </w:r>
            <w:r>
              <w:rPr>
                <w:rFonts w:hint="eastAsia" w:ascii="宋体" w:hAnsi="宋体" w:cs="宋体"/>
                <w:color w:val="auto"/>
                <w:kern w:val="0"/>
                <w:szCs w:val="21"/>
              </w:rPr>
              <w:br/>
            </w:r>
            <w:r>
              <w:rPr>
                <w:rFonts w:hint="eastAsia" w:ascii="宋体" w:hAnsi="宋体" w:cs="宋体"/>
                <w:color w:val="auto"/>
                <w:kern w:val="0"/>
                <w:szCs w:val="21"/>
              </w:rPr>
              <w:t>6.网络:2个千兆电口(RJ45),1个IPMI2.0管理口；</w:t>
            </w:r>
            <w:r>
              <w:rPr>
                <w:rFonts w:hint="eastAsia" w:ascii="宋体" w:hAnsi="宋体" w:cs="宋体"/>
                <w:color w:val="auto"/>
                <w:kern w:val="0"/>
                <w:szCs w:val="21"/>
              </w:rPr>
              <w:br/>
            </w:r>
            <w:r>
              <w:rPr>
                <w:rFonts w:hint="eastAsia" w:ascii="宋体" w:hAnsi="宋体" w:cs="宋体"/>
                <w:color w:val="auto"/>
                <w:kern w:val="0"/>
                <w:szCs w:val="21"/>
              </w:rPr>
              <w:t>7.电源:冗余铂金电源(支持热插拔)；</w:t>
            </w:r>
            <w:r>
              <w:rPr>
                <w:rFonts w:hint="eastAsia" w:ascii="宋体" w:hAnsi="宋体" w:cs="宋体"/>
                <w:color w:val="auto"/>
                <w:kern w:val="0"/>
                <w:szCs w:val="21"/>
              </w:rPr>
              <w:br/>
            </w:r>
            <w:r>
              <w:rPr>
                <w:rFonts w:hint="eastAsia" w:ascii="宋体" w:hAnsi="宋体" w:cs="宋体"/>
                <w:color w:val="auto"/>
                <w:kern w:val="0"/>
                <w:szCs w:val="21"/>
              </w:rPr>
              <w:t>8.其他:7个PciE3.0插槽(6个PciEx8和1个 PciEx16插槽)；</w:t>
            </w:r>
            <w:r>
              <w:rPr>
                <w:rFonts w:hint="eastAsia" w:ascii="宋体" w:hAnsi="宋体" w:cs="宋体"/>
                <w:color w:val="auto"/>
                <w:kern w:val="0"/>
                <w:szCs w:val="21"/>
              </w:rPr>
              <w:br/>
            </w:r>
            <w:r>
              <w:rPr>
                <w:rFonts w:hint="eastAsia" w:ascii="宋体" w:hAnsi="宋体" w:cs="宋体"/>
                <w:color w:val="auto"/>
                <w:kern w:val="0"/>
                <w:szCs w:val="21"/>
              </w:rPr>
              <w:t>9.操作系统:出厂预装Windows Server 2008 x64位操作系统(支持Windows与Linux主流操作系统)；</w:t>
            </w:r>
            <w:r>
              <w:rPr>
                <w:rFonts w:hint="eastAsia" w:ascii="宋体" w:hAnsi="宋体" w:cs="宋体"/>
                <w:color w:val="auto"/>
                <w:kern w:val="0"/>
                <w:szCs w:val="21"/>
              </w:rPr>
              <w:br/>
            </w:r>
            <w:r>
              <w:rPr>
                <w:rFonts w:hint="eastAsia" w:ascii="宋体" w:hAnsi="宋体" w:cs="宋体"/>
                <w:color w:val="auto"/>
                <w:kern w:val="0"/>
                <w:szCs w:val="21"/>
              </w:rPr>
              <w:t>9.服务:原厂商3年7*24*4质保服务(含人工/部件/现场)。</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套</w:t>
            </w:r>
          </w:p>
        </w:tc>
        <w:tc>
          <w:tcPr>
            <w:tcW w:w="540" w:type="dxa"/>
            <w:vAlign w:val="bottom"/>
          </w:tcPr>
          <w:p>
            <w:pPr>
              <w:jc w:val="center"/>
              <w:rPr>
                <w:color w:val="auto"/>
                <w:szCs w:val="21"/>
              </w:rPr>
            </w:pPr>
          </w:p>
        </w:tc>
        <w:tc>
          <w:tcPr>
            <w:tcW w:w="600" w:type="dxa"/>
            <w:vAlign w:val="bottom"/>
          </w:tcPr>
          <w:p>
            <w:pPr>
              <w:jc w:val="center"/>
              <w:rPr>
                <w:color w:val="auto"/>
                <w:szCs w:val="21"/>
              </w:rPr>
            </w:pPr>
          </w:p>
        </w:tc>
        <w:tc>
          <w:tcPr>
            <w:tcW w:w="660" w:type="dxa"/>
            <w:vAlign w:val="bottom"/>
          </w:tcPr>
          <w:p>
            <w:pPr>
              <w:jc w:val="center"/>
              <w:rPr>
                <w:color w:val="auto"/>
                <w:szCs w:val="21"/>
              </w:rPr>
            </w:pPr>
          </w:p>
        </w:tc>
      </w:tr>
      <w:tr>
        <w:trPr>
          <w:trHeight w:val="415"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2</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工作台</w:t>
            </w:r>
          </w:p>
        </w:tc>
        <w:tc>
          <w:tcPr>
            <w:tcW w:w="3940" w:type="dxa"/>
            <w:vAlign w:val="center"/>
          </w:tcPr>
          <w:p>
            <w:pPr>
              <w:widowControl/>
              <w:jc w:val="left"/>
              <w:textAlignment w:val="center"/>
              <w:rPr>
                <w:color w:val="auto"/>
                <w:szCs w:val="21"/>
              </w:rPr>
            </w:pPr>
            <w:r>
              <w:rPr>
                <w:rFonts w:hint="eastAsia" w:ascii="宋体" w:hAnsi="宋体" w:cs="宋体"/>
                <w:color w:val="auto"/>
                <w:kern w:val="0"/>
                <w:szCs w:val="21"/>
              </w:rPr>
              <w:t>i5-6500 8G 1TB-SATA 2G独显 DVD WIFI WIN7.21寸液晶显示器</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3</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套</w:t>
            </w:r>
          </w:p>
        </w:tc>
        <w:tc>
          <w:tcPr>
            <w:tcW w:w="540" w:type="dxa"/>
            <w:vAlign w:val="bottom"/>
          </w:tcPr>
          <w:p>
            <w:pPr>
              <w:jc w:val="center"/>
              <w:rPr>
                <w:color w:val="auto"/>
                <w:szCs w:val="21"/>
              </w:rPr>
            </w:pPr>
          </w:p>
        </w:tc>
        <w:tc>
          <w:tcPr>
            <w:tcW w:w="600" w:type="dxa"/>
            <w:vAlign w:val="bottom"/>
          </w:tcPr>
          <w:p>
            <w:pPr>
              <w:jc w:val="center"/>
              <w:rPr>
                <w:color w:val="auto"/>
                <w:szCs w:val="21"/>
              </w:rPr>
            </w:pPr>
          </w:p>
        </w:tc>
        <w:tc>
          <w:tcPr>
            <w:tcW w:w="660" w:type="dxa"/>
            <w:vAlign w:val="bottom"/>
          </w:tcPr>
          <w:p>
            <w:pPr>
              <w:jc w:val="center"/>
              <w:rPr>
                <w:color w:val="auto"/>
                <w:szCs w:val="21"/>
              </w:rPr>
            </w:pPr>
          </w:p>
        </w:tc>
      </w:tr>
      <w:tr>
        <w:trPr>
          <w:trHeight w:val="582"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3</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交换机</w:t>
            </w:r>
          </w:p>
        </w:tc>
        <w:tc>
          <w:tcPr>
            <w:tcW w:w="3940" w:type="dxa"/>
            <w:vAlign w:val="center"/>
          </w:tcPr>
          <w:p>
            <w:pPr>
              <w:widowControl/>
              <w:jc w:val="center"/>
              <w:textAlignment w:val="bottom"/>
              <w:rPr>
                <w:color w:val="auto"/>
                <w:szCs w:val="21"/>
              </w:rPr>
            </w:pPr>
            <w:r>
              <w:rPr>
                <w:rFonts w:hint="eastAsia" w:ascii="宋体" w:hAnsi="宋体" w:cs="宋体"/>
                <w:color w:val="auto"/>
                <w:kern w:val="0"/>
                <w:szCs w:val="21"/>
              </w:rPr>
              <w:t>32口工业交换机</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套</w:t>
            </w:r>
          </w:p>
        </w:tc>
        <w:tc>
          <w:tcPr>
            <w:tcW w:w="540" w:type="dxa"/>
            <w:vAlign w:val="bottom"/>
          </w:tcPr>
          <w:p>
            <w:pPr>
              <w:jc w:val="center"/>
              <w:rPr>
                <w:color w:val="auto"/>
                <w:szCs w:val="21"/>
              </w:rPr>
            </w:pPr>
          </w:p>
        </w:tc>
        <w:tc>
          <w:tcPr>
            <w:tcW w:w="600" w:type="dxa"/>
            <w:vAlign w:val="bottom"/>
          </w:tcPr>
          <w:p>
            <w:pPr>
              <w:jc w:val="center"/>
              <w:rPr>
                <w:color w:val="auto"/>
                <w:szCs w:val="21"/>
              </w:rPr>
            </w:pPr>
          </w:p>
        </w:tc>
        <w:tc>
          <w:tcPr>
            <w:tcW w:w="660" w:type="dxa"/>
            <w:vAlign w:val="bottom"/>
          </w:tcPr>
          <w:p>
            <w:pPr>
              <w:jc w:val="center"/>
              <w:rPr>
                <w:color w:val="auto"/>
                <w:szCs w:val="21"/>
              </w:rPr>
            </w:pPr>
          </w:p>
        </w:tc>
      </w:tr>
      <w:tr>
        <w:trPr>
          <w:trHeight w:val="719"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4</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辅材</w:t>
            </w:r>
          </w:p>
        </w:tc>
        <w:tc>
          <w:tcPr>
            <w:tcW w:w="3940" w:type="dxa"/>
            <w:vAlign w:val="center"/>
          </w:tcPr>
          <w:p>
            <w:pPr>
              <w:widowControl/>
              <w:jc w:val="center"/>
              <w:textAlignment w:val="bottom"/>
              <w:rPr>
                <w:color w:val="auto"/>
                <w:szCs w:val="21"/>
              </w:rPr>
            </w:pPr>
            <w:r>
              <w:rPr>
                <w:rFonts w:hint="eastAsia" w:ascii="宋体" w:hAnsi="宋体" w:cs="宋体"/>
                <w:color w:val="auto"/>
                <w:kern w:val="0"/>
                <w:szCs w:val="21"/>
              </w:rPr>
              <w:t>网线、排插、安装配件等</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项</w:t>
            </w:r>
          </w:p>
        </w:tc>
        <w:tc>
          <w:tcPr>
            <w:tcW w:w="540" w:type="dxa"/>
            <w:vAlign w:val="bottom"/>
          </w:tcPr>
          <w:p>
            <w:pPr>
              <w:jc w:val="center"/>
              <w:rPr>
                <w:color w:val="auto"/>
                <w:szCs w:val="21"/>
              </w:rPr>
            </w:pPr>
          </w:p>
        </w:tc>
        <w:tc>
          <w:tcPr>
            <w:tcW w:w="600" w:type="dxa"/>
            <w:vAlign w:val="bottom"/>
          </w:tcPr>
          <w:p>
            <w:pPr>
              <w:jc w:val="center"/>
              <w:rPr>
                <w:color w:val="auto"/>
                <w:szCs w:val="21"/>
              </w:rPr>
            </w:pPr>
          </w:p>
        </w:tc>
        <w:tc>
          <w:tcPr>
            <w:tcW w:w="660" w:type="dxa"/>
            <w:vAlign w:val="bottom"/>
          </w:tcPr>
          <w:p>
            <w:pPr>
              <w:jc w:val="center"/>
              <w:rPr>
                <w:color w:val="auto"/>
                <w:szCs w:val="21"/>
              </w:rPr>
            </w:pPr>
          </w:p>
        </w:tc>
      </w:tr>
      <w:tr>
        <w:trPr>
          <w:trHeight w:val="1507"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5</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信号机控制软件</w:t>
            </w:r>
          </w:p>
        </w:tc>
        <w:tc>
          <w:tcPr>
            <w:tcW w:w="3940" w:type="dxa"/>
            <w:vAlign w:val="bottom"/>
          </w:tcPr>
          <w:p>
            <w:pPr>
              <w:widowControl/>
              <w:jc w:val="left"/>
              <w:textAlignment w:val="bottom"/>
              <w:rPr>
                <w:color w:val="auto"/>
                <w:szCs w:val="21"/>
              </w:rPr>
            </w:pPr>
            <w:r>
              <w:rPr>
                <w:rFonts w:hint="eastAsia" w:ascii="宋体" w:hAnsi="宋体" w:cs="宋体"/>
                <w:color w:val="auto"/>
                <w:kern w:val="0"/>
                <w:szCs w:val="21"/>
              </w:rPr>
              <w:t>具有交通信号运行状态监视、信号控制方案设置、干线/区域信号协调优化控制、人工干预控制、特勤车辆优先控制、系统设备运行网络故障监测、信号机参数联网设置、系统联网对时、系统配置与管理等基本功能。</w:t>
            </w:r>
          </w:p>
        </w:tc>
        <w:tc>
          <w:tcPr>
            <w:tcW w:w="650" w:type="dxa"/>
            <w:vAlign w:val="center"/>
          </w:tcPr>
          <w:p>
            <w:pPr>
              <w:widowControl/>
              <w:jc w:val="center"/>
              <w:textAlignment w:val="center"/>
              <w:rPr>
                <w:color w:val="auto"/>
                <w:szCs w:val="21"/>
              </w:rPr>
            </w:pPr>
            <w:r>
              <w:rPr>
                <w:rFonts w:hint="eastAsia" w:ascii="宋体" w:hAnsi="宋体" w:cs="宋体"/>
                <w:color w:val="auto"/>
                <w:kern w:val="0"/>
                <w:szCs w:val="21"/>
              </w:rPr>
              <w:t>1</w:t>
            </w:r>
          </w:p>
        </w:tc>
        <w:tc>
          <w:tcPr>
            <w:tcW w:w="630" w:type="dxa"/>
            <w:vAlign w:val="center"/>
          </w:tcPr>
          <w:p>
            <w:pPr>
              <w:widowControl/>
              <w:jc w:val="center"/>
              <w:textAlignment w:val="center"/>
              <w:rPr>
                <w:color w:val="auto"/>
                <w:szCs w:val="21"/>
              </w:rPr>
            </w:pPr>
            <w:r>
              <w:rPr>
                <w:rFonts w:hint="eastAsia" w:ascii="宋体" w:hAnsi="宋体" w:cs="宋体"/>
                <w:color w:val="auto"/>
                <w:kern w:val="0"/>
                <w:szCs w:val="21"/>
              </w:rPr>
              <w:t>套</w:t>
            </w:r>
          </w:p>
        </w:tc>
        <w:tc>
          <w:tcPr>
            <w:tcW w:w="540" w:type="dxa"/>
            <w:vAlign w:val="center"/>
          </w:tcPr>
          <w:p>
            <w:pPr>
              <w:jc w:val="center"/>
              <w:rPr>
                <w:color w:val="auto"/>
                <w:szCs w:val="21"/>
              </w:rPr>
            </w:pPr>
          </w:p>
        </w:tc>
        <w:tc>
          <w:tcPr>
            <w:tcW w:w="600" w:type="dxa"/>
            <w:vAlign w:val="center"/>
          </w:tcPr>
          <w:p>
            <w:pPr>
              <w:jc w:val="center"/>
              <w:rPr>
                <w:color w:val="auto"/>
                <w:szCs w:val="21"/>
              </w:rPr>
            </w:pPr>
          </w:p>
        </w:tc>
        <w:tc>
          <w:tcPr>
            <w:tcW w:w="660" w:type="dxa"/>
            <w:vAlign w:val="center"/>
          </w:tcPr>
          <w:p>
            <w:pPr>
              <w:jc w:val="center"/>
              <w:rPr>
                <w:color w:val="auto"/>
                <w:szCs w:val="21"/>
              </w:rPr>
            </w:pPr>
          </w:p>
        </w:tc>
      </w:tr>
      <w:tr>
        <w:trPr>
          <w:trHeight w:val="610" w:hRule="atLeast"/>
        </w:trPr>
        <w:tc>
          <w:tcPr>
            <w:tcW w:w="808" w:type="dxa"/>
            <w:vAlign w:val="center"/>
          </w:tcPr>
          <w:p>
            <w:pPr>
              <w:widowControl/>
              <w:jc w:val="center"/>
              <w:textAlignment w:val="center"/>
              <w:rPr>
                <w:color w:val="auto"/>
                <w:szCs w:val="21"/>
              </w:rPr>
            </w:pPr>
            <w:r>
              <w:rPr>
                <w:rFonts w:hint="eastAsia" w:ascii="宋体" w:hAnsi="宋体" w:cs="宋体"/>
                <w:color w:val="auto"/>
                <w:kern w:val="0"/>
                <w:szCs w:val="21"/>
              </w:rPr>
              <w:t>6</w:t>
            </w:r>
          </w:p>
        </w:tc>
        <w:tc>
          <w:tcPr>
            <w:tcW w:w="1160" w:type="dxa"/>
            <w:vAlign w:val="center"/>
          </w:tcPr>
          <w:p>
            <w:pPr>
              <w:widowControl/>
              <w:jc w:val="center"/>
              <w:textAlignment w:val="center"/>
              <w:rPr>
                <w:color w:val="auto"/>
                <w:szCs w:val="21"/>
              </w:rPr>
            </w:pPr>
            <w:r>
              <w:rPr>
                <w:rFonts w:hint="eastAsia" w:ascii="宋体" w:hAnsi="宋体" w:cs="宋体"/>
                <w:color w:val="auto"/>
                <w:kern w:val="0"/>
                <w:szCs w:val="21"/>
              </w:rPr>
              <w:t>税费</w:t>
            </w:r>
          </w:p>
        </w:tc>
        <w:tc>
          <w:tcPr>
            <w:tcW w:w="3940" w:type="dxa"/>
            <w:vAlign w:val="bottom"/>
          </w:tcPr>
          <w:p>
            <w:pPr>
              <w:rPr>
                <w:color w:val="auto"/>
                <w:szCs w:val="21"/>
              </w:rPr>
            </w:pPr>
          </w:p>
        </w:tc>
        <w:tc>
          <w:tcPr>
            <w:tcW w:w="650" w:type="dxa"/>
            <w:vAlign w:val="center"/>
          </w:tcPr>
          <w:p>
            <w:pPr>
              <w:jc w:val="center"/>
              <w:rPr>
                <w:color w:val="auto"/>
                <w:szCs w:val="21"/>
              </w:rPr>
            </w:pPr>
          </w:p>
        </w:tc>
        <w:tc>
          <w:tcPr>
            <w:tcW w:w="630" w:type="dxa"/>
            <w:vAlign w:val="center"/>
          </w:tcPr>
          <w:p>
            <w:pPr>
              <w:widowControl/>
              <w:jc w:val="center"/>
              <w:textAlignment w:val="center"/>
              <w:rPr>
                <w:color w:val="auto"/>
                <w:szCs w:val="21"/>
              </w:rPr>
            </w:pPr>
          </w:p>
        </w:tc>
        <w:tc>
          <w:tcPr>
            <w:tcW w:w="540" w:type="dxa"/>
            <w:vAlign w:val="center"/>
          </w:tcPr>
          <w:p>
            <w:pPr>
              <w:widowControl/>
              <w:jc w:val="center"/>
              <w:textAlignment w:val="center"/>
              <w:rPr>
                <w:color w:val="auto"/>
                <w:szCs w:val="21"/>
              </w:rPr>
            </w:pPr>
          </w:p>
        </w:tc>
        <w:tc>
          <w:tcPr>
            <w:tcW w:w="600" w:type="dxa"/>
            <w:vAlign w:val="center"/>
          </w:tcPr>
          <w:p>
            <w:pPr>
              <w:widowControl/>
              <w:jc w:val="center"/>
              <w:textAlignment w:val="center"/>
              <w:rPr>
                <w:rFonts w:ascii="宋体" w:hAnsi="宋体" w:cs="宋体"/>
                <w:color w:val="auto"/>
                <w:kern w:val="0"/>
                <w:szCs w:val="21"/>
              </w:rPr>
            </w:pPr>
          </w:p>
        </w:tc>
        <w:tc>
          <w:tcPr>
            <w:tcW w:w="660" w:type="dxa"/>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按11%计取</w:t>
            </w:r>
          </w:p>
        </w:tc>
      </w:tr>
      <w:tr>
        <w:trPr>
          <w:trHeight w:val="610" w:hRule="atLeast"/>
        </w:trPr>
        <w:tc>
          <w:tcPr>
            <w:tcW w:w="1968" w:type="dxa"/>
            <w:gridSpan w:val="2"/>
            <w:vAlign w:val="center"/>
          </w:tcPr>
          <w:p>
            <w:pPr>
              <w:widowControl/>
              <w:jc w:val="center"/>
              <w:textAlignment w:val="center"/>
              <w:rPr>
                <w:rFonts w:ascii="宋体" w:hAnsi="宋体" w:cs="宋体"/>
                <w:color w:val="auto"/>
                <w:kern w:val="0"/>
                <w:szCs w:val="21"/>
              </w:rPr>
            </w:pPr>
            <w:r>
              <w:rPr>
                <w:rFonts w:hint="eastAsia" w:ascii="宋体" w:hAnsi="宋体" w:cs="宋体"/>
                <w:color w:val="auto"/>
                <w:kern w:val="0"/>
                <w:szCs w:val="21"/>
              </w:rPr>
              <w:t>合计</w:t>
            </w:r>
          </w:p>
        </w:tc>
        <w:tc>
          <w:tcPr>
            <w:tcW w:w="7020" w:type="dxa"/>
            <w:gridSpan w:val="6"/>
            <w:vAlign w:val="bottom"/>
          </w:tcPr>
          <w:p>
            <w:pPr>
              <w:widowControl/>
              <w:jc w:val="center"/>
              <w:textAlignment w:val="center"/>
              <w:rPr>
                <w:rFonts w:ascii="宋体" w:hAnsi="宋体" w:cs="宋体"/>
                <w:color w:val="auto"/>
                <w:kern w:val="0"/>
                <w:szCs w:val="21"/>
              </w:rPr>
            </w:pPr>
          </w:p>
        </w:tc>
      </w:tr>
    </w:tbl>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autoSpaceDE w:val="0"/>
        <w:autoSpaceDN w:val="0"/>
        <w:adjustRightInd w:val="0"/>
        <w:jc w:val="left"/>
        <w:rPr>
          <w:color w:val="auto"/>
          <w:szCs w:val="21"/>
        </w:rPr>
      </w:pPr>
    </w:p>
    <w:p>
      <w:pPr>
        <w:jc w:val="center"/>
        <w:rPr>
          <w:b/>
          <w:bCs/>
          <w:color w:val="auto"/>
          <w:szCs w:val="21"/>
        </w:rPr>
      </w:pPr>
      <w:r>
        <w:rPr>
          <w:rFonts w:hint="eastAsia"/>
          <w:b/>
          <w:bCs/>
          <w:color w:val="auto"/>
          <w:szCs w:val="21"/>
        </w:rPr>
        <w:t>道路交通控制系统指挥管控平台基本功能</w:t>
      </w:r>
    </w:p>
    <w:p>
      <w:pPr>
        <w:jc w:val="center"/>
        <w:rPr>
          <w:color w:val="auto"/>
          <w:szCs w:val="21"/>
        </w:rPr>
      </w:pPr>
      <w:r>
        <w:rPr>
          <w:rFonts w:hint="eastAsia"/>
          <w:color w:val="auto"/>
          <w:szCs w:val="21"/>
        </w:rPr>
        <w:t>模块：故障、监控、控制、系统、用户模块。</w:t>
      </w:r>
    </w:p>
    <w:p>
      <w:pPr>
        <w:jc w:val="center"/>
        <w:rPr>
          <w:color w:val="auto"/>
          <w:szCs w:val="21"/>
        </w:rPr>
      </w:pPr>
      <w:r>
        <w:rPr>
          <w:rFonts w:hint="eastAsia"/>
          <w:color w:val="auto"/>
          <w:szCs w:val="21"/>
        </w:rPr>
        <w:t>功能表：</w:t>
      </w:r>
    </w:p>
    <w:tbl>
      <w:tblPr>
        <w:tblW w:w="86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2530"/>
        <w:gridCol w:w="5400"/>
      </w:tblGrid>
      <w:tr>
        <w:trPr>
          <w:jc w:val="center"/>
        </w:trPr>
        <w:tc>
          <w:tcPr>
            <w:tcW w:w="750" w:type="dxa"/>
            <w:vAlign w:val="top"/>
          </w:tcPr>
          <w:p>
            <w:pPr>
              <w:jc w:val="center"/>
              <w:rPr>
                <w:b/>
                <w:bCs/>
                <w:color w:val="auto"/>
                <w:szCs w:val="21"/>
              </w:rPr>
            </w:pPr>
            <w:r>
              <w:rPr>
                <w:rFonts w:hint="eastAsia"/>
                <w:b/>
                <w:bCs/>
                <w:color w:val="auto"/>
                <w:szCs w:val="21"/>
              </w:rPr>
              <w:t>编号</w:t>
            </w:r>
          </w:p>
        </w:tc>
        <w:tc>
          <w:tcPr>
            <w:tcW w:w="2530" w:type="dxa"/>
            <w:vAlign w:val="top"/>
          </w:tcPr>
          <w:p>
            <w:pPr>
              <w:jc w:val="center"/>
              <w:rPr>
                <w:b/>
                <w:bCs/>
                <w:color w:val="auto"/>
                <w:szCs w:val="21"/>
              </w:rPr>
            </w:pPr>
            <w:r>
              <w:rPr>
                <w:rFonts w:hint="eastAsia"/>
                <w:b/>
                <w:bCs/>
                <w:color w:val="auto"/>
                <w:szCs w:val="21"/>
              </w:rPr>
              <w:t>功能</w:t>
            </w:r>
          </w:p>
        </w:tc>
        <w:tc>
          <w:tcPr>
            <w:tcW w:w="5400" w:type="dxa"/>
            <w:vAlign w:val="top"/>
          </w:tcPr>
          <w:p>
            <w:pPr>
              <w:jc w:val="center"/>
              <w:rPr>
                <w:b/>
                <w:bCs/>
                <w:color w:val="auto"/>
                <w:szCs w:val="21"/>
              </w:rPr>
            </w:pPr>
            <w:r>
              <w:rPr>
                <w:rFonts w:hint="eastAsia"/>
                <w:b/>
                <w:bCs/>
                <w:color w:val="auto"/>
                <w:szCs w:val="21"/>
              </w:rPr>
              <w:t>描述</w:t>
            </w:r>
          </w:p>
        </w:tc>
      </w:tr>
      <w:tr>
        <w:trPr>
          <w:jc w:val="center"/>
        </w:trPr>
        <w:tc>
          <w:tcPr>
            <w:tcW w:w="750" w:type="dxa"/>
            <w:vAlign w:val="top"/>
          </w:tcPr>
          <w:p>
            <w:pPr>
              <w:jc w:val="center"/>
              <w:rPr>
                <w:color w:val="auto"/>
                <w:szCs w:val="21"/>
              </w:rPr>
            </w:pPr>
            <w:r>
              <w:rPr>
                <w:rFonts w:hint="eastAsia"/>
                <w:color w:val="auto"/>
                <w:szCs w:val="21"/>
              </w:rPr>
              <w:t>1</w:t>
            </w:r>
          </w:p>
        </w:tc>
        <w:tc>
          <w:tcPr>
            <w:tcW w:w="2530" w:type="dxa"/>
            <w:vAlign w:val="top"/>
          </w:tcPr>
          <w:p>
            <w:pPr>
              <w:jc w:val="center"/>
              <w:rPr>
                <w:color w:val="auto"/>
                <w:szCs w:val="21"/>
              </w:rPr>
            </w:pPr>
            <w:r>
              <w:rPr>
                <w:rFonts w:hint="eastAsia"/>
                <w:color w:val="auto"/>
                <w:szCs w:val="21"/>
              </w:rPr>
              <w:t>信号机登记</w:t>
            </w:r>
          </w:p>
        </w:tc>
        <w:tc>
          <w:tcPr>
            <w:tcW w:w="5400" w:type="dxa"/>
            <w:vAlign w:val="top"/>
          </w:tcPr>
          <w:p>
            <w:pPr>
              <w:jc w:val="center"/>
              <w:rPr>
                <w:color w:val="auto"/>
                <w:szCs w:val="21"/>
              </w:rPr>
            </w:pPr>
            <w:r>
              <w:rPr>
                <w:rFonts w:hint="eastAsia"/>
                <w:color w:val="auto"/>
                <w:szCs w:val="21"/>
              </w:rPr>
              <w:t>完成和路口信号机互联的功能</w:t>
            </w:r>
          </w:p>
        </w:tc>
      </w:tr>
      <w:tr>
        <w:trPr>
          <w:jc w:val="center"/>
        </w:trPr>
        <w:tc>
          <w:tcPr>
            <w:tcW w:w="750" w:type="dxa"/>
            <w:vAlign w:val="top"/>
          </w:tcPr>
          <w:p>
            <w:pPr>
              <w:jc w:val="center"/>
              <w:rPr>
                <w:color w:val="auto"/>
                <w:szCs w:val="21"/>
              </w:rPr>
            </w:pPr>
            <w:r>
              <w:rPr>
                <w:rFonts w:hint="eastAsia"/>
                <w:color w:val="auto"/>
                <w:szCs w:val="21"/>
              </w:rPr>
              <w:t>2</w:t>
            </w:r>
          </w:p>
        </w:tc>
        <w:tc>
          <w:tcPr>
            <w:tcW w:w="2530" w:type="dxa"/>
            <w:vAlign w:val="top"/>
          </w:tcPr>
          <w:p>
            <w:pPr>
              <w:jc w:val="center"/>
              <w:rPr>
                <w:color w:val="auto"/>
                <w:szCs w:val="21"/>
              </w:rPr>
            </w:pPr>
            <w:r>
              <w:rPr>
                <w:rFonts w:hint="eastAsia"/>
                <w:color w:val="auto"/>
                <w:szCs w:val="21"/>
              </w:rPr>
              <w:t>信号机IP配置</w:t>
            </w:r>
          </w:p>
        </w:tc>
        <w:tc>
          <w:tcPr>
            <w:tcW w:w="5400" w:type="dxa"/>
            <w:vAlign w:val="top"/>
          </w:tcPr>
          <w:p>
            <w:pPr>
              <w:jc w:val="center"/>
              <w:rPr>
                <w:color w:val="auto"/>
                <w:szCs w:val="21"/>
              </w:rPr>
            </w:pPr>
            <w:r>
              <w:rPr>
                <w:rFonts w:hint="eastAsia"/>
                <w:color w:val="auto"/>
                <w:szCs w:val="21"/>
              </w:rPr>
              <w:t>完成配置路口信号机IP的功能</w:t>
            </w:r>
          </w:p>
        </w:tc>
      </w:tr>
      <w:tr>
        <w:trPr>
          <w:jc w:val="center"/>
        </w:trPr>
        <w:tc>
          <w:tcPr>
            <w:tcW w:w="750" w:type="dxa"/>
            <w:vAlign w:val="top"/>
          </w:tcPr>
          <w:p>
            <w:pPr>
              <w:jc w:val="center"/>
              <w:rPr>
                <w:color w:val="auto"/>
                <w:szCs w:val="21"/>
              </w:rPr>
            </w:pPr>
            <w:r>
              <w:rPr>
                <w:rFonts w:hint="eastAsia"/>
                <w:color w:val="auto"/>
                <w:szCs w:val="21"/>
              </w:rPr>
              <w:t>3</w:t>
            </w:r>
          </w:p>
        </w:tc>
        <w:tc>
          <w:tcPr>
            <w:tcW w:w="2530" w:type="dxa"/>
            <w:vAlign w:val="top"/>
          </w:tcPr>
          <w:p>
            <w:pPr>
              <w:jc w:val="center"/>
              <w:rPr>
                <w:color w:val="auto"/>
                <w:szCs w:val="21"/>
              </w:rPr>
            </w:pPr>
            <w:r>
              <w:rPr>
                <w:rFonts w:hint="eastAsia"/>
                <w:color w:val="auto"/>
                <w:szCs w:val="21"/>
              </w:rPr>
              <w:t>信号机基本信息查看</w:t>
            </w:r>
          </w:p>
        </w:tc>
        <w:tc>
          <w:tcPr>
            <w:tcW w:w="5400" w:type="dxa"/>
            <w:vAlign w:val="top"/>
          </w:tcPr>
          <w:p>
            <w:pPr>
              <w:jc w:val="center"/>
              <w:rPr>
                <w:color w:val="auto"/>
                <w:szCs w:val="21"/>
              </w:rPr>
            </w:pPr>
            <w:r>
              <w:rPr>
                <w:rFonts w:hint="eastAsia"/>
                <w:color w:val="auto"/>
                <w:szCs w:val="21"/>
              </w:rPr>
              <w:t>完成查看信号机基本参数的功能</w:t>
            </w:r>
          </w:p>
        </w:tc>
      </w:tr>
      <w:tr>
        <w:trPr>
          <w:jc w:val="center"/>
        </w:trPr>
        <w:tc>
          <w:tcPr>
            <w:tcW w:w="750" w:type="dxa"/>
            <w:vAlign w:val="top"/>
          </w:tcPr>
          <w:p>
            <w:pPr>
              <w:jc w:val="center"/>
              <w:rPr>
                <w:color w:val="auto"/>
                <w:szCs w:val="21"/>
              </w:rPr>
            </w:pPr>
            <w:r>
              <w:rPr>
                <w:rFonts w:hint="eastAsia"/>
                <w:color w:val="auto"/>
                <w:szCs w:val="21"/>
              </w:rPr>
              <w:t>4</w:t>
            </w:r>
          </w:p>
        </w:tc>
        <w:tc>
          <w:tcPr>
            <w:tcW w:w="2530" w:type="dxa"/>
            <w:vAlign w:val="top"/>
          </w:tcPr>
          <w:p>
            <w:pPr>
              <w:jc w:val="center"/>
              <w:rPr>
                <w:color w:val="auto"/>
                <w:szCs w:val="21"/>
              </w:rPr>
            </w:pPr>
            <w:r>
              <w:rPr>
                <w:rFonts w:hint="eastAsia"/>
                <w:color w:val="auto"/>
                <w:szCs w:val="21"/>
              </w:rPr>
              <w:t>查看道路设置</w:t>
            </w:r>
          </w:p>
        </w:tc>
        <w:tc>
          <w:tcPr>
            <w:tcW w:w="5400" w:type="dxa"/>
            <w:vAlign w:val="top"/>
          </w:tcPr>
          <w:p>
            <w:pPr>
              <w:jc w:val="center"/>
              <w:rPr>
                <w:color w:val="auto"/>
                <w:szCs w:val="21"/>
              </w:rPr>
            </w:pPr>
            <w:r>
              <w:rPr>
                <w:rFonts w:hint="eastAsia"/>
                <w:color w:val="auto"/>
                <w:szCs w:val="21"/>
              </w:rPr>
              <w:t>查看信号机所在路口的各个方向的车道渠化设置</w:t>
            </w:r>
          </w:p>
        </w:tc>
      </w:tr>
      <w:tr>
        <w:trPr>
          <w:jc w:val="center"/>
        </w:trPr>
        <w:tc>
          <w:tcPr>
            <w:tcW w:w="750" w:type="dxa"/>
            <w:vAlign w:val="top"/>
          </w:tcPr>
          <w:p>
            <w:pPr>
              <w:jc w:val="center"/>
              <w:rPr>
                <w:color w:val="auto"/>
                <w:szCs w:val="21"/>
              </w:rPr>
            </w:pPr>
            <w:r>
              <w:rPr>
                <w:rFonts w:hint="eastAsia"/>
                <w:color w:val="auto"/>
                <w:szCs w:val="21"/>
              </w:rPr>
              <w:t>5</w:t>
            </w:r>
          </w:p>
        </w:tc>
        <w:tc>
          <w:tcPr>
            <w:tcW w:w="2530" w:type="dxa"/>
            <w:vAlign w:val="top"/>
          </w:tcPr>
          <w:p>
            <w:pPr>
              <w:jc w:val="center"/>
              <w:rPr>
                <w:color w:val="auto"/>
                <w:szCs w:val="21"/>
              </w:rPr>
            </w:pPr>
            <w:r>
              <w:rPr>
                <w:rFonts w:hint="eastAsia"/>
                <w:color w:val="auto"/>
                <w:szCs w:val="21"/>
              </w:rPr>
              <w:t>查看通道设置</w:t>
            </w:r>
          </w:p>
        </w:tc>
        <w:tc>
          <w:tcPr>
            <w:tcW w:w="5400" w:type="dxa"/>
            <w:vAlign w:val="top"/>
          </w:tcPr>
          <w:p>
            <w:pPr>
              <w:jc w:val="center"/>
              <w:rPr>
                <w:color w:val="auto"/>
                <w:szCs w:val="21"/>
              </w:rPr>
            </w:pPr>
            <w:r>
              <w:rPr>
                <w:rFonts w:hint="eastAsia"/>
                <w:color w:val="auto"/>
                <w:szCs w:val="21"/>
              </w:rPr>
              <w:t>查看信号机所在路口各个方向的灯组设置</w:t>
            </w:r>
          </w:p>
        </w:tc>
      </w:tr>
      <w:tr>
        <w:trPr>
          <w:jc w:val="center"/>
        </w:trPr>
        <w:tc>
          <w:tcPr>
            <w:tcW w:w="750" w:type="dxa"/>
            <w:vAlign w:val="top"/>
          </w:tcPr>
          <w:p>
            <w:pPr>
              <w:jc w:val="center"/>
              <w:rPr>
                <w:color w:val="auto"/>
                <w:szCs w:val="21"/>
              </w:rPr>
            </w:pPr>
            <w:r>
              <w:rPr>
                <w:rFonts w:hint="eastAsia"/>
                <w:color w:val="auto"/>
                <w:szCs w:val="21"/>
              </w:rPr>
              <w:t>6</w:t>
            </w:r>
          </w:p>
        </w:tc>
        <w:tc>
          <w:tcPr>
            <w:tcW w:w="2530" w:type="dxa"/>
            <w:vAlign w:val="top"/>
          </w:tcPr>
          <w:p>
            <w:pPr>
              <w:jc w:val="center"/>
              <w:rPr>
                <w:color w:val="auto"/>
                <w:szCs w:val="21"/>
              </w:rPr>
            </w:pPr>
            <w:r>
              <w:rPr>
                <w:rFonts w:hint="eastAsia"/>
                <w:color w:val="auto"/>
                <w:szCs w:val="21"/>
              </w:rPr>
              <w:t>冲突规则表</w:t>
            </w:r>
          </w:p>
        </w:tc>
        <w:tc>
          <w:tcPr>
            <w:tcW w:w="5400" w:type="dxa"/>
            <w:vAlign w:val="top"/>
          </w:tcPr>
          <w:p>
            <w:pPr>
              <w:jc w:val="center"/>
              <w:rPr>
                <w:color w:val="auto"/>
                <w:szCs w:val="21"/>
              </w:rPr>
            </w:pPr>
            <w:r>
              <w:rPr>
                <w:rFonts w:hint="eastAsia"/>
                <w:color w:val="auto"/>
                <w:szCs w:val="21"/>
              </w:rPr>
              <w:t>查看信号机绿冲突设置</w:t>
            </w:r>
          </w:p>
        </w:tc>
      </w:tr>
      <w:tr>
        <w:trPr>
          <w:jc w:val="center"/>
        </w:trPr>
        <w:tc>
          <w:tcPr>
            <w:tcW w:w="750" w:type="dxa"/>
            <w:vAlign w:val="top"/>
          </w:tcPr>
          <w:p>
            <w:pPr>
              <w:jc w:val="center"/>
              <w:rPr>
                <w:color w:val="auto"/>
                <w:szCs w:val="21"/>
              </w:rPr>
            </w:pPr>
            <w:r>
              <w:rPr>
                <w:rFonts w:hint="eastAsia"/>
                <w:color w:val="auto"/>
                <w:szCs w:val="21"/>
              </w:rPr>
              <w:t>7</w:t>
            </w:r>
          </w:p>
        </w:tc>
        <w:tc>
          <w:tcPr>
            <w:tcW w:w="2530" w:type="dxa"/>
            <w:vAlign w:val="top"/>
          </w:tcPr>
          <w:p>
            <w:pPr>
              <w:jc w:val="center"/>
              <w:rPr>
                <w:color w:val="auto"/>
                <w:szCs w:val="21"/>
              </w:rPr>
            </w:pPr>
            <w:r>
              <w:rPr>
                <w:rFonts w:hint="eastAsia"/>
                <w:color w:val="auto"/>
                <w:szCs w:val="21"/>
              </w:rPr>
              <w:t>温控设置</w:t>
            </w:r>
          </w:p>
        </w:tc>
        <w:tc>
          <w:tcPr>
            <w:tcW w:w="5400" w:type="dxa"/>
            <w:vAlign w:val="top"/>
          </w:tcPr>
          <w:p>
            <w:pPr>
              <w:jc w:val="center"/>
              <w:rPr>
                <w:color w:val="auto"/>
                <w:szCs w:val="21"/>
              </w:rPr>
            </w:pPr>
            <w:r>
              <w:rPr>
                <w:rFonts w:hint="eastAsia"/>
                <w:color w:val="auto"/>
                <w:szCs w:val="21"/>
              </w:rPr>
              <w:t>查看信号机风扇、加热器启动温度</w:t>
            </w:r>
          </w:p>
        </w:tc>
      </w:tr>
      <w:tr>
        <w:trPr>
          <w:jc w:val="center"/>
        </w:trPr>
        <w:tc>
          <w:tcPr>
            <w:tcW w:w="750" w:type="dxa"/>
            <w:vAlign w:val="top"/>
          </w:tcPr>
          <w:p>
            <w:pPr>
              <w:jc w:val="center"/>
              <w:rPr>
                <w:color w:val="auto"/>
                <w:szCs w:val="21"/>
              </w:rPr>
            </w:pPr>
            <w:r>
              <w:rPr>
                <w:rFonts w:hint="eastAsia"/>
                <w:color w:val="auto"/>
                <w:szCs w:val="21"/>
              </w:rPr>
              <w:t>8</w:t>
            </w:r>
          </w:p>
        </w:tc>
        <w:tc>
          <w:tcPr>
            <w:tcW w:w="2530" w:type="dxa"/>
            <w:vAlign w:val="top"/>
          </w:tcPr>
          <w:p>
            <w:pPr>
              <w:jc w:val="center"/>
              <w:rPr>
                <w:color w:val="auto"/>
                <w:szCs w:val="21"/>
              </w:rPr>
            </w:pPr>
            <w:r>
              <w:rPr>
                <w:rFonts w:hint="eastAsia"/>
                <w:color w:val="auto"/>
                <w:szCs w:val="21"/>
              </w:rPr>
              <w:t>相位相序预设</w:t>
            </w:r>
          </w:p>
        </w:tc>
        <w:tc>
          <w:tcPr>
            <w:tcW w:w="5400" w:type="dxa"/>
            <w:vAlign w:val="top"/>
          </w:tcPr>
          <w:p>
            <w:pPr>
              <w:jc w:val="center"/>
              <w:rPr>
                <w:color w:val="auto"/>
                <w:szCs w:val="21"/>
              </w:rPr>
            </w:pPr>
            <w:r>
              <w:rPr>
                <w:rFonts w:hint="eastAsia"/>
                <w:color w:val="auto"/>
                <w:szCs w:val="21"/>
              </w:rPr>
              <w:t>设置信号机所在路口的放行相位相序设置</w:t>
            </w:r>
          </w:p>
        </w:tc>
      </w:tr>
      <w:tr>
        <w:trPr>
          <w:jc w:val="center"/>
        </w:trPr>
        <w:tc>
          <w:tcPr>
            <w:tcW w:w="750" w:type="dxa"/>
            <w:vAlign w:val="top"/>
          </w:tcPr>
          <w:p>
            <w:pPr>
              <w:jc w:val="center"/>
              <w:rPr>
                <w:color w:val="auto"/>
                <w:szCs w:val="21"/>
              </w:rPr>
            </w:pPr>
            <w:r>
              <w:rPr>
                <w:rFonts w:hint="eastAsia"/>
                <w:color w:val="auto"/>
                <w:szCs w:val="21"/>
              </w:rPr>
              <w:t>9</w:t>
            </w:r>
          </w:p>
        </w:tc>
        <w:tc>
          <w:tcPr>
            <w:tcW w:w="2530" w:type="dxa"/>
            <w:vAlign w:val="top"/>
          </w:tcPr>
          <w:p>
            <w:pPr>
              <w:jc w:val="center"/>
              <w:rPr>
                <w:color w:val="auto"/>
                <w:szCs w:val="21"/>
              </w:rPr>
            </w:pPr>
            <w:r>
              <w:rPr>
                <w:rFonts w:hint="eastAsia"/>
                <w:color w:val="auto"/>
                <w:szCs w:val="21"/>
              </w:rPr>
              <w:t>配时方案</w:t>
            </w:r>
          </w:p>
        </w:tc>
        <w:tc>
          <w:tcPr>
            <w:tcW w:w="5400" w:type="dxa"/>
            <w:vAlign w:val="top"/>
          </w:tcPr>
          <w:p>
            <w:pPr>
              <w:jc w:val="center"/>
              <w:rPr>
                <w:color w:val="auto"/>
                <w:szCs w:val="21"/>
              </w:rPr>
            </w:pPr>
            <w:r>
              <w:rPr>
                <w:rFonts w:hint="eastAsia"/>
                <w:color w:val="auto"/>
                <w:szCs w:val="21"/>
              </w:rPr>
              <w:t>查看设置信号机的各类配时方案</w:t>
            </w:r>
          </w:p>
        </w:tc>
      </w:tr>
      <w:tr>
        <w:trPr>
          <w:jc w:val="center"/>
        </w:trPr>
        <w:tc>
          <w:tcPr>
            <w:tcW w:w="750" w:type="dxa"/>
            <w:vAlign w:val="top"/>
          </w:tcPr>
          <w:p>
            <w:pPr>
              <w:jc w:val="center"/>
              <w:rPr>
                <w:color w:val="auto"/>
                <w:szCs w:val="21"/>
              </w:rPr>
            </w:pPr>
            <w:r>
              <w:rPr>
                <w:rFonts w:hint="eastAsia"/>
                <w:color w:val="auto"/>
                <w:szCs w:val="21"/>
              </w:rPr>
              <w:t>10</w:t>
            </w:r>
          </w:p>
        </w:tc>
        <w:tc>
          <w:tcPr>
            <w:tcW w:w="2530" w:type="dxa"/>
            <w:vAlign w:val="top"/>
          </w:tcPr>
          <w:p>
            <w:pPr>
              <w:jc w:val="center"/>
              <w:rPr>
                <w:color w:val="auto"/>
                <w:szCs w:val="21"/>
              </w:rPr>
            </w:pPr>
            <w:r>
              <w:rPr>
                <w:rFonts w:hint="eastAsia"/>
                <w:color w:val="auto"/>
                <w:szCs w:val="21"/>
              </w:rPr>
              <w:t>日计划</w:t>
            </w:r>
          </w:p>
        </w:tc>
        <w:tc>
          <w:tcPr>
            <w:tcW w:w="5400" w:type="dxa"/>
            <w:vAlign w:val="top"/>
          </w:tcPr>
          <w:p>
            <w:pPr>
              <w:jc w:val="center"/>
              <w:rPr>
                <w:color w:val="auto"/>
                <w:szCs w:val="21"/>
              </w:rPr>
            </w:pPr>
            <w:r>
              <w:rPr>
                <w:rFonts w:hint="eastAsia"/>
                <w:color w:val="auto"/>
                <w:szCs w:val="21"/>
              </w:rPr>
              <w:t>查看设置时段方案</w:t>
            </w:r>
          </w:p>
        </w:tc>
      </w:tr>
      <w:tr>
        <w:trPr>
          <w:jc w:val="center"/>
        </w:trPr>
        <w:tc>
          <w:tcPr>
            <w:tcW w:w="750" w:type="dxa"/>
            <w:vAlign w:val="top"/>
          </w:tcPr>
          <w:p>
            <w:pPr>
              <w:jc w:val="center"/>
              <w:rPr>
                <w:color w:val="auto"/>
                <w:szCs w:val="21"/>
              </w:rPr>
            </w:pPr>
            <w:r>
              <w:rPr>
                <w:rFonts w:hint="eastAsia"/>
                <w:color w:val="auto"/>
                <w:szCs w:val="21"/>
              </w:rPr>
              <w:t>11</w:t>
            </w:r>
          </w:p>
        </w:tc>
        <w:tc>
          <w:tcPr>
            <w:tcW w:w="2530" w:type="dxa"/>
            <w:vAlign w:val="top"/>
          </w:tcPr>
          <w:p>
            <w:pPr>
              <w:jc w:val="center"/>
              <w:rPr>
                <w:color w:val="auto"/>
                <w:szCs w:val="21"/>
              </w:rPr>
            </w:pPr>
            <w:r>
              <w:rPr>
                <w:rFonts w:hint="eastAsia"/>
                <w:color w:val="auto"/>
                <w:szCs w:val="21"/>
              </w:rPr>
              <w:t>周日调度</w:t>
            </w:r>
          </w:p>
        </w:tc>
        <w:tc>
          <w:tcPr>
            <w:tcW w:w="5400" w:type="dxa"/>
            <w:vAlign w:val="top"/>
          </w:tcPr>
          <w:p>
            <w:pPr>
              <w:jc w:val="center"/>
              <w:rPr>
                <w:color w:val="auto"/>
                <w:szCs w:val="21"/>
              </w:rPr>
            </w:pPr>
            <w:r>
              <w:rPr>
                <w:rFonts w:hint="eastAsia"/>
                <w:color w:val="auto"/>
                <w:szCs w:val="21"/>
              </w:rPr>
              <w:t>设置周一到周日的计划</w:t>
            </w:r>
          </w:p>
        </w:tc>
      </w:tr>
      <w:tr>
        <w:trPr>
          <w:jc w:val="center"/>
        </w:trPr>
        <w:tc>
          <w:tcPr>
            <w:tcW w:w="750" w:type="dxa"/>
            <w:vAlign w:val="top"/>
          </w:tcPr>
          <w:p>
            <w:pPr>
              <w:jc w:val="center"/>
              <w:rPr>
                <w:color w:val="auto"/>
                <w:szCs w:val="21"/>
              </w:rPr>
            </w:pPr>
            <w:r>
              <w:rPr>
                <w:rFonts w:hint="eastAsia"/>
                <w:color w:val="auto"/>
                <w:szCs w:val="21"/>
              </w:rPr>
              <w:t>12</w:t>
            </w:r>
          </w:p>
        </w:tc>
        <w:tc>
          <w:tcPr>
            <w:tcW w:w="2530" w:type="dxa"/>
            <w:vAlign w:val="top"/>
          </w:tcPr>
          <w:p>
            <w:pPr>
              <w:jc w:val="center"/>
              <w:rPr>
                <w:color w:val="auto"/>
                <w:szCs w:val="21"/>
              </w:rPr>
            </w:pPr>
            <w:r>
              <w:rPr>
                <w:rFonts w:hint="eastAsia"/>
                <w:color w:val="auto"/>
                <w:szCs w:val="21"/>
              </w:rPr>
              <w:t>节假日调度</w:t>
            </w:r>
          </w:p>
        </w:tc>
        <w:tc>
          <w:tcPr>
            <w:tcW w:w="5400" w:type="dxa"/>
            <w:vAlign w:val="top"/>
          </w:tcPr>
          <w:p>
            <w:pPr>
              <w:jc w:val="center"/>
              <w:rPr>
                <w:color w:val="auto"/>
                <w:szCs w:val="21"/>
              </w:rPr>
            </w:pPr>
            <w:r>
              <w:rPr>
                <w:rFonts w:hint="eastAsia"/>
                <w:color w:val="auto"/>
                <w:szCs w:val="21"/>
              </w:rPr>
              <w:t>设置节假日的日计划</w:t>
            </w:r>
          </w:p>
        </w:tc>
      </w:tr>
      <w:tr>
        <w:trPr>
          <w:jc w:val="center"/>
        </w:trPr>
        <w:tc>
          <w:tcPr>
            <w:tcW w:w="750" w:type="dxa"/>
            <w:vAlign w:val="top"/>
          </w:tcPr>
          <w:p>
            <w:pPr>
              <w:jc w:val="center"/>
              <w:rPr>
                <w:color w:val="auto"/>
                <w:szCs w:val="21"/>
              </w:rPr>
            </w:pPr>
            <w:r>
              <w:rPr>
                <w:rFonts w:hint="eastAsia"/>
                <w:color w:val="auto"/>
                <w:szCs w:val="21"/>
              </w:rPr>
              <w:t>13</w:t>
            </w:r>
          </w:p>
        </w:tc>
        <w:tc>
          <w:tcPr>
            <w:tcW w:w="2530" w:type="dxa"/>
            <w:vAlign w:val="top"/>
          </w:tcPr>
          <w:p>
            <w:pPr>
              <w:jc w:val="center"/>
              <w:rPr>
                <w:color w:val="auto"/>
                <w:szCs w:val="21"/>
              </w:rPr>
            </w:pPr>
            <w:r>
              <w:rPr>
                <w:rFonts w:hint="eastAsia"/>
                <w:color w:val="auto"/>
                <w:szCs w:val="21"/>
              </w:rPr>
              <w:t>特殊时段调度</w:t>
            </w:r>
          </w:p>
        </w:tc>
        <w:tc>
          <w:tcPr>
            <w:tcW w:w="5400" w:type="dxa"/>
            <w:vAlign w:val="top"/>
          </w:tcPr>
          <w:p>
            <w:pPr>
              <w:jc w:val="center"/>
              <w:rPr>
                <w:color w:val="auto"/>
                <w:szCs w:val="21"/>
              </w:rPr>
            </w:pPr>
            <w:r>
              <w:rPr>
                <w:rFonts w:hint="eastAsia"/>
                <w:color w:val="auto"/>
                <w:szCs w:val="21"/>
              </w:rPr>
              <w:t>设置特殊时段使用的配时方案</w:t>
            </w:r>
          </w:p>
        </w:tc>
      </w:tr>
      <w:tr>
        <w:trPr>
          <w:jc w:val="center"/>
        </w:trPr>
        <w:tc>
          <w:tcPr>
            <w:tcW w:w="750" w:type="dxa"/>
            <w:vAlign w:val="top"/>
          </w:tcPr>
          <w:p>
            <w:pPr>
              <w:jc w:val="center"/>
              <w:rPr>
                <w:color w:val="auto"/>
                <w:szCs w:val="21"/>
              </w:rPr>
            </w:pPr>
            <w:r>
              <w:rPr>
                <w:rFonts w:hint="eastAsia"/>
                <w:color w:val="auto"/>
                <w:szCs w:val="21"/>
              </w:rPr>
              <w:t>14</w:t>
            </w:r>
          </w:p>
        </w:tc>
        <w:tc>
          <w:tcPr>
            <w:tcW w:w="2530" w:type="dxa"/>
            <w:vAlign w:val="top"/>
          </w:tcPr>
          <w:p>
            <w:pPr>
              <w:jc w:val="center"/>
              <w:rPr>
                <w:color w:val="auto"/>
                <w:szCs w:val="21"/>
              </w:rPr>
            </w:pPr>
            <w:r>
              <w:rPr>
                <w:rFonts w:hint="eastAsia"/>
                <w:color w:val="auto"/>
                <w:szCs w:val="21"/>
              </w:rPr>
              <w:t>信号机中心控制</w:t>
            </w:r>
          </w:p>
        </w:tc>
        <w:tc>
          <w:tcPr>
            <w:tcW w:w="5400" w:type="dxa"/>
            <w:vAlign w:val="top"/>
          </w:tcPr>
          <w:p>
            <w:pPr>
              <w:jc w:val="center"/>
              <w:rPr>
                <w:color w:val="auto"/>
                <w:szCs w:val="21"/>
              </w:rPr>
            </w:pPr>
            <w:r>
              <w:rPr>
                <w:rFonts w:hint="eastAsia"/>
                <w:color w:val="auto"/>
                <w:szCs w:val="21"/>
              </w:rPr>
              <w:t>GPS显示信号灯状态，可选择离开进行调度</w:t>
            </w:r>
          </w:p>
        </w:tc>
      </w:tr>
      <w:tr>
        <w:trPr>
          <w:jc w:val="center"/>
        </w:trPr>
        <w:tc>
          <w:tcPr>
            <w:tcW w:w="750" w:type="dxa"/>
            <w:vAlign w:val="top"/>
          </w:tcPr>
          <w:p>
            <w:pPr>
              <w:jc w:val="center"/>
              <w:rPr>
                <w:color w:val="auto"/>
                <w:szCs w:val="21"/>
              </w:rPr>
            </w:pPr>
            <w:r>
              <w:rPr>
                <w:rFonts w:hint="eastAsia"/>
                <w:color w:val="auto"/>
                <w:szCs w:val="21"/>
              </w:rPr>
              <w:t>15</w:t>
            </w:r>
          </w:p>
        </w:tc>
        <w:tc>
          <w:tcPr>
            <w:tcW w:w="2530" w:type="dxa"/>
            <w:vAlign w:val="top"/>
          </w:tcPr>
          <w:p>
            <w:pPr>
              <w:jc w:val="center"/>
              <w:rPr>
                <w:color w:val="auto"/>
                <w:szCs w:val="21"/>
              </w:rPr>
            </w:pPr>
            <w:r>
              <w:rPr>
                <w:rFonts w:hint="eastAsia"/>
                <w:color w:val="auto"/>
                <w:szCs w:val="21"/>
              </w:rPr>
              <w:t>中心控制</w:t>
            </w:r>
          </w:p>
        </w:tc>
        <w:tc>
          <w:tcPr>
            <w:tcW w:w="5400" w:type="dxa"/>
            <w:vAlign w:val="top"/>
          </w:tcPr>
          <w:p>
            <w:pPr>
              <w:jc w:val="center"/>
              <w:rPr>
                <w:color w:val="auto"/>
                <w:szCs w:val="21"/>
              </w:rPr>
            </w:pPr>
            <w:r>
              <w:rPr>
                <w:rFonts w:hint="eastAsia"/>
                <w:color w:val="auto"/>
                <w:szCs w:val="21"/>
              </w:rPr>
              <w:t>可对信号机进行远程维护，包括对时、全红、黄闪、步进、重启等</w:t>
            </w:r>
          </w:p>
        </w:tc>
      </w:tr>
      <w:tr>
        <w:trPr>
          <w:jc w:val="center"/>
        </w:trPr>
        <w:tc>
          <w:tcPr>
            <w:tcW w:w="750" w:type="dxa"/>
            <w:vAlign w:val="top"/>
          </w:tcPr>
          <w:p>
            <w:pPr>
              <w:jc w:val="center"/>
              <w:rPr>
                <w:color w:val="auto"/>
                <w:szCs w:val="21"/>
              </w:rPr>
            </w:pPr>
            <w:r>
              <w:rPr>
                <w:rFonts w:hint="eastAsia"/>
                <w:color w:val="auto"/>
                <w:szCs w:val="21"/>
              </w:rPr>
              <w:t>16</w:t>
            </w:r>
          </w:p>
        </w:tc>
        <w:tc>
          <w:tcPr>
            <w:tcW w:w="2530" w:type="dxa"/>
            <w:vAlign w:val="top"/>
          </w:tcPr>
          <w:p>
            <w:pPr>
              <w:jc w:val="center"/>
              <w:rPr>
                <w:color w:val="auto"/>
                <w:szCs w:val="21"/>
              </w:rPr>
            </w:pPr>
            <w:r>
              <w:rPr>
                <w:rFonts w:hint="eastAsia"/>
                <w:color w:val="auto"/>
                <w:szCs w:val="21"/>
              </w:rPr>
              <w:t>特勤路线</w:t>
            </w:r>
          </w:p>
        </w:tc>
        <w:tc>
          <w:tcPr>
            <w:tcW w:w="5400" w:type="dxa"/>
            <w:vAlign w:val="top"/>
          </w:tcPr>
          <w:p>
            <w:pPr>
              <w:jc w:val="center"/>
              <w:rPr>
                <w:color w:val="auto"/>
                <w:szCs w:val="21"/>
              </w:rPr>
            </w:pPr>
            <w:r>
              <w:rPr>
                <w:rFonts w:hint="eastAsia"/>
                <w:color w:val="auto"/>
                <w:szCs w:val="21"/>
              </w:rPr>
              <w:t>设置特勤路线，设置特勤方案</w:t>
            </w:r>
          </w:p>
        </w:tc>
      </w:tr>
      <w:tr>
        <w:trPr>
          <w:jc w:val="center"/>
        </w:trPr>
        <w:tc>
          <w:tcPr>
            <w:tcW w:w="750" w:type="dxa"/>
            <w:vAlign w:val="top"/>
          </w:tcPr>
          <w:p>
            <w:pPr>
              <w:jc w:val="center"/>
              <w:rPr>
                <w:color w:val="auto"/>
                <w:szCs w:val="21"/>
              </w:rPr>
            </w:pPr>
            <w:r>
              <w:rPr>
                <w:rFonts w:hint="eastAsia"/>
                <w:color w:val="auto"/>
                <w:szCs w:val="21"/>
              </w:rPr>
              <w:t>17</w:t>
            </w:r>
          </w:p>
        </w:tc>
        <w:tc>
          <w:tcPr>
            <w:tcW w:w="2530" w:type="dxa"/>
            <w:vAlign w:val="top"/>
          </w:tcPr>
          <w:p>
            <w:pPr>
              <w:jc w:val="center"/>
              <w:rPr>
                <w:color w:val="auto"/>
                <w:szCs w:val="21"/>
              </w:rPr>
            </w:pPr>
            <w:r>
              <w:rPr>
                <w:rFonts w:hint="eastAsia"/>
                <w:color w:val="auto"/>
                <w:szCs w:val="21"/>
              </w:rPr>
              <w:t>干线协调</w:t>
            </w:r>
          </w:p>
        </w:tc>
        <w:tc>
          <w:tcPr>
            <w:tcW w:w="5400" w:type="dxa"/>
            <w:vAlign w:val="top"/>
          </w:tcPr>
          <w:p>
            <w:pPr>
              <w:jc w:val="center"/>
              <w:rPr>
                <w:color w:val="auto"/>
                <w:szCs w:val="21"/>
              </w:rPr>
            </w:pPr>
            <w:r>
              <w:rPr>
                <w:rFonts w:hint="eastAsia"/>
                <w:color w:val="auto"/>
                <w:szCs w:val="21"/>
              </w:rPr>
              <w:t>设置绿波干线，设置协调时段以及时段方案</w:t>
            </w:r>
          </w:p>
        </w:tc>
      </w:tr>
      <w:tr>
        <w:trPr>
          <w:jc w:val="center"/>
        </w:trPr>
        <w:tc>
          <w:tcPr>
            <w:tcW w:w="750" w:type="dxa"/>
            <w:vAlign w:val="top"/>
          </w:tcPr>
          <w:p>
            <w:pPr>
              <w:jc w:val="center"/>
              <w:rPr>
                <w:color w:val="auto"/>
                <w:szCs w:val="21"/>
              </w:rPr>
            </w:pPr>
            <w:r>
              <w:rPr>
                <w:rFonts w:hint="eastAsia"/>
                <w:color w:val="auto"/>
                <w:szCs w:val="21"/>
              </w:rPr>
              <w:t>18</w:t>
            </w:r>
          </w:p>
        </w:tc>
        <w:tc>
          <w:tcPr>
            <w:tcW w:w="2530" w:type="dxa"/>
            <w:vAlign w:val="top"/>
          </w:tcPr>
          <w:p>
            <w:pPr>
              <w:jc w:val="center"/>
              <w:rPr>
                <w:color w:val="auto"/>
                <w:szCs w:val="21"/>
              </w:rPr>
            </w:pPr>
            <w:r>
              <w:rPr>
                <w:rFonts w:hint="eastAsia"/>
                <w:color w:val="auto"/>
                <w:szCs w:val="21"/>
              </w:rPr>
              <w:t>常规监控</w:t>
            </w:r>
          </w:p>
        </w:tc>
        <w:tc>
          <w:tcPr>
            <w:tcW w:w="5400" w:type="dxa"/>
            <w:vAlign w:val="top"/>
          </w:tcPr>
          <w:p>
            <w:pPr>
              <w:jc w:val="center"/>
              <w:rPr>
                <w:color w:val="auto"/>
                <w:szCs w:val="21"/>
              </w:rPr>
            </w:pPr>
            <w:r>
              <w:rPr>
                <w:rFonts w:hint="eastAsia"/>
                <w:color w:val="auto"/>
                <w:szCs w:val="21"/>
              </w:rPr>
              <w:t>GPS查看交通要素，包括路口、路段、道路信号机等</w:t>
            </w:r>
          </w:p>
        </w:tc>
      </w:tr>
      <w:tr>
        <w:trPr>
          <w:jc w:val="center"/>
        </w:trPr>
        <w:tc>
          <w:tcPr>
            <w:tcW w:w="750" w:type="dxa"/>
            <w:vAlign w:val="top"/>
          </w:tcPr>
          <w:p>
            <w:pPr>
              <w:jc w:val="center"/>
              <w:rPr>
                <w:color w:val="auto"/>
                <w:szCs w:val="21"/>
              </w:rPr>
            </w:pPr>
            <w:r>
              <w:rPr>
                <w:rFonts w:hint="eastAsia"/>
                <w:color w:val="auto"/>
                <w:szCs w:val="21"/>
              </w:rPr>
              <w:t>19</w:t>
            </w:r>
          </w:p>
        </w:tc>
        <w:tc>
          <w:tcPr>
            <w:tcW w:w="2530" w:type="dxa"/>
            <w:vAlign w:val="top"/>
          </w:tcPr>
          <w:p>
            <w:pPr>
              <w:jc w:val="center"/>
              <w:rPr>
                <w:color w:val="auto"/>
                <w:szCs w:val="21"/>
              </w:rPr>
            </w:pPr>
            <w:r>
              <w:rPr>
                <w:rFonts w:hint="eastAsia"/>
                <w:color w:val="auto"/>
                <w:szCs w:val="21"/>
              </w:rPr>
              <w:t>干线绿波监控</w:t>
            </w:r>
          </w:p>
        </w:tc>
        <w:tc>
          <w:tcPr>
            <w:tcW w:w="5400" w:type="dxa"/>
            <w:vAlign w:val="top"/>
          </w:tcPr>
          <w:p>
            <w:pPr>
              <w:jc w:val="center"/>
              <w:rPr>
                <w:color w:val="auto"/>
                <w:szCs w:val="21"/>
              </w:rPr>
            </w:pPr>
            <w:r>
              <w:rPr>
                <w:rFonts w:hint="eastAsia"/>
                <w:color w:val="auto"/>
                <w:szCs w:val="21"/>
              </w:rPr>
              <w:t>监控干线各个路口的旅行时间</w:t>
            </w:r>
          </w:p>
        </w:tc>
      </w:tr>
      <w:tr>
        <w:trPr>
          <w:jc w:val="center"/>
        </w:trPr>
        <w:tc>
          <w:tcPr>
            <w:tcW w:w="750" w:type="dxa"/>
            <w:vAlign w:val="top"/>
          </w:tcPr>
          <w:p>
            <w:pPr>
              <w:jc w:val="center"/>
              <w:rPr>
                <w:color w:val="auto"/>
                <w:szCs w:val="21"/>
              </w:rPr>
            </w:pPr>
            <w:r>
              <w:rPr>
                <w:rFonts w:hint="eastAsia"/>
                <w:color w:val="auto"/>
                <w:szCs w:val="21"/>
              </w:rPr>
              <w:t>20</w:t>
            </w:r>
          </w:p>
        </w:tc>
        <w:tc>
          <w:tcPr>
            <w:tcW w:w="2530" w:type="dxa"/>
            <w:vAlign w:val="top"/>
          </w:tcPr>
          <w:p>
            <w:pPr>
              <w:jc w:val="center"/>
              <w:rPr>
                <w:color w:val="auto"/>
                <w:szCs w:val="21"/>
              </w:rPr>
            </w:pPr>
            <w:r>
              <w:rPr>
                <w:rFonts w:hint="eastAsia"/>
                <w:color w:val="auto"/>
                <w:szCs w:val="21"/>
              </w:rPr>
              <w:t>信号机状态及故障监控</w:t>
            </w:r>
          </w:p>
        </w:tc>
        <w:tc>
          <w:tcPr>
            <w:tcW w:w="5400" w:type="dxa"/>
            <w:vAlign w:val="top"/>
          </w:tcPr>
          <w:p>
            <w:pPr>
              <w:jc w:val="center"/>
              <w:rPr>
                <w:color w:val="auto"/>
                <w:szCs w:val="21"/>
              </w:rPr>
            </w:pPr>
            <w:r>
              <w:rPr>
                <w:rFonts w:hint="eastAsia"/>
                <w:color w:val="auto"/>
                <w:szCs w:val="21"/>
              </w:rPr>
              <w:t>监控信号机的连接状态以及故障情况</w:t>
            </w:r>
          </w:p>
        </w:tc>
      </w:tr>
      <w:tr>
        <w:trPr>
          <w:jc w:val="center"/>
        </w:trPr>
        <w:tc>
          <w:tcPr>
            <w:tcW w:w="750" w:type="dxa"/>
            <w:vAlign w:val="top"/>
          </w:tcPr>
          <w:p>
            <w:pPr>
              <w:jc w:val="center"/>
              <w:rPr>
                <w:color w:val="auto"/>
                <w:szCs w:val="21"/>
              </w:rPr>
            </w:pPr>
            <w:r>
              <w:rPr>
                <w:rFonts w:hint="eastAsia"/>
                <w:color w:val="auto"/>
                <w:szCs w:val="21"/>
              </w:rPr>
              <w:t>21</w:t>
            </w:r>
          </w:p>
        </w:tc>
        <w:tc>
          <w:tcPr>
            <w:tcW w:w="2530" w:type="dxa"/>
            <w:vAlign w:val="top"/>
          </w:tcPr>
          <w:p>
            <w:pPr>
              <w:jc w:val="center"/>
              <w:rPr>
                <w:color w:val="auto"/>
                <w:szCs w:val="21"/>
              </w:rPr>
            </w:pPr>
            <w:r>
              <w:rPr>
                <w:rFonts w:hint="eastAsia"/>
                <w:color w:val="auto"/>
                <w:szCs w:val="21"/>
              </w:rPr>
              <w:t>信号机相序监控</w:t>
            </w:r>
          </w:p>
        </w:tc>
        <w:tc>
          <w:tcPr>
            <w:tcW w:w="5400" w:type="dxa"/>
            <w:vAlign w:val="top"/>
          </w:tcPr>
          <w:p>
            <w:pPr>
              <w:jc w:val="center"/>
              <w:rPr>
                <w:color w:val="auto"/>
                <w:szCs w:val="21"/>
              </w:rPr>
            </w:pPr>
            <w:r>
              <w:rPr>
                <w:rFonts w:hint="eastAsia"/>
                <w:color w:val="auto"/>
                <w:szCs w:val="21"/>
              </w:rPr>
              <w:t>监控选择信号机的信号灯运行状况</w:t>
            </w:r>
          </w:p>
        </w:tc>
      </w:tr>
      <w:tr>
        <w:trPr>
          <w:jc w:val="center"/>
        </w:trPr>
        <w:tc>
          <w:tcPr>
            <w:tcW w:w="750" w:type="dxa"/>
            <w:vAlign w:val="top"/>
          </w:tcPr>
          <w:p>
            <w:pPr>
              <w:jc w:val="center"/>
              <w:rPr>
                <w:color w:val="auto"/>
                <w:szCs w:val="21"/>
              </w:rPr>
            </w:pPr>
            <w:r>
              <w:rPr>
                <w:rFonts w:hint="eastAsia"/>
                <w:color w:val="auto"/>
                <w:szCs w:val="21"/>
              </w:rPr>
              <w:t>22</w:t>
            </w:r>
          </w:p>
        </w:tc>
        <w:tc>
          <w:tcPr>
            <w:tcW w:w="2530" w:type="dxa"/>
            <w:vAlign w:val="top"/>
          </w:tcPr>
          <w:p>
            <w:pPr>
              <w:jc w:val="center"/>
              <w:rPr>
                <w:color w:val="auto"/>
                <w:szCs w:val="21"/>
              </w:rPr>
            </w:pPr>
            <w:r>
              <w:rPr>
                <w:rFonts w:hint="eastAsia"/>
                <w:color w:val="auto"/>
                <w:szCs w:val="21"/>
              </w:rPr>
              <w:t>干线路口监控</w:t>
            </w:r>
          </w:p>
        </w:tc>
        <w:tc>
          <w:tcPr>
            <w:tcW w:w="5400" w:type="dxa"/>
            <w:vAlign w:val="top"/>
          </w:tcPr>
          <w:p>
            <w:pPr>
              <w:jc w:val="center"/>
              <w:rPr>
                <w:color w:val="auto"/>
                <w:szCs w:val="21"/>
              </w:rPr>
            </w:pPr>
            <w:r>
              <w:rPr>
                <w:rFonts w:hint="eastAsia"/>
                <w:color w:val="auto"/>
                <w:szCs w:val="21"/>
              </w:rPr>
              <w:t>监控干线各个路口的信号机运行状态</w:t>
            </w:r>
          </w:p>
        </w:tc>
      </w:tr>
      <w:tr>
        <w:trPr>
          <w:jc w:val="center"/>
        </w:trPr>
        <w:tc>
          <w:tcPr>
            <w:tcW w:w="750" w:type="dxa"/>
            <w:vAlign w:val="top"/>
          </w:tcPr>
          <w:p>
            <w:pPr>
              <w:jc w:val="center"/>
              <w:rPr>
                <w:color w:val="auto"/>
                <w:szCs w:val="21"/>
              </w:rPr>
            </w:pPr>
            <w:r>
              <w:rPr>
                <w:rFonts w:hint="eastAsia"/>
                <w:color w:val="auto"/>
                <w:szCs w:val="21"/>
              </w:rPr>
              <w:t>23</w:t>
            </w:r>
          </w:p>
        </w:tc>
        <w:tc>
          <w:tcPr>
            <w:tcW w:w="2530" w:type="dxa"/>
            <w:vAlign w:val="top"/>
          </w:tcPr>
          <w:p>
            <w:pPr>
              <w:jc w:val="center"/>
              <w:rPr>
                <w:color w:val="auto"/>
                <w:szCs w:val="21"/>
              </w:rPr>
            </w:pPr>
            <w:r>
              <w:rPr>
                <w:rFonts w:hint="eastAsia"/>
                <w:color w:val="auto"/>
                <w:szCs w:val="21"/>
              </w:rPr>
              <w:t>特勤路线监控</w:t>
            </w:r>
          </w:p>
        </w:tc>
        <w:tc>
          <w:tcPr>
            <w:tcW w:w="5400" w:type="dxa"/>
            <w:vAlign w:val="top"/>
          </w:tcPr>
          <w:p>
            <w:pPr>
              <w:jc w:val="center"/>
              <w:rPr>
                <w:color w:val="auto"/>
                <w:szCs w:val="21"/>
              </w:rPr>
            </w:pPr>
            <w:r>
              <w:rPr>
                <w:rFonts w:hint="eastAsia"/>
                <w:color w:val="auto"/>
                <w:szCs w:val="21"/>
              </w:rPr>
              <w:t>监控特勤路线途径路口的信号机运行状态</w:t>
            </w:r>
          </w:p>
        </w:tc>
      </w:tr>
      <w:tr>
        <w:trPr>
          <w:jc w:val="center"/>
        </w:trPr>
        <w:tc>
          <w:tcPr>
            <w:tcW w:w="750" w:type="dxa"/>
            <w:vAlign w:val="top"/>
          </w:tcPr>
          <w:p>
            <w:pPr>
              <w:jc w:val="center"/>
              <w:rPr>
                <w:color w:val="auto"/>
                <w:szCs w:val="21"/>
              </w:rPr>
            </w:pPr>
            <w:r>
              <w:rPr>
                <w:rFonts w:hint="eastAsia"/>
                <w:color w:val="auto"/>
                <w:szCs w:val="21"/>
              </w:rPr>
              <w:t>24</w:t>
            </w:r>
          </w:p>
        </w:tc>
        <w:tc>
          <w:tcPr>
            <w:tcW w:w="2530" w:type="dxa"/>
            <w:vAlign w:val="top"/>
          </w:tcPr>
          <w:p>
            <w:pPr>
              <w:jc w:val="center"/>
              <w:rPr>
                <w:color w:val="auto"/>
                <w:szCs w:val="21"/>
              </w:rPr>
            </w:pPr>
            <w:r>
              <w:rPr>
                <w:rFonts w:hint="eastAsia"/>
                <w:color w:val="auto"/>
                <w:szCs w:val="21"/>
              </w:rPr>
              <w:t>GPS专属图</w:t>
            </w:r>
          </w:p>
        </w:tc>
        <w:tc>
          <w:tcPr>
            <w:tcW w:w="5400" w:type="dxa"/>
            <w:vAlign w:val="top"/>
          </w:tcPr>
          <w:p>
            <w:pPr>
              <w:jc w:val="center"/>
              <w:rPr>
                <w:color w:val="auto"/>
                <w:szCs w:val="21"/>
              </w:rPr>
            </w:pPr>
            <w:r>
              <w:rPr>
                <w:rFonts w:hint="eastAsia"/>
                <w:color w:val="auto"/>
                <w:szCs w:val="21"/>
              </w:rPr>
              <w:t>管理GPS服务器连接信息</w:t>
            </w:r>
          </w:p>
        </w:tc>
      </w:tr>
      <w:tr>
        <w:trPr>
          <w:jc w:val="center"/>
        </w:trPr>
        <w:tc>
          <w:tcPr>
            <w:tcW w:w="750" w:type="dxa"/>
            <w:vAlign w:val="top"/>
          </w:tcPr>
          <w:p>
            <w:pPr>
              <w:jc w:val="center"/>
              <w:rPr>
                <w:color w:val="auto"/>
                <w:szCs w:val="21"/>
              </w:rPr>
            </w:pPr>
            <w:r>
              <w:rPr>
                <w:rFonts w:hint="eastAsia"/>
                <w:color w:val="auto"/>
                <w:szCs w:val="21"/>
              </w:rPr>
              <w:t>25</w:t>
            </w:r>
          </w:p>
        </w:tc>
        <w:tc>
          <w:tcPr>
            <w:tcW w:w="2530" w:type="dxa"/>
            <w:vAlign w:val="top"/>
          </w:tcPr>
          <w:p>
            <w:pPr>
              <w:jc w:val="center"/>
              <w:rPr>
                <w:color w:val="auto"/>
                <w:szCs w:val="21"/>
              </w:rPr>
            </w:pPr>
            <w:r>
              <w:rPr>
                <w:rFonts w:hint="eastAsia"/>
                <w:color w:val="auto"/>
                <w:szCs w:val="21"/>
              </w:rPr>
              <w:t>路口登记</w:t>
            </w:r>
          </w:p>
        </w:tc>
        <w:tc>
          <w:tcPr>
            <w:tcW w:w="5400" w:type="dxa"/>
            <w:vAlign w:val="top"/>
          </w:tcPr>
          <w:p>
            <w:pPr>
              <w:jc w:val="center"/>
              <w:rPr>
                <w:color w:val="auto"/>
                <w:szCs w:val="21"/>
              </w:rPr>
            </w:pPr>
            <w:r>
              <w:rPr>
                <w:rFonts w:hint="eastAsia"/>
                <w:color w:val="auto"/>
                <w:szCs w:val="21"/>
              </w:rPr>
              <w:t>管理路口信息</w:t>
            </w:r>
          </w:p>
        </w:tc>
      </w:tr>
      <w:tr>
        <w:trPr>
          <w:jc w:val="center"/>
        </w:trPr>
        <w:tc>
          <w:tcPr>
            <w:tcW w:w="750" w:type="dxa"/>
            <w:vAlign w:val="top"/>
          </w:tcPr>
          <w:p>
            <w:pPr>
              <w:jc w:val="center"/>
              <w:rPr>
                <w:color w:val="auto"/>
                <w:szCs w:val="21"/>
              </w:rPr>
            </w:pPr>
            <w:r>
              <w:rPr>
                <w:rFonts w:hint="eastAsia"/>
                <w:color w:val="auto"/>
                <w:szCs w:val="21"/>
              </w:rPr>
              <w:t>26</w:t>
            </w:r>
          </w:p>
        </w:tc>
        <w:tc>
          <w:tcPr>
            <w:tcW w:w="2530" w:type="dxa"/>
            <w:vAlign w:val="top"/>
          </w:tcPr>
          <w:p>
            <w:pPr>
              <w:jc w:val="center"/>
              <w:rPr>
                <w:color w:val="auto"/>
                <w:szCs w:val="21"/>
              </w:rPr>
            </w:pPr>
            <w:r>
              <w:rPr>
                <w:rFonts w:hint="eastAsia"/>
                <w:color w:val="auto"/>
                <w:szCs w:val="21"/>
              </w:rPr>
              <w:t>路段登记</w:t>
            </w:r>
          </w:p>
        </w:tc>
        <w:tc>
          <w:tcPr>
            <w:tcW w:w="5400" w:type="dxa"/>
            <w:vAlign w:val="top"/>
          </w:tcPr>
          <w:p>
            <w:pPr>
              <w:jc w:val="center"/>
              <w:rPr>
                <w:color w:val="auto"/>
                <w:szCs w:val="21"/>
              </w:rPr>
            </w:pPr>
            <w:r>
              <w:rPr>
                <w:rFonts w:hint="eastAsia"/>
                <w:color w:val="auto"/>
                <w:szCs w:val="21"/>
              </w:rPr>
              <w:t>管理路段信息</w:t>
            </w:r>
          </w:p>
        </w:tc>
      </w:tr>
      <w:tr>
        <w:trPr>
          <w:jc w:val="center"/>
        </w:trPr>
        <w:tc>
          <w:tcPr>
            <w:tcW w:w="750" w:type="dxa"/>
            <w:vAlign w:val="top"/>
          </w:tcPr>
          <w:p>
            <w:pPr>
              <w:jc w:val="center"/>
              <w:rPr>
                <w:color w:val="auto"/>
                <w:szCs w:val="21"/>
              </w:rPr>
            </w:pPr>
            <w:r>
              <w:rPr>
                <w:rFonts w:hint="eastAsia"/>
                <w:color w:val="auto"/>
                <w:szCs w:val="21"/>
              </w:rPr>
              <w:t>27</w:t>
            </w:r>
          </w:p>
        </w:tc>
        <w:tc>
          <w:tcPr>
            <w:tcW w:w="2530" w:type="dxa"/>
            <w:vAlign w:val="top"/>
          </w:tcPr>
          <w:p>
            <w:pPr>
              <w:jc w:val="center"/>
              <w:rPr>
                <w:color w:val="auto"/>
                <w:szCs w:val="21"/>
              </w:rPr>
            </w:pPr>
            <w:r>
              <w:rPr>
                <w:rFonts w:hint="eastAsia"/>
                <w:color w:val="auto"/>
                <w:szCs w:val="21"/>
              </w:rPr>
              <w:t>道路登记</w:t>
            </w:r>
          </w:p>
        </w:tc>
        <w:tc>
          <w:tcPr>
            <w:tcW w:w="5400" w:type="dxa"/>
            <w:vAlign w:val="top"/>
          </w:tcPr>
          <w:p>
            <w:pPr>
              <w:jc w:val="center"/>
              <w:rPr>
                <w:color w:val="auto"/>
                <w:szCs w:val="21"/>
              </w:rPr>
            </w:pPr>
            <w:r>
              <w:rPr>
                <w:rFonts w:hint="eastAsia"/>
                <w:color w:val="auto"/>
                <w:szCs w:val="21"/>
              </w:rPr>
              <w:t>管理道路信息</w:t>
            </w:r>
          </w:p>
        </w:tc>
      </w:tr>
      <w:tr>
        <w:trPr>
          <w:jc w:val="center"/>
        </w:trPr>
        <w:tc>
          <w:tcPr>
            <w:tcW w:w="750" w:type="dxa"/>
            <w:vAlign w:val="top"/>
          </w:tcPr>
          <w:p>
            <w:pPr>
              <w:jc w:val="center"/>
              <w:rPr>
                <w:color w:val="auto"/>
                <w:szCs w:val="21"/>
              </w:rPr>
            </w:pPr>
            <w:r>
              <w:rPr>
                <w:rFonts w:hint="eastAsia"/>
                <w:color w:val="auto"/>
                <w:szCs w:val="21"/>
              </w:rPr>
              <w:t>28</w:t>
            </w:r>
          </w:p>
        </w:tc>
        <w:tc>
          <w:tcPr>
            <w:tcW w:w="2530" w:type="dxa"/>
            <w:vAlign w:val="top"/>
          </w:tcPr>
          <w:p>
            <w:pPr>
              <w:jc w:val="center"/>
              <w:rPr>
                <w:color w:val="auto"/>
                <w:szCs w:val="21"/>
              </w:rPr>
            </w:pPr>
            <w:r>
              <w:rPr>
                <w:rFonts w:hint="eastAsia"/>
                <w:color w:val="auto"/>
                <w:szCs w:val="21"/>
              </w:rPr>
              <w:t>辖区登记</w:t>
            </w:r>
          </w:p>
        </w:tc>
        <w:tc>
          <w:tcPr>
            <w:tcW w:w="5400" w:type="dxa"/>
            <w:vAlign w:val="top"/>
          </w:tcPr>
          <w:p>
            <w:pPr>
              <w:jc w:val="center"/>
              <w:rPr>
                <w:color w:val="auto"/>
                <w:szCs w:val="21"/>
              </w:rPr>
            </w:pPr>
            <w:r>
              <w:rPr>
                <w:rFonts w:hint="eastAsia"/>
                <w:color w:val="auto"/>
                <w:szCs w:val="21"/>
              </w:rPr>
              <w:t>管理辖区学校，一个辖区包括管理的若干路口</w:t>
            </w:r>
          </w:p>
        </w:tc>
      </w:tr>
      <w:tr>
        <w:trPr>
          <w:jc w:val="center"/>
        </w:trPr>
        <w:tc>
          <w:tcPr>
            <w:tcW w:w="750" w:type="dxa"/>
            <w:vAlign w:val="top"/>
          </w:tcPr>
          <w:p>
            <w:pPr>
              <w:jc w:val="center"/>
              <w:rPr>
                <w:color w:val="auto"/>
                <w:szCs w:val="21"/>
              </w:rPr>
            </w:pPr>
            <w:r>
              <w:rPr>
                <w:rFonts w:hint="eastAsia"/>
                <w:color w:val="auto"/>
                <w:szCs w:val="21"/>
              </w:rPr>
              <w:t>29</w:t>
            </w:r>
          </w:p>
        </w:tc>
        <w:tc>
          <w:tcPr>
            <w:tcW w:w="2530" w:type="dxa"/>
            <w:vAlign w:val="top"/>
          </w:tcPr>
          <w:p>
            <w:pPr>
              <w:jc w:val="center"/>
              <w:rPr>
                <w:color w:val="auto"/>
                <w:szCs w:val="21"/>
              </w:rPr>
            </w:pPr>
            <w:r>
              <w:rPr>
                <w:rFonts w:hint="eastAsia"/>
                <w:color w:val="auto"/>
                <w:szCs w:val="21"/>
              </w:rPr>
              <w:t>节假日设置</w:t>
            </w:r>
          </w:p>
        </w:tc>
        <w:tc>
          <w:tcPr>
            <w:tcW w:w="5400" w:type="dxa"/>
            <w:vAlign w:val="top"/>
          </w:tcPr>
          <w:p>
            <w:pPr>
              <w:jc w:val="center"/>
              <w:rPr>
                <w:color w:val="auto"/>
                <w:szCs w:val="21"/>
              </w:rPr>
            </w:pPr>
            <w:r>
              <w:rPr>
                <w:rFonts w:hint="eastAsia"/>
                <w:color w:val="auto"/>
                <w:szCs w:val="21"/>
              </w:rPr>
              <w:t>管理节假日信息</w:t>
            </w:r>
          </w:p>
        </w:tc>
      </w:tr>
      <w:tr>
        <w:trPr>
          <w:jc w:val="center"/>
        </w:trPr>
        <w:tc>
          <w:tcPr>
            <w:tcW w:w="750" w:type="dxa"/>
            <w:vAlign w:val="top"/>
          </w:tcPr>
          <w:p>
            <w:pPr>
              <w:jc w:val="center"/>
              <w:rPr>
                <w:color w:val="auto"/>
                <w:szCs w:val="21"/>
              </w:rPr>
            </w:pPr>
            <w:r>
              <w:rPr>
                <w:rFonts w:hint="eastAsia"/>
                <w:color w:val="auto"/>
                <w:szCs w:val="21"/>
              </w:rPr>
              <w:t>30</w:t>
            </w:r>
          </w:p>
        </w:tc>
        <w:tc>
          <w:tcPr>
            <w:tcW w:w="2530" w:type="dxa"/>
            <w:vAlign w:val="top"/>
          </w:tcPr>
          <w:p>
            <w:pPr>
              <w:jc w:val="center"/>
              <w:rPr>
                <w:color w:val="auto"/>
                <w:szCs w:val="21"/>
              </w:rPr>
            </w:pPr>
            <w:r>
              <w:rPr>
                <w:rFonts w:hint="eastAsia"/>
                <w:color w:val="auto"/>
                <w:szCs w:val="21"/>
              </w:rPr>
              <w:t>特殊时段设置</w:t>
            </w:r>
          </w:p>
        </w:tc>
        <w:tc>
          <w:tcPr>
            <w:tcW w:w="5400" w:type="dxa"/>
            <w:vAlign w:val="top"/>
          </w:tcPr>
          <w:p>
            <w:pPr>
              <w:jc w:val="center"/>
              <w:rPr>
                <w:color w:val="auto"/>
                <w:szCs w:val="21"/>
              </w:rPr>
            </w:pPr>
            <w:r>
              <w:rPr>
                <w:rFonts w:hint="eastAsia"/>
                <w:color w:val="auto"/>
                <w:szCs w:val="21"/>
              </w:rPr>
              <w:t>管理特殊时段信息</w:t>
            </w:r>
          </w:p>
        </w:tc>
      </w:tr>
      <w:tr>
        <w:trPr>
          <w:jc w:val="center"/>
        </w:trPr>
        <w:tc>
          <w:tcPr>
            <w:tcW w:w="750" w:type="dxa"/>
            <w:vAlign w:val="top"/>
          </w:tcPr>
          <w:p>
            <w:pPr>
              <w:jc w:val="center"/>
              <w:rPr>
                <w:color w:val="auto"/>
                <w:szCs w:val="21"/>
              </w:rPr>
            </w:pPr>
            <w:r>
              <w:rPr>
                <w:rFonts w:hint="eastAsia"/>
                <w:color w:val="auto"/>
                <w:szCs w:val="21"/>
              </w:rPr>
              <w:t>31</w:t>
            </w:r>
          </w:p>
        </w:tc>
        <w:tc>
          <w:tcPr>
            <w:tcW w:w="2530" w:type="dxa"/>
            <w:vAlign w:val="top"/>
          </w:tcPr>
          <w:p>
            <w:pPr>
              <w:jc w:val="center"/>
              <w:rPr>
                <w:color w:val="auto"/>
                <w:szCs w:val="21"/>
              </w:rPr>
            </w:pPr>
            <w:r>
              <w:rPr>
                <w:rFonts w:hint="eastAsia"/>
                <w:color w:val="auto"/>
                <w:szCs w:val="21"/>
              </w:rPr>
              <w:t>道路拥堵级别设置</w:t>
            </w:r>
          </w:p>
        </w:tc>
        <w:tc>
          <w:tcPr>
            <w:tcW w:w="5400" w:type="dxa"/>
            <w:vAlign w:val="top"/>
          </w:tcPr>
          <w:p>
            <w:pPr>
              <w:jc w:val="center"/>
              <w:rPr>
                <w:color w:val="auto"/>
                <w:szCs w:val="21"/>
              </w:rPr>
            </w:pPr>
            <w:r>
              <w:rPr>
                <w:rFonts w:hint="eastAsia"/>
                <w:color w:val="auto"/>
                <w:szCs w:val="21"/>
              </w:rPr>
              <w:t>管理道路拥堵级别设置信息</w:t>
            </w:r>
          </w:p>
        </w:tc>
      </w:tr>
      <w:tr>
        <w:trPr>
          <w:jc w:val="center"/>
        </w:trPr>
        <w:tc>
          <w:tcPr>
            <w:tcW w:w="750" w:type="dxa"/>
            <w:vAlign w:val="top"/>
          </w:tcPr>
          <w:p>
            <w:pPr>
              <w:jc w:val="center"/>
              <w:rPr>
                <w:color w:val="auto"/>
                <w:szCs w:val="21"/>
              </w:rPr>
            </w:pPr>
            <w:r>
              <w:rPr>
                <w:rFonts w:hint="eastAsia"/>
                <w:color w:val="auto"/>
                <w:szCs w:val="21"/>
              </w:rPr>
              <w:t>32</w:t>
            </w:r>
          </w:p>
        </w:tc>
        <w:tc>
          <w:tcPr>
            <w:tcW w:w="2530" w:type="dxa"/>
            <w:vAlign w:val="top"/>
          </w:tcPr>
          <w:p>
            <w:pPr>
              <w:jc w:val="center"/>
              <w:rPr>
                <w:color w:val="auto"/>
                <w:szCs w:val="21"/>
              </w:rPr>
            </w:pPr>
            <w:r>
              <w:rPr>
                <w:rFonts w:hint="eastAsia"/>
                <w:color w:val="auto"/>
                <w:szCs w:val="21"/>
              </w:rPr>
              <w:t>相序库设置</w:t>
            </w:r>
          </w:p>
        </w:tc>
        <w:tc>
          <w:tcPr>
            <w:tcW w:w="5400" w:type="dxa"/>
            <w:vAlign w:val="top"/>
          </w:tcPr>
          <w:p>
            <w:pPr>
              <w:jc w:val="center"/>
              <w:rPr>
                <w:color w:val="auto"/>
                <w:szCs w:val="21"/>
              </w:rPr>
            </w:pPr>
            <w:r>
              <w:rPr>
                <w:rFonts w:hint="eastAsia"/>
                <w:color w:val="auto"/>
                <w:szCs w:val="21"/>
              </w:rPr>
              <w:t>管理预设的相序参数</w:t>
            </w:r>
          </w:p>
        </w:tc>
      </w:tr>
      <w:tr>
        <w:trPr>
          <w:jc w:val="center"/>
        </w:trPr>
        <w:tc>
          <w:tcPr>
            <w:tcW w:w="750" w:type="dxa"/>
            <w:vAlign w:val="top"/>
          </w:tcPr>
          <w:p>
            <w:pPr>
              <w:jc w:val="center"/>
              <w:rPr>
                <w:color w:val="auto"/>
                <w:szCs w:val="21"/>
              </w:rPr>
            </w:pPr>
            <w:r>
              <w:rPr>
                <w:rFonts w:hint="eastAsia"/>
                <w:color w:val="auto"/>
                <w:szCs w:val="21"/>
              </w:rPr>
              <w:t>33</w:t>
            </w:r>
          </w:p>
        </w:tc>
        <w:tc>
          <w:tcPr>
            <w:tcW w:w="2530" w:type="dxa"/>
            <w:vAlign w:val="top"/>
          </w:tcPr>
          <w:p>
            <w:pPr>
              <w:jc w:val="center"/>
              <w:rPr>
                <w:color w:val="auto"/>
                <w:szCs w:val="21"/>
              </w:rPr>
            </w:pPr>
            <w:r>
              <w:rPr>
                <w:rFonts w:hint="eastAsia"/>
                <w:color w:val="auto"/>
                <w:szCs w:val="21"/>
              </w:rPr>
              <w:t>方案库设置</w:t>
            </w:r>
          </w:p>
        </w:tc>
        <w:tc>
          <w:tcPr>
            <w:tcW w:w="5400" w:type="dxa"/>
            <w:vAlign w:val="top"/>
          </w:tcPr>
          <w:p>
            <w:pPr>
              <w:jc w:val="center"/>
              <w:rPr>
                <w:color w:val="auto"/>
                <w:szCs w:val="21"/>
              </w:rPr>
            </w:pPr>
            <w:r>
              <w:rPr>
                <w:rFonts w:hint="eastAsia"/>
                <w:color w:val="auto"/>
                <w:szCs w:val="21"/>
              </w:rPr>
              <w:t>管理预设的方案库参数</w:t>
            </w:r>
          </w:p>
        </w:tc>
      </w:tr>
      <w:tr>
        <w:trPr>
          <w:jc w:val="center"/>
        </w:trPr>
        <w:tc>
          <w:tcPr>
            <w:tcW w:w="750" w:type="dxa"/>
            <w:vAlign w:val="top"/>
          </w:tcPr>
          <w:p>
            <w:pPr>
              <w:jc w:val="center"/>
              <w:rPr>
                <w:color w:val="auto"/>
                <w:szCs w:val="21"/>
              </w:rPr>
            </w:pPr>
            <w:r>
              <w:rPr>
                <w:rFonts w:hint="eastAsia"/>
                <w:color w:val="auto"/>
                <w:szCs w:val="21"/>
              </w:rPr>
              <w:t>34</w:t>
            </w:r>
          </w:p>
        </w:tc>
        <w:tc>
          <w:tcPr>
            <w:tcW w:w="2530" w:type="dxa"/>
            <w:vAlign w:val="top"/>
          </w:tcPr>
          <w:p>
            <w:pPr>
              <w:jc w:val="center"/>
              <w:rPr>
                <w:color w:val="auto"/>
                <w:szCs w:val="21"/>
              </w:rPr>
            </w:pPr>
            <w:r>
              <w:rPr>
                <w:rFonts w:hint="eastAsia"/>
                <w:color w:val="auto"/>
                <w:szCs w:val="21"/>
              </w:rPr>
              <w:t>信号机故障监控</w:t>
            </w:r>
          </w:p>
        </w:tc>
        <w:tc>
          <w:tcPr>
            <w:tcW w:w="5400" w:type="dxa"/>
            <w:vAlign w:val="top"/>
          </w:tcPr>
          <w:p>
            <w:pPr>
              <w:jc w:val="center"/>
              <w:rPr>
                <w:color w:val="auto"/>
                <w:szCs w:val="21"/>
              </w:rPr>
            </w:pPr>
            <w:r>
              <w:rPr>
                <w:rFonts w:hint="eastAsia"/>
                <w:color w:val="auto"/>
                <w:szCs w:val="21"/>
              </w:rPr>
              <w:t>实时监控信号机的故障信息，发生故障及时报警</w:t>
            </w:r>
          </w:p>
        </w:tc>
      </w:tr>
      <w:tr>
        <w:trPr>
          <w:jc w:val="center"/>
        </w:trPr>
        <w:tc>
          <w:tcPr>
            <w:tcW w:w="750" w:type="dxa"/>
            <w:vAlign w:val="top"/>
          </w:tcPr>
          <w:p>
            <w:pPr>
              <w:jc w:val="center"/>
              <w:rPr>
                <w:color w:val="auto"/>
                <w:szCs w:val="21"/>
              </w:rPr>
            </w:pPr>
            <w:r>
              <w:rPr>
                <w:rFonts w:hint="eastAsia"/>
                <w:color w:val="auto"/>
                <w:szCs w:val="21"/>
              </w:rPr>
              <w:t>35</w:t>
            </w:r>
          </w:p>
        </w:tc>
        <w:tc>
          <w:tcPr>
            <w:tcW w:w="2530" w:type="dxa"/>
            <w:vAlign w:val="top"/>
          </w:tcPr>
          <w:p>
            <w:pPr>
              <w:jc w:val="center"/>
              <w:rPr>
                <w:color w:val="auto"/>
                <w:szCs w:val="21"/>
              </w:rPr>
            </w:pPr>
            <w:r>
              <w:rPr>
                <w:rFonts w:hint="eastAsia"/>
                <w:color w:val="auto"/>
                <w:szCs w:val="21"/>
              </w:rPr>
              <w:t>信号机故障历史</w:t>
            </w:r>
          </w:p>
        </w:tc>
        <w:tc>
          <w:tcPr>
            <w:tcW w:w="5400" w:type="dxa"/>
            <w:vAlign w:val="top"/>
          </w:tcPr>
          <w:p>
            <w:pPr>
              <w:jc w:val="center"/>
              <w:rPr>
                <w:color w:val="auto"/>
                <w:szCs w:val="21"/>
              </w:rPr>
            </w:pPr>
            <w:r>
              <w:rPr>
                <w:rFonts w:hint="eastAsia"/>
                <w:color w:val="auto"/>
                <w:szCs w:val="21"/>
              </w:rPr>
              <w:t>查看采集到的信号机故障信息</w:t>
            </w:r>
          </w:p>
        </w:tc>
      </w:tr>
      <w:tr>
        <w:trPr>
          <w:jc w:val="center"/>
        </w:trPr>
        <w:tc>
          <w:tcPr>
            <w:tcW w:w="750" w:type="dxa"/>
            <w:vAlign w:val="top"/>
          </w:tcPr>
          <w:p>
            <w:pPr>
              <w:jc w:val="center"/>
              <w:rPr>
                <w:color w:val="auto"/>
                <w:szCs w:val="21"/>
              </w:rPr>
            </w:pPr>
            <w:r>
              <w:rPr>
                <w:rFonts w:hint="eastAsia"/>
                <w:color w:val="auto"/>
                <w:szCs w:val="21"/>
              </w:rPr>
              <w:t>36</w:t>
            </w:r>
          </w:p>
        </w:tc>
        <w:tc>
          <w:tcPr>
            <w:tcW w:w="2530" w:type="dxa"/>
            <w:vAlign w:val="top"/>
          </w:tcPr>
          <w:p>
            <w:pPr>
              <w:jc w:val="center"/>
              <w:rPr>
                <w:color w:val="auto"/>
                <w:szCs w:val="21"/>
              </w:rPr>
            </w:pPr>
            <w:r>
              <w:rPr>
                <w:rFonts w:hint="eastAsia"/>
                <w:color w:val="auto"/>
                <w:szCs w:val="21"/>
              </w:rPr>
              <w:t>信号机故障维护</w:t>
            </w:r>
          </w:p>
        </w:tc>
        <w:tc>
          <w:tcPr>
            <w:tcW w:w="5400" w:type="dxa"/>
            <w:vAlign w:val="top"/>
          </w:tcPr>
          <w:p>
            <w:pPr>
              <w:jc w:val="center"/>
              <w:rPr>
                <w:color w:val="auto"/>
                <w:szCs w:val="21"/>
              </w:rPr>
            </w:pPr>
            <w:r>
              <w:rPr>
                <w:rFonts w:hint="eastAsia"/>
                <w:color w:val="auto"/>
                <w:szCs w:val="21"/>
              </w:rPr>
              <w:t>采集到的信号机故障历史，清除信号机故障历史</w:t>
            </w:r>
          </w:p>
        </w:tc>
      </w:tr>
      <w:tr>
        <w:trPr>
          <w:jc w:val="center"/>
        </w:trPr>
        <w:tc>
          <w:tcPr>
            <w:tcW w:w="750" w:type="dxa"/>
            <w:vAlign w:val="top"/>
          </w:tcPr>
          <w:p>
            <w:pPr>
              <w:jc w:val="center"/>
              <w:rPr>
                <w:color w:val="auto"/>
                <w:szCs w:val="21"/>
              </w:rPr>
            </w:pPr>
            <w:r>
              <w:rPr>
                <w:rFonts w:hint="eastAsia"/>
                <w:color w:val="auto"/>
                <w:szCs w:val="21"/>
              </w:rPr>
              <w:t>37</w:t>
            </w:r>
          </w:p>
        </w:tc>
        <w:tc>
          <w:tcPr>
            <w:tcW w:w="2530" w:type="dxa"/>
            <w:vAlign w:val="top"/>
          </w:tcPr>
          <w:p>
            <w:pPr>
              <w:jc w:val="center"/>
              <w:rPr>
                <w:color w:val="auto"/>
                <w:szCs w:val="21"/>
              </w:rPr>
            </w:pPr>
            <w:r>
              <w:rPr>
                <w:rFonts w:hint="eastAsia"/>
                <w:color w:val="auto"/>
                <w:szCs w:val="21"/>
              </w:rPr>
              <w:t>用户管理</w:t>
            </w:r>
          </w:p>
        </w:tc>
        <w:tc>
          <w:tcPr>
            <w:tcW w:w="5400" w:type="dxa"/>
            <w:vAlign w:val="top"/>
          </w:tcPr>
          <w:p>
            <w:pPr>
              <w:jc w:val="center"/>
              <w:rPr>
                <w:color w:val="auto"/>
                <w:szCs w:val="21"/>
              </w:rPr>
            </w:pPr>
            <w:r>
              <w:rPr>
                <w:rFonts w:hint="eastAsia"/>
                <w:color w:val="auto"/>
                <w:szCs w:val="21"/>
              </w:rPr>
              <w:t>管理系统的使用用户、角色灯设置</w:t>
            </w:r>
          </w:p>
        </w:tc>
      </w:tr>
      <w:tr>
        <w:trPr>
          <w:jc w:val="center"/>
        </w:trPr>
        <w:tc>
          <w:tcPr>
            <w:tcW w:w="750" w:type="dxa"/>
            <w:vAlign w:val="top"/>
          </w:tcPr>
          <w:p>
            <w:pPr>
              <w:jc w:val="center"/>
              <w:rPr>
                <w:color w:val="auto"/>
                <w:szCs w:val="21"/>
              </w:rPr>
            </w:pPr>
            <w:r>
              <w:rPr>
                <w:rFonts w:hint="eastAsia"/>
                <w:color w:val="auto"/>
                <w:szCs w:val="21"/>
              </w:rPr>
              <w:t>38</w:t>
            </w:r>
          </w:p>
        </w:tc>
        <w:tc>
          <w:tcPr>
            <w:tcW w:w="2530" w:type="dxa"/>
            <w:vAlign w:val="top"/>
          </w:tcPr>
          <w:p>
            <w:pPr>
              <w:jc w:val="center"/>
              <w:rPr>
                <w:color w:val="auto"/>
                <w:szCs w:val="21"/>
              </w:rPr>
            </w:pPr>
            <w:r>
              <w:rPr>
                <w:rFonts w:hint="eastAsia"/>
                <w:color w:val="auto"/>
                <w:szCs w:val="21"/>
              </w:rPr>
              <w:t>自动对时</w:t>
            </w:r>
          </w:p>
        </w:tc>
        <w:tc>
          <w:tcPr>
            <w:tcW w:w="5400" w:type="dxa"/>
            <w:vAlign w:val="top"/>
          </w:tcPr>
          <w:p>
            <w:pPr>
              <w:jc w:val="center"/>
              <w:rPr>
                <w:color w:val="auto"/>
                <w:szCs w:val="21"/>
              </w:rPr>
            </w:pPr>
            <w:r>
              <w:rPr>
                <w:rFonts w:hint="eastAsia"/>
                <w:color w:val="auto"/>
                <w:szCs w:val="21"/>
              </w:rPr>
              <w:t>执行对时任务，按照中心服务器的时间与所有信号机对时</w:t>
            </w:r>
          </w:p>
        </w:tc>
      </w:tr>
      <w:tr>
        <w:trPr>
          <w:jc w:val="center"/>
        </w:trPr>
        <w:tc>
          <w:tcPr>
            <w:tcW w:w="750" w:type="dxa"/>
            <w:vAlign w:val="top"/>
          </w:tcPr>
          <w:p>
            <w:pPr>
              <w:jc w:val="center"/>
              <w:rPr>
                <w:color w:val="auto"/>
                <w:szCs w:val="21"/>
              </w:rPr>
            </w:pPr>
            <w:r>
              <w:rPr>
                <w:rFonts w:hint="eastAsia"/>
                <w:color w:val="auto"/>
                <w:szCs w:val="21"/>
              </w:rPr>
              <w:t>39</w:t>
            </w:r>
          </w:p>
        </w:tc>
        <w:tc>
          <w:tcPr>
            <w:tcW w:w="2530" w:type="dxa"/>
            <w:vAlign w:val="top"/>
          </w:tcPr>
          <w:p>
            <w:pPr>
              <w:jc w:val="center"/>
              <w:rPr>
                <w:color w:val="auto"/>
                <w:szCs w:val="21"/>
              </w:rPr>
            </w:pPr>
            <w:r>
              <w:rPr>
                <w:rFonts w:hint="eastAsia"/>
                <w:color w:val="auto"/>
                <w:szCs w:val="21"/>
              </w:rPr>
              <w:t>信号监听</w:t>
            </w:r>
          </w:p>
        </w:tc>
        <w:tc>
          <w:tcPr>
            <w:tcW w:w="5400" w:type="dxa"/>
            <w:vAlign w:val="top"/>
          </w:tcPr>
          <w:p>
            <w:pPr>
              <w:jc w:val="center"/>
              <w:rPr>
                <w:color w:val="auto"/>
                <w:szCs w:val="21"/>
              </w:rPr>
            </w:pPr>
            <w:r>
              <w:rPr>
                <w:rFonts w:hint="eastAsia"/>
                <w:color w:val="auto"/>
                <w:szCs w:val="21"/>
              </w:rPr>
              <w:t>执行接收信号机上传的信号机状态、故障信息任务</w:t>
            </w:r>
          </w:p>
        </w:tc>
      </w:tr>
      <w:tr>
        <w:trPr>
          <w:jc w:val="center"/>
        </w:trPr>
        <w:tc>
          <w:tcPr>
            <w:tcW w:w="750" w:type="dxa"/>
            <w:vAlign w:val="top"/>
          </w:tcPr>
          <w:p>
            <w:pPr>
              <w:jc w:val="center"/>
              <w:rPr>
                <w:color w:val="auto"/>
                <w:szCs w:val="21"/>
              </w:rPr>
            </w:pPr>
            <w:r>
              <w:rPr>
                <w:rFonts w:hint="eastAsia"/>
                <w:color w:val="auto"/>
                <w:szCs w:val="21"/>
              </w:rPr>
              <w:t>40</w:t>
            </w:r>
          </w:p>
        </w:tc>
        <w:tc>
          <w:tcPr>
            <w:tcW w:w="2530" w:type="dxa"/>
            <w:vAlign w:val="top"/>
          </w:tcPr>
          <w:p>
            <w:pPr>
              <w:jc w:val="center"/>
              <w:rPr>
                <w:color w:val="auto"/>
                <w:szCs w:val="21"/>
              </w:rPr>
            </w:pPr>
            <w:r>
              <w:rPr>
                <w:rFonts w:hint="eastAsia"/>
                <w:color w:val="auto"/>
                <w:szCs w:val="21"/>
              </w:rPr>
              <w:t>GPS地图上进行绿波控制</w:t>
            </w:r>
          </w:p>
        </w:tc>
        <w:tc>
          <w:tcPr>
            <w:tcW w:w="5400" w:type="dxa"/>
            <w:vAlign w:val="top"/>
          </w:tcPr>
          <w:p>
            <w:pPr>
              <w:jc w:val="center"/>
              <w:rPr>
                <w:color w:val="auto"/>
                <w:szCs w:val="21"/>
              </w:rPr>
            </w:pPr>
            <w:r>
              <w:rPr>
                <w:rFonts w:hint="eastAsia"/>
                <w:color w:val="auto"/>
                <w:szCs w:val="21"/>
              </w:rPr>
              <w:t>可在GPS地图上直接对路口进行绿波控制</w:t>
            </w:r>
          </w:p>
        </w:tc>
      </w:tr>
      <w:tr>
        <w:trPr>
          <w:jc w:val="center"/>
        </w:trPr>
        <w:tc>
          <w:tcPr>
            <w:tcW w:w="750" w:type="dxa"/>
            <w:vAlign w:val="top"/>
          </w:tcPr>
          <w:p>
            <w:pPr>
              <w:jc w:val="center"/>
              <w:rPr>
                <w:color w:val="auto"/>
                <w:szCs w:val="21"/>
              </w:rPr>
            </w:pPr>
            <w:r>
              <w:rPr>
                <w:rFonts w:hint="eastAsia"/>
                <w:color w:val="auto"/>
                <w:szCs w:val="21"/>
              </w:rPr>
              <w:t>41</w:t>
            </w:r>
          </w:p>
        </w:tc>
        <w:tc>
          <w:tcPr>
            <w:tcW w:w="2530" w:type="dxa"/>
            <w:vAlign w:val="top"/>
          </w:tcPr>
          <w:p>
            <w:pPr>
              <w:jc w:val="center"/>
              <w:rPr>
                <w:color w:val="auto"/>
                <w:szCs w:val="21"/>
              </w:rPr>
            </w:pPr>
            <w:r>
              <w:rPr>
                <w:rFonts w:hint="eastAsia"/>
                <w:color w:val="auto"/>
                <w:szCs w:val="21"/>
              </w:rPr>
              <w:t>对一个信号机进行的交通管制</w:t>
            </w:r>
          </w:p>
        </w:tc>
        <w:tc>
          <w:tcPr>
            <w:tcW w:w="5400" w:type="dxa"/>
            <w:vAlign w:val="top"/>
          </w:tcPr>
          <w:p>
            <w:pPr>
              <w:jc w:val="center"/>
              <w:rPr>
                <w:color w:val="auto"/>
                <w:szCs w:val="21"/>
              </w:rPr>
            </w:pPr>
            <w:r>
              <w:rPr>
                <w:rFonts w:hint="eastAsia"/>
                <w:color w:val="auto"/>
                <w:szCs w:val="21"/>
              </w:rPr>
              <w:t>可对信号机进行交通管制，直接对信号机放行进行控制</w:t>
            </w:r>
          </w:p>
        </w:tc>
      </w:tr>
      <w:tr>
        <w:trPr>
          <w:jc w:val="center"/>
        </w:trPr>
        <w:tc>
          <w:tcPr>
            <w:tcW w:w="750" w:type="dxa"/>
            <w:vAlign w:val="top"/>
          </w:tcPr>
          <w:p>
            <w:pPr>
              <w:jc w:val="center"/>
              <w:rPr>
                <w:color w:val="auto"/>
                <w:szCs w:val="21"/>
              </w:rPr>
            </w:pPr>
            <w:r>
              <w:rPr>
                <w:rFonts w:hint="eastAsia"/>
                <w:color w:val="auto"/>
                <w:szCs w:val="21"/>
              </w:rPr>
              <w:t>42</w:t>
            </w:r>
          </w:p>
        </w:tc>
        <w:tc>
          <w:tcPr>
            <w:tcW w:w="2530" w:type="dxa"/>
            <w:vAlign w:val="top"/>
          </w:tcPr>
          <w:p>
            <w:pPr>
              <w:jc w:val="center"/>
              <w:rPr>
                <w:color w:val="auto"/>
                <w:szCs w:val="21"/>
              </w:rPr>
            </w:pPr>
            <w:r>
              <w:rPr>
                <w:rFonts w:hint="eastAsia"/>
                <w:color w:val="auto"/>
                <w:szCs w:val="21"/>
              </w:rPr>
              <w:t>中心控制GPS地图上对信号机连接状态进行监控</w:t>
            </w:r>
          </w:p>
        </w:tc>
        <w:tc>
          <w:tcPr>
            <w:tcW w:w="5400" w:type="dxa"/>
            <w:vAlign w:val="top"/>
          </w:tcPr>
          <w:p>
            <w:pPr>
              <w:jc w:val="center"/>
              <w:rPr>
                <w:color w:val="auto"/>
                <w:szCs w:val="21"/>
              </w:rPr>
            </w:pPr>
            <w:r>
              <w:rPr>
                <w:rFonts w:hint="eastAsia"/>
                <w:color w:val="auto"/>
                <w:szCs w:val="21"/>
              </w:rPr>
              <w:t>可对信号机连接状态进行监控</w:t>
            </w:r>
          </w:p>
        </w:tc>
      </w:tr>
      <w:tr>
        <w:trPr>
          <w:jc w:val="center"/>
        </w:trPr>
        <w:tc>
          <w:tcPr>
            <w:tcW w:w="750" w:type="dxa"/>
            <w:vAlign w:val="top"/>
          </w:tcPr>
          <w:p>
            <w:pPr>
              <w:jc w:val="center"/>
              <w:rPr>
                <w:color w:val="auto"/>
                <w:szCs w:val="21"/>
              </w:rPr>
            </w:pPr>
            <w:r>
              <w:rPr>
                <w:rFonts w:hint="eastAsia"/>
                <w:color w:val="auto"/>
                <w:szCs w:val="21"/>
              </w:rPr>
              <w:t>43</w:t>
            </w:r>
          </w:p>
        </w:tc>
        <w:tc>
          <w:tcPr>
            <w:tcW w:w="2530" w:type="dxa"/>
            <w:vAlign w:val="top"/>
          </w:tcPr>
          <w:p>
            <w:pPr>
              <w:jc w:val="center"/>
              <w:rPr>
                <w:color w:val="auto"/>
                <w:szCs w:val="21"/>
              </w:rPr>
            </w:pPr>
            <w:r>
              <w:rPr>
                <w:rFonts w:hint="eastAsia"/>
                <w:color w:val="auto"/>
                <w:szCs w:val="21"/>
              </w:rPr>
              <w:t>GPS地图上读取联网信号机信息</w:t>
            </w:r>
          </w:p>
        </w:tc>
        <w:tc>
          <w:tcPr>
            <w:tcW w:w="5400" w:type="dxa"/>
            <w:vAlign w:val="top"/>
          </w:tcPr>
          <w:p>
            <w:pPr>
              <w:jc w:val="center"/>
              <w:rPr>
                <w:color w:val="auto"/>
                <w:szCs w:val="21"/>
              </w:rPr>
            </w:pPr>
            <w:r>
              <w:rPr>
                <w:rFonts w:hint="eastAsia"/>
                <w:color w:val="auto"/>
                <w:szCs w:val="21"/>
              </w:rPr>
              <w:t>在GPS地图上通过鼠标右键可以读取信号机信息</w:t>
            </w:r>
          </w:p>
        </w:tc>
      </w:tr>
      <w:tr>
        <w:trPr>
          <w:jc w:val="center"/>
        </w:trPr>
        <w:tc>
          <w:tcPr>
            <w:tcW w:w="750" w:type="dxa"/>
            <w:vAlign w:val="top"/>
          </w:tcPr>
          <w:p>
            <w:pPr>
              <w:jc w:val="center"/>
              <w:rPr>
                <w:color w:val="auto"/>
                <w:szCs w:val="21"/>
              </w:rPr>
            </w:pPr>
            <w:r>
              <w:rPr>
                <w:rFonts w:hint="eastAsia"/>
                <w:color w:val="auto"/>
                <w:szCs w:val="21"/>
              </w:rPr>
              <w:t>44</w:t>
            </w:r>
          </w:p>
        </w:tc>
        <w:tc>
          <w:tcPr>
            <w:tcW w:w="2530" w:type="dxa"/>
            <w:vAlign w:val="top"/>
          </w:tcPr>
          <w:p>
            <w:pPr>
              <w:jc w:val="center"/>
              <w:rPr>
                <w:color w:val="auto"/>
                <w:szCs w:val="21"/>
              </w:rPr>
            </w:pPr>
            <w:r>
              <w:rPr>
                <w:rFonts w:hint="eastAsia"/>
                <w:color w:val="auto"/>
                <w:szCs w:val="21"/>
              </w:rPr>
              <w:t>GPS地图上读取联网信号机输出通道信息</w:t>
            </w:r>
          </w:p>
        </w:tc>
        <w:tc>
          <w:tcPr>
            <w:tcW w:w="5400" w:type="dxa"/>
            <w:vAlign w:val="top"/>
          </w:tcPr>
          <w:p>
            <w:pPr>
              <w:jc w:val="center"/>
              <w:rPr>
                <w:color w:val="auto"/>
                <w:szCs w:val="21"/>
              </w:rPr>
            </w:pPr>
            <w:r>
              <w:rPr>
                <w:rFonts w:hint="eastAsia"/>
                <w:color w:val="auto"/>
                <w:szCs w:val="21"/>
              </w:rPr>
              <w:t>在GPS地图上通过鼠标右键可以查看联网信号机输出通道信息</w:t>
            </w:r>
          </w:p>
        </w:tc>
      </w:tr>
      <w:tr>
        <w:trPr>
          <w:jc w:val="center"/>
        </w:trPr>
        <w:tc>
          <w:tcPr>
            <w:tcW w:w="750" w:type="dxa"/>
            <w:vAlign w:val="top"/>
          </w:tcPr>
          <w:p>
            <w:pPr>
              <w:jc w:val="center"/>
              <w:rPr>
                <w:color w:val="auto"/>
                <w:szCs w:val="21"/>
              </w:rPr>
            </w:pPr>
            <w:r>
              <w:rPr>
                <w:rFonts w:hint="eastAsia"/>
                <w:color w:val="auto"/>
                <w:szCs w:val="21"/>
              </w:rPr>
              <w:t>45</w:t>
            </w:r>
          </w:p>
        </w:tc>
        <w:tc>
          <w:tcPr>
            <w:tcW w:w="2530" w:type="dxa"/>
            <w:vAlign w:val="top"/>
          </w:tcPr>
          <w:p>
            <w:pPr>
              <w:jc w:val="center"/>
              <w:rPr>
                <w:color w:val="auto"/>
                <w:szCs w:val="21"/>
              </w:rPr>
            </w:pPr>
            <w:r>
              <w:rPr>
                <w:rFonts w:hint="eastAsia"/>
                <w:color w:val="auto"/>
                <w:szCs w:val="21"/>
              </w:rPr>
              <w:t>GPS地图上读取联网信号机配时方案信息</w:t>
            </w:r>
          </w:p>
        </w:tc>
        <w:tc>
          <w:tcPr>
            <w:tcW w:w="5400" w:type="dxa"/>
            <w:vAlign w:val="top"/>
          </w:tcPr>
          <w:p>
            <w:pPr>
              <w:jc w:val="center"/>
              <w:rPr>
                <w:color w:val="auto"/>
                <w:szCs w:val="21"/>
              </w:rPr>
            </w:pPr>
            <w:r>
              <w:rPr>
                <w:rFonts w:hint="eastAsia"/>
                <w:color w:val="auto"/>
                <w:szCs w:val="21"/>
              </w:rPr>
              <w:t>在GPS地图上通过鼠标右键可以查看联网信号机配时方案信息</w:t>
            </w:r>
          </w:p>
        </w:tc>
      </w:tr>
      <w:tr>
        <w:trPr>
          <w:jc w:val="center"/>
        </w:trPr>
        <w:tc>
          <w:tcPr>
            <w:tcW w:w="750" w:type="dxa"/>
            <w:vAlign w:val="top"/>
          </w:tcPr>
          <w:p>
            <w:pPr>
              <w:jc w:val="center"/>
              <w:rPr>
                <w:color w:val="auto"/>
                <w:szCs w:val="21"/>
              </w:rPr>
            </w:pPr>
            <w:r>
              <w:rPr>
                <w:rFonts w:hint="eastAsia"/>
                <w:color w:val="auto"/>
                <w:szCs w:val="21"/>
              </w:rPr>
              <w:t>46</w:t>
            </w:r>
          </w:p>
        </w:tc>
        <w:tc>
          <w:tcPr>
            <w:tcW w:w="2530" w:type="dxa"/>
            <w:vAlign w:val="top"/>
          </w:tcPr>
          <w:p>
            <w:pPr>
              <w:jc w:val="center"/>
              <w:rPr>
                <w:color w:val="auto"/>
                <w:szCs w:val="21"/>
              </w:rPr>
            </w:pPr>
            <w:r>
              <w:rPr>
                <w:rFonts w:hint="eastAsia"/>
                <w:color w:val="auto"/>
                <w:szCs w:val="21"/>
              </w:rPr>
              <w:t>GPS地图上读取联网信号机时段方案信息</w:t>
            </w:r>
          </w:p>
        </w:tc>
        <w:tc>
          <w:tcPr>
            <w:tcW w:w="5400" w:type="dxa"/>
            <w:vAlign w:val="top"/>
          </w:tcPr>
          <w:p>
            <w:pPr>
              <w:jc w:val="center"/>
              <w:rPr>
                <w:color w:val="auto"/>
                <w:szCs w:val="21"/>
              </w:rPr>
            </w:pPr>
            <w:r>
              <w:rPr>
                <w:rFonts w:hint="eastAsia"/>
                <w:color w:val="auto"/>
                <w:szCs w:val="21"/>
              </w:rPr>
              <w:t>在GPS地图上通过鼠标右键可以查看联网信号机时段方案信息</w:t>
            </w:r>
          </w:p>
        </w:tc>
      </w:tr>
      <w:tr>
        <w:trPr>
          <w:jc w:val="center"/>
        </w:trPr>
        <w:tc>
          <w:tcPr>
            <w:tcW w:w="750" w:type="dxa"/>
            <w:vAlign w:val="top"/>
          </w:tcPr>
          <w:p>
            <w:pPr>
              <w:jc w:val="center"/>
              <w:rPr>
                <w:color w:val="auto"/>
                <w:szCs w:val="21"/>
              </w:rPr>
            </w:pPr>
            <w:r>
              <w:rPr>
                <w:rFonts w:hint="eastAsia"/>
                <w:color w:val="auto"/>
                <w:szCs w:val="21"/>
              </w:rPr>
              <w:t>47</w:t>
            </w:r>
          </w:p>
        </w:tc>
        <w:tc>
          <w:tcPr>
            <w:tcW w:w="2530" w:type="dxa"/>
            <w:vAlign w:val="top"/>
          </w:tcPr>
          <w:p>
            <w:pPr>
              <w:jc w:val="center"/>
              <w:rPr>
                <w:color w:val="auto"/>
                <w:szCs w:val="21"/>
              </w:rPr>
            </w:pPr>
            <w:r>
              <w:rPr>
                <w:rFonts w:hint="eastAsia"/>
                <w:color w:val="auto"/>
                <w:szCs w:val="21"/>
              </w:rPr>
              <w:t>GPS地图上读取联网信号机</w:t>
            </w:r>
          </w:p>
        </w:tc>
        <w:tc>
          <w:tcPr>
            <w:tcW w:w="5400" w:type="dxa"/>
            <w:vAlign w:val="top"/>
          </w:tcPr>
          <w:p>
            <w:pPr>
              <w:jc w:val="center"/>
              <w:rPr>
                <w:color w:val="auto"/>
                <w:szCs w:val="21"/>
              </w:rPr>
            </w:pPr>
            <w:r>
              <w:rPr>
                <w:rFonts w:hint="eastAsia"/>
                <w:color w:val="auto"/>
                <w:szCs w:val="21"/>
              </w:rPr>
              <w:t>在GPS地图上通过鼠标右键可以对信号机进行中心控制</w:t>
            </w:r>
          </w:p>
        </w:tc>
      </w:tr>
    </w:tbl>
    <w:p>
      <w:pPr>
        <w:rPr>
          <w:color w:val="auto"/>
        </w:rPr>
      </w:pPr>
    </w:p>
    <w:p>
      <w:pPr>
        <w:rPr>
          <w:color w:val="auto"/>
        </w:rPr>
      </w:pPr>
    </w:p>
    <w:p>
      <w:pPr>
        <w:pStyle w:val="2"/>
        <w:jc w:val="both"/>
        <w:rPr>
          <w:rFonts w:ascii="宋体" w:eastAsia="宋体" w:cs="宋体"/>
          <w:color w:val="auto"/>
          <w:sz w:val="24"/>
          <w:szCs w:val="24"/>
        </w:rPr>
      </w:pPr>
      <w:r>
        <w:rPr>
          <w:rFonts w:hint="eastAsia" w:ascii="宋体" w:eastAsia="宋体" w:cs="宋体"/>
          <w:color w:val="auto"/>
          <w:sz w:val="24"/>
          <w:szCs w:val="24"/>
        </w:rPr>
        <w:t>其它要求：</w:t>
      </w:r>
    </w:p>
    <w:p>
      <w:pPr>
        <w:pStyle w:val="2"/>
        <w:jc w:val="both"/>
        <w:rPr>
          <w:rFonts w:ascii="宋体" w:eastAsia="宋体" w:cs="宋体"/>
          <w:b w:val="0"/>
          <w:bCs/>
          <w:color w:val="auto"/>
          <w:sz w:val="24"/>
          <w:szCs w:val="24"/>
        </w:rPr>
      </w:pPr>
      <w:r>
        <w:rPr>
          <w:rFonts w:hint="eastAsia" w:ascii="宋体" w:eastAsia="宋体" w:cs="宋体"/>
          <w:b w:val="0"/>
          <w:bCs/>
          <w:color w:val="auto"/>
          <w:sz w:val="24"/>
          <w:szCs w:val="24"/>
        </w:rPr>
        <w:t>1、投标单位必须在</w:t>
      </w:r>
      <w:r>
        <w:rPr>
          <w:rFonts w:hint="eastAsia" w:ascii="宋体" w:eastAsia="宋体" w:cs="宋体"/>
          <w:b w:val="0"/>
          <w:bCs/>
          <w:color w:val="auto"/>
          <w:sz w:val="24"/>
          <w:szCs w:val="24"/>
          <w:lang w:eastAsia="zh-CN"/>
        </w:rPr>
        <w:t>开</w:t>
      </w:r>
      <w:r>
        <w:rPr>
          <w:rFonts w:hint="eastAsia" w:ascii="宋体" w:eastAsia="宋体" w:cs="宋体"/>
          <w:b w:val="0"/>
          <w:bCs/>
          <w:color w:val="auto"/>
          <w:sz w:val="24"/>
          <w:szCs w:val="24"/>
        </w:rPr>
        <w:t>标前到采购单位实地勘察，并开具与原有平台互联互通、无缝对接承诺函，</w:t>
      </w:r>
      <w:r>
        <w:rPr>
          <w:rFonts w:hint="eastAsia" w:ascii="宋体" w:cs="宋体"/>
          <w:color w:val="auto"/>
          <w:sz w:val="24"/>
          <w:highlight w:val="none"/>
          <w:shd w:val="clear" w:color="auto" w:fill="auto"/>
        </w:rPr>
        <w:t>如</w:t>
      </w:r>
      <w:r>
        <w:rPr>
          <w:rFonts w:hint="eastAsia" w:ascii="宋体" w:cs="宋体"/>
          <w:color w:val="auto"/>
          <w:sz w:val="24"/>
          <w:highlight w:val="none"/>
          <w:shd w:val="clear" w:color="auto" w:fill="auto"/>
          <w:lang w:eastAsia="zh-CN"/>
        </w:rPr>
        <w:t>签订合同后</w:t>
      </w:r>
      <w:r>
        <w:rPr>
          <w:rFonts w:hint="eastAsia" w:ascii="宋体" w:cs="宋体"/>
          <w:color w:val="auto"/>
          <w:sz w:val="24"/>
          <w:highlight w:val="none"/>
          <w:shd w:val="clear" w:color="auto" w:fill="auto"/>
        </w:rPr>
        <w:t>7日内</w:t>
      </w:r>
      <w:bookmarkStart w:id="68" w:name="_GoBack"/>
      <w:bookmarkEnd w:id="68"/>
      <w:r>
        <w:rPr>
          <w:rFonts w:hint="eastAsia" w:ascii="宋体" w:eastAsia="宋体" w:cs="宋体"/>
          <w:b w:val="0"/>
          <w:bCs/>
          <w:color w:val="auto"/>
          <w:sz w:val="24"/>
          <w:szCs w:val="24"/>
        </w:rPr>
        <w:t>不能实现与原有平台互联互通、无缝对接将取消其中标资格。</w:t>
      </w:r>
    </w:p>
    <w:p>
      <w:pPr>
        <w:pStyle w:val="2"/>
        <w:jc w:val="both"/>
        <w:rPr>
          <w:rFonts w:ascii="宋体" w:eastAsia="宋体" w:cs="宋体"/>
          <w:b w:val="0"/>
          <w:bCs/>
          <w:color w:val="auto"/>
          <w:sz w:val="24"/>
          <w:szCs w:val="24"/>
        </w:rPr>
      </w:pPr>
      <w:r>
        <w:rPr>
          <w:rFonts w:hint="eastAsia" w:ascii="宋体" w:eastAsia="宋体" w:cs="宋体"/>
          <w:b w:val="0"/>
          <w:bCs/>
          <w:color w:val="auto"/>
          <w:sz w:val="24"/>
          <w:szCs w:val="24"/>
        </w:rPr>
        <w:t>2、中标单位在向采购单位提供货物和设备时，必须提供以下全新备用机，24相位智能联网信号机一台、三联体箭头灯、三联体满屏灯、三联体非机动车灯、两联体动态人行灯各一组，如以上备用机不能按时提供，取消其中标资格。</w:t>
      </w:r>
    </w:p>
    <w:p>
      <w:pPr>
        <w:pStyle w:val="2"/>
        <w:jc w:val="both"/>
        <w:rPr>
          <w:rFonts w:ascii="宋体" w:eastAsia="宋体" w:cs="宋体"/>
          <w:b w:val="0"/>
          <w:bCs/>
          <w:color w:val="auto"/>
          <w:sz w:val="24"/>
          <w:szCs w:val="24"/>
        </w:rPr>
      </w:pPr>
      <w:r>
        <w:rPr>
          <w:rFonts w:hint="eastAsia" w:ascii="宋体" w:eastAsia="宋体" w:cs="宋体"/>
          <w:b w:val="0"/>
          <w:bCs/>
          <w:color w:val="auto"/>
          <w:sz w:val="24"/>
          <w:szCs w:val="24"/>
        </w:rPr>
        <w:t>3、资格要求：投标单位必须出具投标产品生产厂家出具的五年免费售后承诺卡（函）。</w:t>
      </w:r>
    </w:p>
    <w:p>
      <w:pPr>
        <w:widowControl/>
        <w:jc w:val="left"/>
        <w:rPr>
          <w:bCs/>
          <w:color w:val="auto"/>
          <w:kern w:val="0"/>
          <w:sz w:val="24"/>
        </w:rPr>
      </w:pPr>
      <w:r>
        <w:rPr>
          <w:rFonts w:hint="eastAsia"/>
          <w:bCs/>
          <w:color w:val="auto"/>
          <w:sz w:val="24"/>
        </w:rPr>
        <w:t>4、中标单位在与采购单位签订合同时，一并签订《工程进度表及安全施工协议》如不能保质保量按照《工程进度表及安全施工协议》施工，扣除10%违约金。</w:t>
      </w:r>
    </w:p>
    <w:p>
      <w:pPr>
        <w:rPr>
          <w:bCs/>
          <w:color w:val="auto"/>
        </w:rPr>
      </w:pPr>
    </w:p>
    <w:p>
      <w:pPr>
        <w:rPr>
          <w:bCs/>
          <w:color w:val="auto"/>
        </w:rPr>
      </w:pPr>
    </w:p>
    <w:p>
      <w:pPr>
        <w:rPr>
          <w:bCs/>
          <w:color w:val="auto"/>
          <w:sz w:val="44"/>
          <w:szCs w:val="44"/>
        </w:rPr>
      </w:pPr>
    </w:p>
    <w:p>
      <w:pPr>
        <w:rPr>
          <w:bCs/>
          <w:color w:val="auto"/>
          <w:sz w:val="44"/>
          <w:szCs w:val="44"/>
        </w:rPr>
      </w:pPr>
    </w:p>
    <w:p>
      <w:pPr>
        <w:rPr>
          <w:bCs/>
          <w:color w:val="auto"/>
          <w:sz w:val="44"/>
          <w:szCs w:val="44"/>
        </w:rPr>
      </w:pPr>
    </w:p>
    <w:p>
      <w:pPr>
        <w:rPr>
          <w:color w:val="auto"/>
          <w:sz w:val="44"/>
          <w:szCs w:val="44"/>
        </w:rPr>
      </w:pPr>
    </w:p>
    <w:p>
      <w:pPr>
        <w:rPr>
          <w:color w:val="auto"/>
          <w:sz w:val="44"/>
          <w:szCs w:val="44"/>
        </w:rPr>
      </w:pPr>
    </w:p>
    <w:p>
      <w:pPr>
        <w:rPr>
          <w:color w:val="auto"/>
          <w:sz w:val="44"/>
          <w:szCs w:val="44"/>
        </w:rPr>
      </w:pPr>
    </w:p>
    <w:p>
      <w:pPr>
        <w:rPr>
          <w:color w:val="auto"/>
          <w:sz w:val="44"/>
          <w:szCs w:val="44"/>
        </w:rPr>
      </w:pPr>
    </w:p>
    <w:p>
      <w:pPr>
        <w:rPr>
          <w:color w:val="auto"/>
          <w:sz w:val="44"/>
          <w:szCs w:val="44"/>
        </w:rPr>
      </w:pPr>
    </w:p>
    <w:p>
      <w:pPr>
        <w:rPr>
          <w:color w:val="auto"/>
          <w:sz w:val="44"/>
          <w:szCs w:val="44"/>
        </w:rPr>
      </w:pPr>
    </w:p>
    <w:p>
      <w:pPr>
        <w:rPr>
          <w:color w:val="auto"/>
          <w:sz w:val="44"/>
          <w:szCs w:val="44"/>
        </w:rPr>
      </w:pPr>
    </w:p>
    <w:p>
      <w:pPr>
        <w:rPr>
          <w:color w:val="auto"/>
          <w:sz w:val="44"/>
          <w:szCs w:val="44"/>
        </w:rPr>
      </w:pPr>
    </w:p>
    <w:p>
      <w:pPr>
        <w:rPr>
          <w:color w:val="auto"/>
          <w:sz w:val="44"/>
          <w:szCs w:val="44"/>
        </w:rPr>
      </w:pPr>
    </w:p>
    <w:p>
      <w:pPr>
        <w:rPr>
          <w:color w:val="auto"/>
          <w:sz w:val="44"/>
          <w:szCs w:val="44"/>
        </w:rPr>
      </w:pPr>
    </w:p>
    <w:p>
      <w:pPr>
        <w:rPr>
          <w:color w:val="auto"/>
          <w:sz w:val="44"/>
          <w:szCs w:val="44"/>
        </w:rPr>
      </w:pPr>
    </w:p>
    <w:p>
      <w:pPr>
        <w:pStyle w:val="2"/>
        <w:rPr>
          <w:color w:val="auto"/>
          <w:sz w:val="44"/>
          <w:szCs w:val="44"/>
        </w:rPr>
      </w:pPr>
      <w:r>
        <w:rPr>
          <w:rFonts w:hint="eastAsia"/>
          <w:color w:val="auto"/>
          <w:sz w:val="44"/>
          <w:szCs w:val="44"/>
        </w:rPr>
        <w:t>第五章   合同签订及条款</w:t>
      </w:r>
      <w:bookmarkEnd w:id="36"/>
    </w:p>
    <w:p>
      <w:pPr>
        <w:pStyle w:val="3"/>
        <w:spacing w:line="440" w:lineRule="exact"/>
        <w:rPr>
          <w:rFonts w:ascii="方正黑体简体" w:eastAsia="方正黑体简体"/>
          <w:color w:val="auto"/>
          <w:sz w:val="30"/>
          <w:szCs w:val="30"/>
        </w:rPr>
      </w:pPr>
      <w:bookmarkStart w:id="37" w:name="_Toc4603"/>
      <w:r>
        <w:rPr>
          <w:rFonts w:hint="eastAsia" w:hAnsi="Times New Roman"/>
          <w:color w:val="auto"/>
        </w:rPr>
        <w:t>1.</w:t>
      </w:r>
      <w:r>
        <w:rPr>
          <w:rFonts w:hint="eastAsia"/>
          <w:color w:val="auto"/>
        </w:rPr>
        <w:t>合同签订</w:t>
      </w:r>
      <w:bookmarkEnd w:id="37"/>
    </w:p>
    <w:p>
      <w:pPr>
        <w:spacing w:line="440" w:lineRule="exact"/>
        <w:outlineLvl w:val="1"/>
        <w:rPr>
          <w:rFonts w:ascii="宋体" w:hAnsi="宋体"/>
          <w:color w:val="auto"/>
          <w:szCs w:val="21"/>
        </w:rPr>
      </w:pPr>
    </w:p>
    <w:p>
      <w:pPr>
        <w:spacing w:line="420" w:lineRule="exact"/>
        <w:rPr>
          <w:rFonts w:ascii="宋体" w:hAnsi="宋体"/>
          <w:color w:val="auto"/>
          <w:szCs w:val="21"/>
        </w:rPr>
      </w:pPr>
      <w:r>
        <w:rPr>
          <w:rFonts w:hint="eastAsia" w:ascii="宋体" w:hAnsi="宋体"/>
          <w:color w:val="auto"/>
          <w:kern w:val="0"/>
          <w:szCs w:val="21"/>
        </w:rPr>
        <w:t>1.1</w:t>
      </w:r>
      <w:r>
        <w:rPr>
          <w:rFonts w:hint="eastAsia" w:ascii="宋体" w:hAnsi="宋体"/>
          <w:color w:val="auto"/>
          <w:szCs w:val="21"/>
        </w:rPr>
        <w:t>中标人应按中标通知书指定的时间、地点，与采购人签订合同。中标人与采购人不得签订背离招标文件实质性内容的合同，否则合同无效。</w:t>
      </w:r>
    </w:p>
    <w:p>
      <w:pPr>
        <w:spacing w:line="420" w:lineRule="exact"/>
        <w:rPr>
          <w:rFonts w:ascii="宋体" w:hAnsi="宋体"/>
          <w:color w:val="auto"/>
          <w:szCs w:val="21"/>
        </w:rPr>
      </w:pPr>
      <w:r>
        <w:rPr>
          <w:rFonts w:hint="eastAsia" w:ascii="宋体" w:hAnsi="宋体"/>
          <w:color w:val="auto"/>
          <w:kern w:val="0"/>
          <w:szCs w:val="21"/>
        </w:rPr>
        <w:t xml:space="preserve">1.2 </w:t>
      </w:r>
      <w:r>
        <w:rPr>
          <w:rFonts w:hint="eastAsia" w:ascii="宋体" w:hAnsi="宋体"/>
          <w:color w:val="auto"/>
          <w:szCs w:val="21"/>
        </w:rPr>
        <w:t>如采购人或中标人拒签合同，则按违约处理。</w:t>
      </w:r>
    </w:p>
    <w:p>
      <w:pPr>
        <w:spacing w:line="420" w:lineRule="exact"/>
        <w:rPr>
          <w:rFonts w:ascii="宋体" w:hAnsi="宋体"/>
          <w:color w:val="auto"/>
          <w:szCs w:val="21"/>
        </w:rPr>
      </w:pPr>
      <w:r>
        <w:rPr>
          <w:rFonts w:hint="eastAsia" w:ascii="宋体" w:hAnsi="宋体"/>
          <w:color w:val="auto"/>
          <w:kern w:val="0"/>
          <w:szCs w:val="21"/>
        </w:rPr>
        <w:t>1.3</w:t>
      </w:r>
      <w:r>
        <w:rPr>
          <w:rFonts w:hint="eastAsia" w:ascii="宋体" w:hAnsi="宋体"/>
          <w:color w:val="auto"/>
          <w:szCs w:val="21"/>
        </w:rPr>
        <w:t>如中标人不按本招标文件要求签订合同，则取消其中标资格，所交纳的投标保证金不予退还。采购人并依法追究中标人的缔约过失责任及其他法律责任。</w:t>
      </w:r>
    </w:p>
    <w:p>
      <w:pPr>
        <w:spacing w:line="420" w:lineRule="exact"/>
        <w:rPr>
          <w:rFonts w:ascii="宋体" w:hAnsi="宋体"/>
          <w:color w:val="auto"/>
          <w:szCs w:val="21"/>
        </w:rPr>
      </w:pPr>
      <w:r>
        <w:rPr>
          <w:rFonts w:hint="eastAsia" w:ascii="宋体" w:hAnsi="宋体"/>
          <w:color w:val="auto"/>
          <w:szCs w:val="21"/>
        </w:rPr>
        <w:t>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p>
    <w:p>
      <w:pPr>
        <w:pStyle w:val="3"/>
        <w:spacing w:line="440" w:lineRule="exact"/>
        <w:rPr>
          <w:rFonts w:ascii="方正黑体简体" w:eastAsia="方正黑体简体"/>
          <w:color w:val="auto"/>
          <w:sz w:val="28"/>
          <w:szCs w:val="28"/>
        </w:rPr>
      </w:pPr>
      <w:bookmarkStart w:id="38" w:name="_Toc2717"/>
      <w:r>
        <w:rPr>
          <w:rFonts w:hint="eastAsia" w:ascii="方正黑体简体" w:eastAsia="方正黑体简体"/>
          <w:color w:val="auto"/>
          <w:sz w:val="28"/>
          <w:szCs w:val="28"/>
        </w:rPr>
        <w:t>2.合同一般条款</w:t>
      </w:r>
      <w:bookmarkEnd w:id="38"/>
    </w:p>
    <w:p>
      <w:pPr>
        <w:snapToGrid w:val="0"/>
        <w:spacing w:line="420" w:lineRule="exact"/>
        <w:rPr>
          <w:rFonts w:ascii="宋体" w:hAnsi="宋体"/>
          <w:bCs/>
          <w:color w:val="auto"/>
          <w:szCs w:val="21"/>
        </w:rPr>
      </w:pPr>
      <w:r>
        <w:rPr>
          <w:rFonts w:hint="eastAsia" w:ascii="宋体" w:hAnsi="宋体"/>
          <w:bCs/>
          <w:color w:val="auto"/>
          <w:szCs w:val="21"/>
        </w:rPr>
        <w:t>2.1、定义</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（1）甲方（需方）即采购人，是指通过招标采购，接受合同货物及服务的各级国家机关、事业单位和团体组织。</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（2）乙方（供方）即中标投标人，是指中标后提供合同货物和服务的自然人、法人及其他组织。</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（3）合同是指由甲乙双方按照招标文件和投标文件的实质性内容，通过协商一致达成的书面协议。</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（4）合同价格指以中标价格为依据，在供方全面履行合同义务后，需方应支付给供方的金额。</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（5）技术资料是指合同货物及其相关的设计、制造、监造、检验、验收等文件（包括图纸、各种文字说明、标准）。</w:t>
      </w:r>
    </w:p>
    <w:p>
      <w:pPr>
        <w:snapToGrid w:val="0"/>
        <w:spacing w:line="420" w:lineRule="exact"/>
        <w:rPr>
          <w:rFonts w:ascii="宋体" w:hAnsi="宋体"/>
          <w:bCs/>
          <w:color w:val="auto"/>
          <w:szCs w:val="21"/>
        </w:rPr>
      </w:pPr>
      <w:r>
        <w:rPr>
          <w:rFonts w:hint="eastAsia" w:ascii="宋体" w:hAnsi="宋体"/>
          <w:bCs/>
          <w:color w:val="auto"/>
          <w:szCs w:val="21"/>
        </w:rPr>
        <w:t>2.2、货物内容</w:t>
      </w:r>
    </w:p>
    <w:p>
      <w:pPr>
        <w:snapToGrid w:val="0"/>
        <w:spacing w:line="420" w:lineRule="exact"/>
        <w:ind w:firstLine="423" w:firstLineChars="200"/>
        <w:rPr>
          <w:rFonts w:ascii="宋体" w:hAnsi="宋体"/>
          <w:color w:val="auto"/>
          <w:szCs w:val="21"/>
        </w:rPr>
      </w:pPr>
      <w:r>
        <w:rPr>
          <w:rFonts w:hint="eastAsia" w:ascii="宋体" w:hAnsi="宋体"/>
          <w:color w:val="auto"/>
          <w:szCs w:val="21"/>
        </w:rPr>
        <w:t>合同包括以下内容：</w:t>
      </w:r>
      <w:r>
        <w:rPr>
          <w:rFonts w:ascii="宋体" w:hAnsi="宋体"/>
          <w:color w:val="auto"/>
          <w:szCs w:val="21"/>
        </w:rPr>
        <w:t>货物名称</w:t>
      </w:r>
      <w:r>
        <w:rPr>
          <w:rFonts w:hint="eastAsia" w:ascii="宋体" w:hAnsi="宋体"/>
          <w:color w:val="auto"/>
          <w:szCs w:val="21"/>
        </w:rPr>
        <w:t>、</w:t>
      </w:r>
      <w:r>
        <w:rPr>
          <w:rFonts w:ascii="宋体" w:hAnsi="宋体"/>
          <w:color w:val="auto"/>
          <w:szCs w:val="21"/>
        </w:rPr>
        <w:t>规格型号</w:t>
      </w:r>
      <w:r>
        <w:rPr>
          <w:rFonts w:hint="eastAsia" w:ascii="宋体" w:hAnsi="宋体"/>
          <w:color w:val="auto"/>
          <w:szCs w:val="21"/>
        </w:rPr>
        <w:t>、</w:t>
      </w:r>
      <w:r>
        <w:rPr>
          <w:rFonts w:ascii="宋体" w:hAnsi="宋体"/>
          <w:color w:val="auto"/>
          <w:szCs w:val="21"/>
        </w:rPr>
        <w:t>技术参数</w:t>
      </w:r>
      <w:r>
        <w:rPr>
          <w:rFonts w:hint="eastAsia" w:ascii="宋体" w:hAnsi="宋体"/>
          <w:color w:val="auto"/>
          <w:szCs w:val="21"/>
        </w:rPr>
        <w:t>、</w:t>
      </w:r>
      <w:r>
        <w:rPr>
          <w:rFonts w:ascii="宋体" w:hAnsi="宋体"/>
          <w:color w:val="auto"/>
          <w:szCs w:val="21"/>
        </w:rPr>
        <w:t>数量（单位）</w:t>
      </w:r>
      <w:r>
        <w:rPr>
          <w:rFonts w:hint="eastAsia" w:ascii="宋体" w:hAnsi="宋体"/>
          <w:color w:val="auto"/>
          <w:szCs w:val="21"/>
        </w:rPr>
        <w:t>等内容。</w:t>
      </w:r>
    </w:p>
    <w:p>
      <w:pPr>
        <w:snapToGrid w:val="0"/>
        <w:spacing w:line="420" w:lineRule="exact"/>
        <w:rPr>
          <w:rFonts w:ascii="宋体" w:hAnsi="宋体"/>
          <w:bCs/>
          <w:color w:val="auto"/>
          <w:szCs w:val="21"/>
        </w:rPr>
      </w:pPr>
      <w:r>
        <w:rPr>
          <w:rFonts w:hint="eastAsia" w:ascii="宋体" w:hAnsi="宋体"/>
          <w:bCs/>
          <w:color w:val="auto"/>
          <w:szCs w:val="21"/>
        </w:rPr>
        <w:t>2.3、合同价格</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（1）合同价格即合同总价。</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2</w:t>
      </w:r>
      <w:r>
        <w:rPr>
          <w:rFonts w:hint="eastAsia" w:ascii="宋体" w:hAnsi="宋体"/>
          <w:bCs/>
          <w:color w:val="auto"/>
          <w:szCs w:val="21"/>
        </w:rPr>
        <w:t>）合同价格包括合同货物、技术资料、合同货物的税费、运杂费、保险费、包装费、装卸费及与货物有关的供方应纳的税费等，所有税费由乙方负担。</w:t>
      </w:r>
    </w:p>
    <w:p>
      <w:pPr>
        <w:snapToGrid w:val="0"/>
        <w:spacing w:line="420" w:lineRule="exact"/>
        <w:rPr>
          <w:rFonts w:ascii="宋体" w:hAnsi="宋体"/>
          <w:bCs/>
          <w:color w:val="auto"/>
          <w:szCs w:val="21"/>
        </w:rPr>
      </w:pPr>
      <w:r>
        <w:rPr>
          <w:rFonts w:hint="eastAsia" w:ascii="宋体" w:hAnsi="宋体"/>
          <w:bCs/>
          <w:color w:val="auto"/>
          <w:szCs w:val="21"/>
        </w:rPr>
        <w:t>2.</w:t>
      </w:r>
      <w:r>
        <w:rPr>
          <w:rFonts w:hint="eastAsia" w:ascii="宋体" w:hAnsi="宋体"/>
          <w:bCs/>
          <w:color w:val="auto"/>
          <w:szCs w:val="21"/>
        </w:rPr>
        <w:t>4</w:t>
      </w:r>
      <w:r>
        <w:rPr>
          <w:rFonts w:hint="eastAsia" w:ascii="黑体" w:hAnsi="宋体" w:eastAsia="黑体"/>
          <w:bCs/>
          <w:color w:val="auto"/>
          <w:szCs w:val="21"/>
        </w:rPr>
        <w:t>、</w:t>
      </w:r>
      <w:r>
        <w:rPr>
          <w:rFonts w:hint="eastAsia" w:ascii="宋体" w:hAnsi="宋体"/>
          <w:bCs/>
          <w:color w:val="auto"/>
          <w:szCs w:val="21"/>
        </w:rPr>
        <w:t>转包或分包</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（1）本合同范围的货物，应由</w:t>
      </w:r>
      <w:r>
        <w:rPr>
          <w:rFonts w:ascii="宋体" w:hAnsi="宋体"/>
          <w:bCs/>
          <w:color w:val="auto"/>
          <w:szCs w:val="21"/>
        </w:rPr>
        <w:t>乙</w:t>
      </w:r>
      <w:r>
        <w:rPr>
          <w:rFonts w:hint="eastAsia" w:ascii="宋体" w:hAnsi="宋体"/>
          <w:bCs/>
          <w:color w:val="auto"/>
          <w:szCs w:val="21"/>
        </w:rPr>
        <w:t>方直接供应，不得转让他人供应；</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（2）非经</w:t>
      </w:r>
      <w:r>
        <w:rPr>
          <w:rFonts w:ascii="宋体" w:hAnsi="宋体"/>
          <w:bCs/>
          <w:color w:val="auto"/>
          <w:szCs w:val="21"/>
        </w:rPr>
        <w:t>甲</w:t>
      </w:r>
      <w:r>
        <w:rPr>
          <w:rFonts w:hint="eastAsia" w:ascii="宋体" w:hAnsi="宋体"/>
          <w:bCs/>
          <w:color w:val="auto"/>
          <w:szCs w:val="21"/>
        </w:rPr>
        <w:t>方书面同意，</w:t>
      </w:r>
      <w:r>
        <w:rPr>
          <w:rFonts w:ascii="宋体" w:hAnsi="宋体"/>
          <w:bCs/>
          <w:color w:val="auto"/>
          <w:szCs w:val="21"/>
        </w:rPr>
        <w:t>乙</w:t>
      </w:r>
      <w:r>
        <w:rPr>
          <w:rFonts w:hint="eastAsia" w:ascii="宋体" w:hAnsi="宋体"/>
          <w:bCs/>
          <w:color w:val="auto"/>
          <w:szCs w:val="21"/>
        </w:rPr>
        <w:t>方不得将本合同范围的货物全部或部分分包给他人供应；</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（3）如有转让和未经</w:t>
      </w:r>
      <w:r>
        <w:rPr>
          <w:rFonts w:ascii="宋体" w:hAnsi="宋体"/>
          <w:bCs/>
          <w:color w:val="auto"/>
          <w:szCs w:val="21"/>
        </w:rPr>
        <w:t>甲</w:t>
      </w:r>
      <w:r>
        <w:rPr>
          <w:rFonts w:hint="eastAsia" w:ascii="宋体" w:hAnsi="宋体"/>
          <w:bCs/>
          <w:color w:val="auto"/>
          <w:szCs w:val="21"/>
        </w:rPr>
        <w:t>方同意的分包行为，</w:t>
      </w:r>
      <w:r>
        <w:rPr>
          <w:rFonts w:ascii="宋体" w:hAnsi="宋体"/>
          <w:bCs/>
          <w:color w:val="auto"/>
          <w:szCs w:val="21"/>
        </w:rPr>
        <w:t>甲</w:t>
      </w:r>
      <w:r>
        <w:rPr>
          <w:rFonts w:hint="eastAsia" w:ascii="宋体" w:hAnsi="宋体"/>
          <w:bCs/>
          <w:color w:val="auto"/>
          <w:szCs w:val="21"/>
        </w:rPr>
        <w:t>方有权解除合同，履约保证金不予退还并追究乙方的违约责任。</w:t>
      </w:r>
    </w:p>
    <w:p>
      <w:pPr>
        <w:pStyle w:val="10"/>
        <w:spacing w:line="420" w:lineRule="exact"/>
        <w:rPr>
          <w:rFonts w:hAnsi="宋体"/>
          <w:color w:val="auto"/>
        </w:rPr>
      </w:pPr>
      <w:r>
        <w:rPr>
          <w:rFonts w:hint="eastAsia" w:hAnsi="宋体"/>
          <w:bCs/>
          <w:color w:val="auto"/>
        </w:rPr>
        <w:t>2.5、</w:t>
      </w:r>
      <w:r>
        <w:rPr>
          <w:rFonts w:hAnsi="宋体"/>
          <w:bCs/>
          <w:color w:val="auto"/>
        </w:rPr>
        <w:t>质量保证及售后服务</w:t>
      </w:r>
    </w:p>
    <w:p>
      <w:pPr>
        <w:pStyle w:val="10"/>
        <w:spacing w:line="420" w:lineRule="exact"/>
        <w:ind w:firstLine="423" w:firstLineChars="200"/>
        <w:rPr>
          <w:rFonts w:hAnsi="宋体"/>
          <w:color w:val="auto"/>
        </w:rPr>
      </w:pPr>
      <w:r>
        <w:rPr>
          <w:rFonts w:hint="eastAsia" w:hAnsi="宋体"/>
          <w:color w:val="auto"/>
        </w:rPr>
        <w:t>（1）</w:t>
      </w:r>
      <w:r>
        <w:rPr>
          <w:rFonts w:hAnsi="宋体"/>
          <w:color w:val="auto"/>
        </w:rPr>
        <w:t>乙方应按招标文件规定的货物性能、技术要求、质量标准向甲方提供未经使用的全新产品。</w:t>
      </w:r>
    </w:p>
    <w:p>
      <w:pPr>
        <w:pStyle w:val="10"/>
        <w:spacing w:line="420" w:lineRule="exact"/>
        <w:ind w:firstLine="423" w:firstLineChars="200"/>
        <w:rPr>
          <w:rFonts w:hAnsi="宋体"/>
          <w:color w:val="auto"/>
        </w:rPr>
      </w:pPr>
      <w:r>
        <w:rPr>
          <w:rFonts w:hint="eastAsia" w:hAnsi="宋体"/>
          <w:color w:val="auto"/>
        </w:rPr>
        <w:t>（2）</w:t>
      </w:r>
      <w:r>
        <w:rPr>
          <w:rFonts w:hAnsi="宋体"/>
          <w:color w:val="auto"/>
        </w:rPr>
        <w:t>乙方提供的货物在质</w:t>
      </w:r>
      <w:r>
        <w:rPr>
          <w:rFonts w:hint="eastAsia" w:hAnsi="宋体"/>
          <w:color w:val="auto"/>
        </w:rPr>
        <w:t>保</w:t>
      </w:r>
      <w:r>
        <w:rPr>
          <w:rFonts w:hAnsi="宋体"/>
          <w:color w:val="auto"/>
        </w:rPr>
        <w:t>期内因货物本身的质量问题发生故障，乙方应负责免费更换。对达不到技术要求者，根据实际情况，经双方协商，可按以下办法处理：</w:t>
      </w:r>
    </w:p>
    <w:p>
      <w:pPr>
        <w:pStyle w:val="10"/>
        <w:spacing w:line="420" w:lineRule="exact"/>
        <w:ind w:firstLine="423" w:firstLineChars="200"/>
        <w:rPr>
          <w:rFonts w:hAnsi="宋体"/>
          <w:color w:val="auto"/>
        </w:rPr>
      </w:pPr>
      <w:r>
        <w:rPr>
          <w:rFonts w:hint="eastAsia" w:hAnsi="宋体"/>
          <w:color w:val="auto"/>
        </w:rPr>
        <w:t>A、</w:t>
      </w:r>
      <w:r>
        <w:rPr>
          <w:rFonts w:hAnsi="宋体"/>
          <w:color w:val="auto"/>
        </w:rPr>
        <w:t>更换：由乙方承担所发生的全部费用。</w:t>
      </w:r>
    </w:p>
    <w:p>
      <w:pPr>
        <w:pStyle w:val="10"/>
        <w:spacing w:line="420" w:lineRule="exact"/>
        <w:ind w:firstLine="423" w:firstLineChars="200"/>
        <w:rPr>
          <w:rFonts w:hAnsi="宋体"/>
          <w:color w:val="auto"/>
        </w:rPr>
      </w:pPr>
      <w:r>
        <w:rPr>
          <w:rFonts w:hint="eastAsia" w:hAnsi="宋体"/>
          <w:color w:val="auto"/>
        </w:rPr>
        <w:t>B、</w:t>
      </w:r>
      <w:r>
        <w:rPr>
          <w:rFonts w:hAnsi="宋体"/>
          <w:color w:val="auto"/>
        </w:rPr>
        <w:t>退货处理：乙方应退还甲方支付的合同款，同时应承担该货物的直接费用（运输、保险、检验、货款利息及银行手续费等）。</w:t>
      </w:r>
    </w:p>
    <w:p>
      <w:pPr>
        <w:pStyle w:val="10"/>
        <w:spacing w:line="420" w:lineRule="exact"/>
        <w:ind w:firstLine="423" w:firstLineChars="200"/>
        <w:rPr>
          <w:rFonts w:hAnsi="宋体"/>
          <w:color w:val="auto"/>
        </w:rPr>
      </w:pPr>
      <w:r>
        <w:rPr>
          <w:rFonts w:hint="eastAsia" w:hAnsi="宋体"/>
          <w:color w:val="auto"/>
        </w:rPr>
        <w:t>（3）</w:t>
      </w:r>
      <w:r>
        <w:rPr>
          <w:rFonts w:hAnsi="宋体"/>
          <w:color w:val="auto"/>
        </w:rPr>
        <w:t>如在使用过程中发生质量问题，乙方在接到甲方通知后在</w:t>
      </w:r>
      <w:r>
        <w:rPr>
          <w:rFonts w:hint="eastAsia" w:hAnsi="宋体"/>
          <w:color w:val="auto"/>
          <w:u w:val="single"/>
        </w:rPr>
        <w:t>X</w:t>
      </w:r>
      <w:r>
        <w:rPr>
          <w:rFonts w:hAnsi="宋体"/>
          <w:color w:val="auto"/>
        </w:rPr>
        <w:t>小时内到达甲方现场。</w:t>
      </w:r>
    </w:p>
    <w:p>
      <w:pPr>
        <w:pStyle w:val="10"/>
        <w:spacing w:line="420" w:lineRule="exact"/>
        <w:ind w:firstLine="423" w:firstLineChars="200"/>
        <w:rPr>
          <w:rFonts w:hAnsi="宋体"/>
          <w:color w:val="auto"/>
        </w:rPr>
      </w:pPr>
      <w:r>
        <w:rPr>
          <w:rFonts w:hint="eastAsia" w:hAnsi="宋体"/>
          <w:color w:val="auto"/>
        </w:rPr>
        <w:t>（4）</w:t>
      </w:r>
      <w:r>
        <w:rPr>
          <w:rFonts w:hAnsi="宋体"/>
          <w:color w:val="auto"/>
        </w:rPr>
        <w:t>在质保期内，乙方应对货物出现的质量及安全问题负责处理解决并承担一切费用。</w:t>
      </w:r>
    </w:p>
    <w:p>
      <w:pPr>
        <w:pStyle w:val="10"/>
        <w:spacing w:line="420" w:lineRule="exact"/>
        <w:ind w:firstLine="423" w:firstLineChars="200"/>
        <w:rPr>
          <w:rFonts w:hAnsi="宋体"/>
          <w:color w:val="auto"/>
        </w:rPr>
      </w:pPr>
      <w:r>
        <w:rPr>
          <w:rFonts w:hint="eastAsia" w:hAnsi="宋体"/>
          <w:color w:val="auto"/>
        </w:rPr>
        <w:t>（5）</w:t>
      </w:r>
      <w:r>
        <w:rPr>
          <w:rFonts w:hAnsi="宋体"/>
          <w:color w:val="auto"/>
        </w:rPr>
        <w:t>上述货物的免费保修期为</w:t>
      </w:r>
      <w:r>
        <w:rPr>
          <w:rFonts w:hint="eastAsia" w:hAnsi="宋体"/>
          <w:color w:val="auto"/>
          <w:u w:val="single"/>
        </w:rPr>
        <w:t>X</w:t>
      </w:r>
      <w:r>
        <w:rPr>
          <w:rFonts w:hAnsi="宋体"/>
          <w:color w:val="auto"/>
        </w:rPr>
        <w:t>年。超过保修期的机器设备，终生维修，维修时只收部件成本费。</w:t>
      </w:r>
    </w:p>
    <w:p>
      <w:pPr>
        <w:snapToGrid w:val="0"/>
        <w:spacing w:line="420" w:lineRule="exact"/>
        <w:ind w:firstLine="423" w:firstLineChars="200"/>
        <w:rPr>
          <w:rFonts w:ascii="宋体" w:hAnsi="宋体"/>
          <w:bCs/>
          <w:color w:val="auto"/>
          <w:szCs w:val="21"/>
        </w:rPr>
      </w:pPr>
      <w:r>
        <w:rPr>
          <w:rFonts w:hint="eastAsia" w:ascii="宋体" w:hAnsi="宋体"/>
          <w:bCs/>
          <w:color w:val="auto"/>
          <w:szCs w:val="21"/>
        </w:rPr>
        <w:t>（6）乙方提供的货物由原厂提供售后服务的，乙方必须提供原厂商出具的售后服务承诺函（原件）。</w:t>
      </w:r>
    </w:p>
    <w:p>
      <w:pPr>
        <w:snapToGrid w:val="0"/>
        <w:spacing w:line="420" w:lineRule="exact"/>
        <w:rPr>
          <w:rFonts w:ascii="宋体" w:hAnsi="宋体"/>
          <w:bCs/>
          <w:color w:val="auto"/>
          <w:szCs w:val="21"/>
        </w:rPr>
      </w:pPr>
      <w:r>
        <w:rPr>
          <w:rFonts w:hint="eastAsia" w:ascii="宋体" w:hAnsi="宋体"/>
          <w:bCs/>
          <w:color w:val="auto"/>
          <w:szCs w:val="21"/>
        </w:rPr>
        <w:t>2.6、付款</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1</w:t>
      </w:r>
      <w:r>
        <w:rPr>
          <w:rFonts w:hint="eastAsia" w:ascii="宋体" w:hAnsi="宋体"/>
          <w:bCs/>
          <w:color w:val="auto"/>
          <w:szCs w:val="21"/>
        </w:rPr>
        <w:t>）本合同使用货币币制为人民币。</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2</w:t>
      </w:r>
      <w:r>
        <w:rPr>
          <w:rFonts w:hint="eastAsia" w:ascii="宋体" w:hAnsi="宋体"/>
          <w:bCs/>
          <w:color w:val="auto"/>
          <w:szCs w:val="21"/>
        </w:rPr>
        <w:t xml:space="preserve">）付款方式及方法：按专用条款执行。 </w:t>
      </w:r>
    </w:p>
    <w:p>
      <w:pPr>
        <w:snapToGrid w:val="0"/>
        <w:spacing w:line="420" w:lineRule="exact"/>
        <w:rPr>
          <w:rFonts w:ascii="宋体" w:hAnsi="宋体"/>
          <w:bCs/>
          <w:color w:val="auto"/>
          <w:szCs w:val="21"/>
        </w:rPr>
      </w:pPr>
      <w:r>
        <w:rPr>
          <w:rFonts w:hint="eastAsia" w:ascii="宋体" w:hAnsi="宋体"/>
          <w:bCs/>
          <w:color w:val="auto"/>
          <w:szCs w:val="21"/>
        </w:rPr>
        <w:t>2.7、检查验收</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w:t>
      </w:r>
      <w:r>
        <w:rPr>
          <w:rFonts w:ascii="宋体" w:hAnsi="宋体"/>
          <w:bCs/>
          <w:color w:val="auto"/>
          <w:szCs w:val="21"/>
        </w:rPr>
        <w:t>1</w:t>
      </w:r>
      <w:r>
        <w:rPr>
          <w:rFonts w:hint="eastAsia" w:ascii="宋体" w:hAnsi="宋体"/>
          <w:bCs/>
          <w:color w:val="auto"/>
          <w:szCs w:val="21"/>
        </w:rPr>
        <w:t>）供方应随货物提供合格证和质量证明文件，如是国外进口的货物还须提供入关证明。</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（2）货物验收</w:t>
      </w:r>
    </w:p>
    <w:p>
      <w:pPr>
        <w:snapToGrid w:val="0"/>
        <w:spacing w:line="420" w:lineRule="exact"/>
        <w:ind w:firstLine="570"/>
        <w:rPr>
          <w:rFonts w:ascii="宋体" w:hAnsi="宋体"/>
          <w:bCs/>
          <w:color w:val="auto"/>
          <w:szCs w:val="21"/>
        </w:rPr>
      </w:pPr>
      <w:r>
        <w:rPr>
          <w:rFonts w:hint="eastAsia" w:ascii="宋体" w:hAnsi="宋体"/>
          <w:bCs/>
          <w:color w:val="auto"/>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20" w:lineRule="exact"/>
        <w:ind w:firstLine="212" w:firstLineChars="100"/>
        <w:rPr>
          <w:rFonts w:ascii="宋体" w:hAnsi="宋体"/>
          <w:bCs/>
          <w:color w:val="auto"/>
          <w:szCs w:val="21"/>
        </w:rPr>
      </w:pPr>
      <w:r>
        <w:rPr>
          <w:rFonts w:hint="eastAsia" w:ascii="宋体" w:hAnsi="宋体"/>
          <w:bCs/>
          <w:color w:val="auto"/>
          <w:szCs w:val="21"/>
        </w:rPr>
        <w:t>（3）货物验收报告应由需方、供方经办人签字，并加盖双方公章，以此作为支付凭据。</w:t>
      </w:r>
    </w:p>
    <w:p>
      <w:pPr>
        <w:snapToGrid w:val="0"/>
        <w:spacing w:line="420" w:lineRule="exact"/>
        <w:rPr>
          <w:rFonts w:ascii="宋体" w:hAnsi="宋体"/>
          <w:bCs/>
          <w:color w:val="auto"/>
          <w:szCs w:val="21"/>
        </w:rPr>
      </w:pPr>
      <w:r>
        <w:rPr>
          <w:rFonts w:hint="eastAsia" w:ascii="宋体" w:hAnsi="宋体"/>
          <w:bCs/>
          <w:color w:val="auto"/>
          <w:szCs w:val="21"/>
        </w:rPr>
        <w:t>2.8、索赔</w:t>
      </w:r>
    </w:p>
    <w:p>
      <w:pPr>
        <w:snapToGrid w:val="0"/>
        <w:spacing w:line="420" w:lineRule="exact"/>
        <w:ind w:firstLine="423" w:firstLineChars="200"/>
        <w:rPr>
          <w:rFonts w:ascii="宋体" w:hAnsi="宋体"/>
          <w:bCs/>
          <w:color w:val="auto"/>
          <w:szCs w:val="21"/>
        </w:rPr>
      </w:pPr>
      <w:r>
        <w:rPr>
          <w:rFonts w:hint="eastAsia" w:ascii="宋体" w:hAnsi="宋体"/>
          <w:bCs/>
          <w:color w:val="auto"/>
          <w:szCs w:val="21"/>
        </w:rPr>
        <w:t>供方所提供货物、工程或者服务不符合合同约定的，需方有权拒收货物、拒绝服务、解除合同，供方应赔偿需方所有损失。</w:t>
      </w:r>
    </w:p>
    <w:p>
      <w:pPr>
        <w:pStyle w:val="10"/>
        <w:spacing w:line="420" w:lineRule="exact"/>
        <w:rPr>
          <w:rFonts w:hAnsi="宋体"/>
          <w:bCs/>
          <w:color w:val="auto"/>
        </w:rPr>
      </w:pPr>
      <w:r>
        <w:rPr>
          <w:rFonts w:hint="eastAsia" w:hAnsi="宋体"/>
          <w:bCs/>
          <w:color w:val="auto"/>
        </w:rPr>
        <w:t>2.9、</w:t>
      </w:r>
      <w:r>
        <w:rPr>
          <w:rFonts w:hAnsi="宋体"/>
          <w:bCs/>
          <w:color w:val="auto"/>
        </w:rPr>
        <w:t>知识产权</w:t>
      </w:r>
    </w:p>
    <w:p>
      <w:pPr>
        <w:snapToGrid w:val="0"/>
        <w:spacing w:line="420" w:lineRule="exact"/>
        <w:ind w:firstLine="317" w:firstLineChars="150"/>
        <w:rPr>
          <w:rFonts w:ascii="宋体" w:hAnsi="宋体"/>
          <w:bCs/>
          <w:color w:val="auto"/>
          <w:szCs w:val="21"/>
        </w:rPr>
      </w:pPr>
      <w:r>
        <w:rPr>
          <w:rFonts w:ascii="宋体" w:hAnsi="宋体"/>
          <w:bCs/>
          <w:color w:val="auto"/>
          <w:szCs w:val="21"/>
        </w:rPr>
        <w:t>乙方应保证所提供的货物或其任何一部分均不会侵犯任何第三方的知识产权</w:t>
      </w:r>
      <w:r>
        <w:rPr>
          <w:rFonts w:hint="eastAsia" w:ascii="宋体" w:hAnsi="宋体"/>
          <w:bCs/>
          <w:color w:val="auto"/>
          <w:szCs w:val="21"/>
        </w:rPr>
        <w:t>，如若出现侵权行为，由乙方付全部责任</w:t>
      </w:r>
      <w:r>
        <w:rPr>
          <w:rFonts w:ascii="宋体" w:hAnsi="宋体"/>
          <w:bCs/>
          <w:color w:val="auto"/>
          <w:szCs w:val="21"/>
        </w:rPr>
        <w:t>。</w:t>
      </w:r>
    </w:p>
    <w:p>
      <w:pPr>
        <w:autoSpaceDE w:val="0"/>
        <w:autoSpaceDN w:val="0"/>
        <w:spacing w:line="420" w:lineRule="exact"/>
        <w:rPr>
          <w:rFonts w:ascii="宋体" w:hAnsi="宋体" w:cs="宋体"/>
          <w:color w:val="auto"/>
          <w:szCs w:val="21"/>
          <w:lang w:val="zh-CN"/>
        </w:rPr>
      </w:pPr>
      <w:r>
        <w:rPr>
          <w:rFonts w:hint="eastAsia" w:hAnsi="宋体"/>
          <w:bCs/>
          <w:color w:val="auto"/>
        </w:rPr>
        <w:t>2.10</w:t>
      </w:r>
      <w:r>
        <w:rPr>
          <w:rFonts w:hint="eastAsia" w:ascii="宋体" w:hAnsi="宋体" w:cs="宋体"/>
          <w:b/>
          <w:color w:val="auto"/>
          <w:szCs w:val="21"/>
          <w:lang w:val="zh-CN"/>
        </w:rPr>
        <w:t>、人员培训（选择性条款）：</w:t>
      </w:r>
      <w:r>
        <w:rPr>
          <w:rFonts w:hint="eastAsia" w:ascii="宋体" w:hAnsi="宋体" w:cs="宋体"/>
          <w:color w:val="auto"/>
          <w:szCs w:val="21"/>
          <w:lang w:val="zh-CN"/>
        </w:rPr>
        <w:t>供方免费对需方人员进行技术培训，直到需方人员熟练操作或掌握为准。</w:t>
      </w:r>
    </w:p>
    <w:p>
      <w:pPr>
        <w:autoSpaceDE w:val="0"/>
        <w:autoSpaceDN w:val="0"/>
        <w:spacing w:line="420" w:lineRule="exact"/>
        <w:rPr>
          <w:rFonts w:ascii="宋体" w:hAnsi="宋体" w:cs="宋体"/>
          <w:color w:val="auto"/>
          <w:szCs w:val="21"/>
          <w:u w:val="single"/>
          <w:lang w:val="zh-CN"/>
        </w:rPr>
      </w:pPr>
      <w:r>
        <w:rPr>
          <w:rFonts w:hint="eastAsia" w:ascii="宋体" w:hAnsi="宋体" w:cs="宋体"/>
          <w:color w:val="auto"/>
          <w:szCs w:val="21"/>
          <w:lang w:val="zh-CN"/>
        </w:rPr>
        <w:t>培训地点：</w:t>
      </w:r>
      <w:r>
        <w:rPr>
          <w:rFonts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；培训时间：</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autoSpaceDE w:val="0"/>
        <w:autoSpaceDN w:val="0"/>
        <w:spacing w:line="420" w:lineRule="exact"/>
        <w:rPr>
          <w:rFonts w:ascii="宋体" w:hAnsi="宋体"/>
          <w:bCs/>
          <w:color w:val="auto"/>
          <w:szCs w:val="21"/>
        </w:rPr>
      </w:pPr>
      <w:r>
        <w:rPr>
          <w:rFonts w:hint="eastAsia" w:ascii="宋体" w:hAnsi="宋体" w:cs="宋体"/>
          <w:color w:val="auto"/>
          <w:szCs w:val="21"/>
          <w:lang w:val="zh-CN"/>
        </w:rPr>
        <w:t>培训方式：</w:t>
      </w:r>
      <w:r>
        <w:rPr>
          <w:rFonts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u w:val="single"/>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snapToGrid w:val="0"/>
        <w:spacing w:line="420" w:lineRule="exact"/>
        <w:rPr>
          <w:rFonts w:ascii="宋体" w:hAnsi="宋体"/>
          <w:bCs/>
          <w:color w:val="auto"/>
          <w:szCs w:val="21"/>
        </w:rPr>
      </w:pPr>
      <w:r>
        <w:rPr>
          <w:rFonts w:hint="eastAsia" w:ascii="宋体" w:hAnsi="宋体"/>
          <w:bCs/>
          <w:color w:val="auto"/>
          <w:szCs w:val="21"/>
        </w:rPr>
        <w:t>2.11、违约责任</w:t>
      </w:r>
    </w:p>
    <w:p>
      <w:pPr>
        <w:snapToGrid w:val="0"/>
        <w:spacing w:line="420" w:lineRule="exact"/>
        <w:ind w:firstLine="423" w:firstLineChars="200"/>
        <w:rPr>
          <w:rFonts w:ascii="方正黑体简体" w:eastAsia="方正黑体简体"/>
          <w:color w:val="auto"/>
          <w:sz w:val="28"/>
          <w:szCs w:val="28"/>
        </w:rPr>
      </w:pPr>
      <w:r>
        <w:rPr>
          <w:rFonts w:hint="eastAsia" w:ascii="宋体" w:hAnsi="宋体"/>
          <w:bCs/>
          <w:color w:val="auto"/>
          <w:szCs w:val="21"/>
        </w:rPr>
        <w:t>按专用条款及招标文件的其他有关约定执行。专用条款及招标文件约定不明或未约定的，按照《中华人民共和国合同法》、《中华人民共和国政府采购法》的有关规定执行。</w:t>
      </w:r>
      <w:bookmarkStart w:id="39" w:name="_Toc18602"/>
    </w:p>
    <w:p>
      <w:pPr>
        <w:pStyle w:val="3"/>
        <w:spacing w:line="440" w:lineRule="exact"/>
        <w:rPr>
          <w:rFonts w:ascii="方正黑体简体" w:eastAsia="方正黑体简体"/>
          <w:color w:val="auto"/>
          <w:sz w:val="28"/>
          <w:szCs w:val="28"/>
        </w:rPr>
      </w:pPr>
      <w:r>
        <w:rPr>
          <w:rFonts w:hint="eastAsia" w:ascii="方正黑体简体" w:eastAsia="方正黑体简体"/>
          <w:color w:val="auto"/>
          <w:sz w:val="28"/>
          <w:szCs w:val="28"/>
        </w:rPr>
        <w:t>3．合同专用条款（特别约定条款）</w:t>
      </w:r>
      <w:bookmarkEnd w:id="39"/>
    </w:p>
    <w:p>
      <w:pPr>
        <w:spacing w:line="440" w:lineRule="exact"/>
        <w:jc w:val="center"/>
        <w:rPr>
          <w:rFonts w:ascii="宋体" w:hAnsi="宋体"/>
          <w:b/>
          <w:color w:val="auto"/>
          <w:szCs w:val="21"/>
        </w:rPr>
      </w:pPr>
      <w:r>
        <w:rPr>
          <w:rFonts w:hint="eastAsia" w:ascii="方正北魏楷书简体" w:eastAsia="方正北魏楷书简体"/>
          <w:b/>
          <w:color w:val="auto"/>
          <w:szCs w:val="21"/>
        </w:rPr>
        <w:t>（注：可结合具体招标项目进行更明确的约定）</w:t>
      </w:r>
    </w:p>
    <w:p>
      <w:pPr>
        <w:spacing w:line="440" w:lineRule="exact"/>
        <w:jc w:val="center"/>
        <w:rPr>
          <w:rFonts w:ascii="宋体" w:hAnsi="宋体"/>
          <w:b/>
          <w:color w:val="auto"/>
          <w:szCs w:val="21"/>
        </w:rPr>
      </w:pPr>
      <w:r>
        <w:rPr>
          <w:rFonts w:hint="eastAsia" w:ascii="宋体" w:hAnsi="宋体"/>
          <w:b/>
          <w:color w:val="auto"/>
          <w:sz w:val="24"/>
        </w:rPr>
        <w:t>温县政府集中采购合同</w:t>
      </w:r>
    </w:p>
    <w:p>
      <w:pPr>
        <w:spacing w:line="440" w:lineRule="exact"/>
        <w:rPr>
          <w:rFonts w:ascii="宋体" w:hAnsi="宋体" w:cs="宋体"/>
          <w:color w:val="auto"/>
          <w:szCs w:val="21"/>
          <w:u w:val="single"/>
          <w:lang w:val="zh-CN"/>
        </w:rPr>
      </w:pPr>
      <w:r>
        <w:rPr>
          <w:rFonts w:ascii="宋体" w:hAnsi="宋体"/>
          <w:color w:val="auto"/>
          <w:szCs w:val="21"/>
        </w:rPr>
        <w:t xml:space="preserve"> </w:t>
      </w:r>
      <w:r>
        <w:rPr>
          <w:rFonts w:hint="eastAsia" w:ascii="宋体" w:hAnsi="宋体"/>
          <w:color w:val="auto"/>
          <w:szCs w:val="21"/>
        </w:rPr>
        <w:t xml:space="preserve">                                             </w:t>
      </w:r>
      <w:r>
        <w:rPr>
          <w:rFonts w:hint="eastAsia" w:ascii="宋体" w:hAnsi="宋体" w:cs="宋体"/>
          <w:color w:val="auto"/>
          <w:szCs w:val="21"/>
          <w:lang w:val="zh-CN"/>
        </w:rPr>
        <w:t>合同编号：</w:t>
      </w:r>
      <w:r>
        <w:rPr>
          <w:rFonts w:ascii="宋体" w:hAnsi="宋体" w:cs="宋体"/>
          <w:color w:val="auto"/>
          <w:szCs w:val="21"/>
          <w:u w:val="single"/>
          <w:lang w:val="zh-CN"/>
        </w:rPr>
        <w:t xml:space="preserve">          </w:t>
      </w:r>
    </w:p>
    <w:p>
      <w:pPr>
        <w:spacing w:line="380" w:lineRule="exact"/>
        <w:rPr>
          <w:rFonts w:ascii="宋体" w:hAnsi="宋体" w:cs="宋体"/>
          <w:color w:val="auto"/>
          <w:szCs w:val="21"/>
          <w:u w:val="single"/>
          <w:lang w:val="zh-CN"/>
        </w:rPr>
      </w:pPr>
      <w:r>
        <w:rPr>
          <w:rFonts w:hint="eastAsia" w:ascii="宋体" w:hAnsi="宋体" w:cs="宋体"/>
          <w:color w:val="auto"/>
          <w:szCs w:val="21"/>
          <w:lang w:val="zh-CN"/>
        </w:rPr>
        <w:t>需方（甲方）（采购人全称）：</w:t>
      </w:r>
      <w:r>
        <w:rPr>
          <w:rFonts w:ascii="宋体" w:hAnsi="宋体" w:cs="宋体"/>
          <w:color w:val="auto"/>
          <w:szCs w:val="21"/>
          <w:u w:val="single"/>
          <w:lang w:val="zh-CN"/>
        </w:rPr>
        <w:t xml:space="preserve">                        </w:t>
      </w:r>
    </w:p>
    <w:p>
      <w:pPr>
        <w:spacing w:line="380" w:lineRule="exact"/>
        <w:rPr>
          <w:rFonts w:ascii="宋体" w:hAnsi="宋体" w:cs="宋体"/>
          <w:color w:val="auto"/>
          <w:szCs w:val="21"/>
          <w:u w:val="single"/>
          <w:lang w:val="zh-CN"/>
        </w:rPr>
      </w:pPr>
      <w:r>
        <w:rPr>
          <w:rFonts w:hint="eastAsia" w:ascii="宋体" w:hAnsi="宋体" w:cs="宋体"/>
          <w:color w:val="auto"/>
          <w:szCs w:val="21"/>
          <w:lang w:val="zh-CN"/>
        </w:rPr>
        <w:t>供方（乙方）（中标投标人全称）：</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p>
    <w:p>
      <w:pPr>
        <w:spacing w:line="380" w:lineRule="exact"/>
        <w:rPr>
          <w:rFonts w:ascii="宋体" w:hAnsi="宋体" w:cs="宋体"/>
          <w:color w:val="auto"/>
          <w:szCs w:val="21"/>
          <w:lang w:val="zh-CN"/>
        </w:rPr>
      </w:pPr>
      <w:r>
        <w:rPr>
          <w:rFonts w:hint="eastAsia" w:ascii="宋体" w:hAnsi="宋体" w:cs="宋体"/>
          <w:color w:val="auto"/>
          <w:szCs w:val="21"/>
          <w:lang w:val="zh-CN"/>
        </w:rPr>
        <w:t>供方持</w:t>
      </w:r>
      <w:r>
        <w:rPr>
          <w:rFonts w:hint="eastAsia" w:ascii="宋体" w:hAnsi="宋体" w:cs="宋体"/>
          <w:color w:val="auto"/>
          <w:szCs w:val="21"/>
          <w:u w:val="single"/>
        </w:rPr>
        <w:t xml:space="preserve">              </w:t>
      </w:r>
      <w:r>
        <w:rPr>
          <w:rFonts w:hint="eastAsia" w:ascii="宋体" w:hAnsi="宋体" w:cs="宋体"/>
          <w:color w:val="auto"/>
          <w:szCs w:val="21"/>
          <w:lang w:val="zh-CN"/>
        </w:rPr>
        <w:t>签发的中标</w:t>
      </w:r>
      <w:r>
        <w:rPr>
          <w:rFonts w:ascii="宋体" w:hAnsi="宋体" w:cs="宋体"/>
          <w:color w:val="auto"/>
          <w:szCs w:val="21"/>
          <w:lang w:val="zh-CN"/>
        </w:rPr>
        <w:t>/</w:t>
      </w:r>
      <w:r>
        <w:rPr>
          <w:rFonts w:hint="eastAsia" w:ascii="宋体" w:hAnsi="宋体" w:cs="宋体"/>
          <w:color w:val="auto"/>
          <w:szCs w:val="21"/>
          <w:lang w:val="zh-CN"/>
        </w:rPr>
        <w:t>成交通知书，根据招标文件、供方的投标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ascii="宋体" w:hAnsi="宋体" w:cs="宋体"/>
          <w:color w:val="auto"/>
          <w:szCs w:val="21"/>
          <w:lang w:val="zh-CN"/>
        </w:rPr>
        <w:t>]</w:t>
      </w:r>
      <w:r>
        <w:rPr>
          <w:rFonts w:hint="eastAsia" w:ascii="宋体" w:hAnsi="宋体" w:cs="宋体"/>
          <w:color w:val="auto"/>
          <w:szCs w:val="21"/>
          <w:lang w:val="zh-CN"/>
        </w:rPr>
        <w:t>，按照《政府采购法》、《合同法》等有关法律、法规的规定，供需双方经协商一致，达成以下合同专用条款：</w:t>
      </w:r>
    </w:p>
    <w:p>
      <w:pPr>
        <w:spacing w:line="380" w:lineRule="exact"/>
        <w:rPr>
          <w:rFonts w:ascii="宋体" w:hAnsi="宋体" w:cs="宋体"/>
          <w:color w:val="auto"/>
          <w:szCs w:val="21"/>
          <w:lang w:val="zh-CN"/>
        </w:rPr>
      </w:pPr>
      <w:r>
        <w:rPr>
          <w:rFonts w:hint="eastAsia" w:ascii="宋体" w:hAnsi="宋体" w:cs="宋体"/>
          <w:b/>
          <w:color w:val="auto"/>
          <w:szCs w:val="21"/>
          <w:lang w:val="zh-CN"/>
        </w:rPr>
        <w:t>一、本合同名称</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w:t>
      </w:r>
    </w:p>
    <w:p>
      <w:pPr>
        <w:spacing w:line="380" w:lineRule="exact"/>
        <w:rPr>
          <w:rFonts w:ascii="宋体" w:hAnsi="宋体" w:cs="宋体"/>
          <w:color w:val="auto"/>
          <w:szCs w:val="21"/>
          <w:lang w:val="zh-CN"/>
        </w:rPr>
      </w:pPr>
      <w:r>
        <w:rPr>
          <w:rFonts w:hint="eastAsia" w:ascii="宋体" w:hAnsi="宋体" w:cs="宋体"/>
          <w:b/>
          <w:color w:val="auto"/>
          <w:szCs w:val="21"/>
          <w:lang w:val="zh-CN"/>
        </w:rPr>
        <w:t>二、本合同总价</w:t>
      </w:r>
      <w:r>
        <w:rPr>
          <w:rFonts w:hint="eastAsia" w:ascii="宋体" w:hAnsi="宋体" w:cs="宋体"/>
          <w:color w:val="auto"/>
          <w:szCs w:val="21"/>
          <w:lang w:val="zh-CN"/>
        </w:rPr>
        <w:t>：</w:t>
      </w:r>
      <w:r>
        <w:rPr>
          <w:rFonts w:ascii="宋体" w:hAnsi="宋体" w:cs="宋体"/>
          <w:color w:val="auto"/>
          <w:szCs w:val="21"/>
          <w:u w:val="single"/>
          <w:lang w:val="zh-CN"/>
        </w:rPr>
        <w:t xml:space="preserve">              </w:t>
      </w:r>
      <w:r>
        <w:rPr>
          <w:rFonts w:hint="eastAsia" w:ascii="宋体" w:hAnsi="宋体" w:cs="宋体"/>
          <w:color w:val="auto"/>
          <w:szCs w:val="21"/>
          <w:lang w:val="zh-CN"/>
        </w:rPr>
        <w:t>元（人民币）（大写：</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元）。供货范围、技术规格、及分项价格如下：                      单位：人民币元</w:t>
      </w:r>
    </w:p>
    <w:tbl>
      <w:tblPr>
        <w:tblW w:w="91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s="宋体"/>
                <w:color w:val="auto"/>
                <w:szCs w:val="21"/>
                <w:lang w:val="zh-CN"/>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s="宋体"/>
                <w:color w:val="auto"/>
                <w:szCs w:val="21"/>
                <w:lang w:val="zh-CN"/>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s="宋体"/>
                <w:color w:val="auto"/>
                <w:szCs w:val="21"/>
                <w:lang w:val="zh-CN"/>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s="宋体"/>
                <w:color w:val="auto"/>
                <w:szCs w:val="21"/>
                <w:lang w:val="zh-CN"/>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s="宋体"/>
                <w:color w:val="auto"/>
                <w:szCs w:val="21"/>
                <w:lang w:val="zh-CN"/>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s="宋体"/>
                <w:color w:val="auto"/>
                <w:szCs w:val="21"/>
                <w:lang w:val="zh-CN"/>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s="宋体"/>
                <w:color w:val="auto"/>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80" w:lineRule="exact"/>
              <w:rPr>
                <w:rFonts w:ascii="宋体" w:hAnsi="宋体" w:cs="宋体"/>
                <w:color w:val="auto"/>
                <w:szCs w:val="21"/>
                <w:lang w:val="zh-CN"/>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80" w:lineRule="exact"/>
              <w:rPr>
                <w:rFonts w:ascii="宋体" w:hAnsi="宋体" w:cs="宋体"/>
                <w:color w:val="auto"/>
                <w:szCs w:val="21"/>
                <w:lang w:val="zh-CN"/>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8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8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80" w:lineRule="exact"/>
              <w:rPr>
                <w:rFonts w:ascii="宋体" w:hAnsi="宋体"/>
                <w:color w:val="auto"/>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top"/>
          </w:tcPr>
          <w:p>
            <w:pPr>
              <w:spacing w:line="38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top"/>
          </w:tcPr>
          <w:p>
            <w:pPr>
              <w:spacing w:line="380" w:lineRule="exact"/>
              <w:rPr>
                <w:rFonts w:ascii="宋体" w:hAnsi="宋体"/>
                <w:color w:val="auto"/>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top"/>
          </w:tcPr>
          <w:p>
            <w:pPr>
              <w:spacing w:line="380" w:lineRule="exact"/>
              <w:rPr>
                <w:rFonts w:ascii="宋体" w:hAnsi="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top"/>
          </w:tcPr>
          <w:p>
            <w:pPr>
              <w:spacing w:line="380" w:lineRule="exact"/>
              <w:rPr>
                <w:rFonts w:ascii="宋体" w:hAnsi="宋体"/>
                <w:color w:val="auto"/>
                <w:szCs w:val="21"/>
              </w:rPr>
            </w:pPr>
          </w:p>
        </w:tc>
      </w:tr>
      <w:tr>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s="宋体"/>
                <w:color w:val="auto"/>
                <w:szCs w:val="21"/>
                <w:lang w:val="zh-CN"/>
              </w:rPr>
            </w:pPr>
            <w:r>
              <w:rPr>
                <w:rFonts w:hint="eastAsia" w:ascii="宋体" w:hAnsi="宋体" w:cs="宋体"/>
                <w:color w:val="auto"/>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s="宋体"/>
                <w:color w:val="auto"/>
                <w:szCs w:val="21"/>
                <w:lang w:val="zh-CN"/>
              </w:rPr>
            </w:pPr>
            <w:r>
              <w:rPr>
                <w:rFonts w:hint="eastAsia" w:ascii="宋体" w:hAnsi="宋体" w:cs="宋体"/>
                <w:color w:val="auto"/>
                <w:szCs w:val="21"/>
                <w:lang w:val="zh-CN"/>
              </w:rPr>
              <w:t>小写：</w:t>
            </w:r>
          </w:p>
        </w:tc>
      </w:tr>
      <w:tr>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p>
        </w:tc>
        <w:tc>
          <w:tcPr>
            <w:tcW w:w="8282" w:type="dxa"/>
            <w:gridSpan w:val="9"/>
            <w:tcBorders>
              <w:top w:val="single" w:color="auto" w:sz="6" w:space="0"/>
              <w:left w:val="single" w:color="auto" w:sz="6" w:space="0"/>
              <w:bottom w:val="single" w:color="auto" w:sz="6" w:space="0"/>
              <w:right w:val="single" w:color="auto" w:sz="6" w:space="0"/>
            </w:tcBorders>
            <w:vAlign w:val="top"/>
          </w:tcPr>
          <w:p>
            <w:pPr>
              <w:spacing w:line="380" w:lineRule="exact"/>
              <w:rPr>
                <w:rFonts w:ascii="宋体" w:hAnsi="宋体"/>
                <w:color w:val="auto"/>
                <w:szCs w:val="21"/>
              </w:rPr>
            </w:pPr>
            <w:r>
              <w:rPr>
                <w:rFonts w:hint="eastAsia" w:ascii="宋体" w:hAnsi="宋体" w:cs="宋体"/>
                <w:color w:val="auto"/>
                <w:szCs w:val="21"/>
                <w:lang w:val="zh-CN"/>
              </w:rPr>
              <w:t xml:space="preserve">大写： </w:t>
            </w:r>
            <w:r>
              <w:rPr>
                <w:rFonts w:ascii="宋体" w:hAnsi="宋体"/>
                <w:color w:val="auto"/>
                <w:szCs w:val="21"/>
              </w:rPr>
              <w:t xml:space="preserve"> </w:t>
            </w:r>
            <w:r>
              <w:rPr>
                <w:rFonts w:hint="eastAsia" w:ascii="宋体" w:hAnsi="宋体"/>
                <w:color w:val="auto"/>
                <w:szCs w:val="21"/>
              </w:rPr>
              <w:t xml:space="preserve"> 佰</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拾</w:t>
            </w:r>
            <w:r>
              <w:rPr>
                <w:rFonts w:ascii="宋体" w:hAnsi="宋体"/>
                <w:color w:val="auto"/>
                <w:szCs w:val="21"/>
              </w:rPr>
              <w:t xml:space="preserve">    </w:t>
            </w:r>
            <w:r>
              <w:rPr>
                <w:rFonts w:hint="eastAsia" w:ascii="宋体" w:hAnsi="宋体" w:cs="宋体"/>
                <w:color w:val="auto"/>
                <w:szCs w:val="21"/>
                <w:lang w:val="zh-CN"/>
              </w:rPr>
              <w:t>万</w:t>
            </w:r>
            <w:r>
              <w:rPr>
                <w:rFonts w:ascii="宋体" w:hAnsi="宋体"/>
                <w:color w:val="auto"/>
                <w:szCs w:val="21"/>
              </w:rPr>
              <w:t xml:space="preserve">   </w:t>
            </w:r>
            <w:r>
              <w:rPr>
                <w:rFonts w:hint="eastAsia" w:ascii="宋体" w:hAnsi="宋体" w:cs="宋体"/>
                <w:color w:val="auto"/>
                <w:szCs w:val="21"/>
                <w:lang w:val="zh-CN"/>
              </w:rPr>
              <w:t>仟</w:t>
            </w:r>
            <w:r>
              <w:rPr>
                <w:rFonts w:ascii="宋体" w:hAnsi="宋体"/>
                <w:color w:val="auto"/>
                <w:szCs w:val="21"/>
              </w:rPr>
              <w:t xml:space="preserve">   </w:t>
            </w:r>
            <w:r>
              <w:rPr>
                <w:rFonts w:hint="eastAsia" w:ascii="宋体" w:hAnsi="宋体" w:cs="宋体"/>
                <w:color w:val="auto"/>
                <w:szCs w:val="21"/>
                <w:lang w:val="zh-CN"/>
              </w:rPr>
              <w:t>佰</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拾</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s="宋体"/>
                <w:color w:val="auto"/>
                <w:szCs w:val="21"/>
                <w:lang w:val="zh-CN"/>
              </w:rPr>
              <w:t>元   角   分</w:t>
            </w:r>
          </w:p>
        </w:tc>
      </w:tr>
    </w:tbl>
    <w:p>
      <w:pPr>
        <w:spacing w:line="380" w:lineRule="exact"/>
        <w:rPr>
          <w:rFonts w:ascii="宋体" w:hAnsi="宋体" w:cs="宋体"/>
          <w:b/>
          <w:color w:val="auto"/>
          <w:szCs w:val="21"/>
          <w:lang w:val="zh-CN"/>
        </w:rPr>
      </w:pPr>
      <w:r>
        <w:rPr>
          <w:rFonts w:hint="eastAsia" w:ascii="宋体" w:hAnsi="宋体" w:cs="宋体"/>
          <w:b/>
          <w:color w:val="auto"/>
          <w:szCs w:val="21"/>
          <w:lang w:val="zh-CN"/>
        </w:rPr>
        <w:t>三、质量要求及供方对质量负责条件和期限：</w:t>
      </w:r>
    </w:p>
    <w:p>
      <w:pPr>
        <w:spacing w:line="380" w:lineRule="exact"/>
        <w:rPr>
          <w:rFonts w:ascii="宋体" w:hAnsi="宋体" w:cs="宋体"/>
          <w:color w:val="auto"/>
          <w:szCs w:val="21"/>
          <w:lang w:val="zh-CN"/>
        </w:rPr>
      </w:pPr>
      <w:r>
        <w:rPr>
          <w:rFonts w:hint="eastAsia" w:ascii="宋体" w:hAnsi="宋体"/>
          <w:color w:val="auto"/>
          <w:szCs w:val="21"/>
        </w:rPr>
        <w:t>所供货物必须首先符合有关国家强制性规定、国家（行业）标准或相关法律法规要求</w:t>
      </w:r>
      <w:r>
        <w:rPr>
          <w:rFonts w:hint="eastAsia" w:ascii="宋体" w:hAnsi="宋体" w:cs="宋体"/>
          <w:color w:val="auto"/>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日内以书面形式向供方提出，需安装调试成套设备的提出异议的期限为</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w:t>
      </w:r>
    </w:p>
    <w:p>
      <w:pPr>
        <w:spacing w:line="380" w:lineRule="exact"/>
        <w:rPr>
          <w:rFonts w:ascii="宋体" w:hAnsi="宋体" w:cs="宋体"/>
          <w:b/>
          <w:color w:val="auto"/>
          <w:szCs w:val="21"/>
          <w:lang w:val="zh-CN"/>
        </w:rPr>
      </w:pPr>
      <w:r>
        <w:rPr>
          <w:rFonts w:hint="eastAsia" w:ascii="宋体" w:hAnsi="宋体" w:cs="宋体"/>
          <w:b/>
          <w:color w:val="auto"/>
          <w:szCs w:val="21"/>
          <w:lang w:val="zh-CN"/>
        </w:rPr>
        <w:t>四、售后服务承诺：</w:t>
      </w:r>
    </w:p>
    <w:p>
      <w:pPr>
        <w:spacing w:line="380" w:lineRule="exact"/>
        <w:rPr>
          <w:rFonts w:ascii="宋体" w:hAnsi="宋体" w:cs="宋体"/>
          <w:color w:val="auto"/>
          <w:szCs w:val="21"/>
          <w:u w:val="single"/>
          <w:lang w:val="zh-CN"/>
        </w:rPr>
      </w:pPr>
      <w:r>
        <w:rPr>
          <w:rFonts w:hint="eastAsia" w:ascii="宋体" w:hAnsi="宋体" w:cs="宋体"/>
          <w:color w:val="auto"/>
          <w:szCs w:val="21"/>
          <w:lang w:val="zh-CN"/>
        </w:rPr>
        <w:t xml:space="preserve">售后服务响应时间： </w:t>
      </w:r>
      <w:r>
        <w:rPr>
          <w:rFonts w:hint="eastAsia" w:ascii="宋体" w:hAnsi="宋体" w:cs="宋体"/>
          <w:color w:val="auto"/>
          <w:szCs w:val="21"/>
          <w:u w:val="single"/>
          <w:lang w:val="zh-CN"/>
        </w:rPr>
        <w:t xml:space="preserve">                 </w:t>
      </w:r>
    </w:p>
    <w:p>
      <w:pPr>
        <w:spacing w:line="380" w:lineRule="exact"/>
        <w:rPr>
          <w:rFonts w:ascii="宋体" w:hAnsi="宋体" w:cs="宋体"/>
          <w:color w:val="auto"/>
          <w:szCs w:val="21"/>
          <w:lang w:val="zh-CN"/>
        </w:rPr>
      </w:pPr>
      <w:r>
        <w:rPr>
          <w:rFonts w:hint="eastAsia" w:ascii="宋体" w:hAnsi="宋体" w:cs="宋体"/>
          <w:color w:val="auto"/>
          <w:szCs w:val="21"/>
          <w:lang w:val="zh-CN"/>
        </w:rPr>
        <w:t>解决问题时间：</w:t>
      </w:r>
      <w:r>
        <w:rPr>
          <w:rFonts w:hint="eastAsia" w:ascii="宋体" w:hAnsi="宋体" w:cs="宋体"/>
          <w:color w:val="auto"/>
          <w:szCs w:val="21"/>
          <w:u w:val="single"/>
          <w:lang w:val="zh-CN"/>
        </w:rPr>
        <w:t xml:space="preserve">                      </w:t>
      </w:r>
    </w:p>
    <w:p>
      <w:pPr>
        <w:spacing w:line="380" w:lineRule="exact"/>
        <w:rPr>
          <w:rFonts w:ascii="宋体" w:hAnsi="宋体" w:cs="宋体"/>
          <w:color w:val="auto"/>
          <w:szCs w:val="21"/>
          <w:lang w:val="zh-CN"/>
        </w:rPr>
      </w:pPr>
      <w:r>
        <w:rPr>
          <w:rFonts w:hint="eastAsia" w:ascii="宋体" w:hAnsi="宋体" w:cs="宋体"/>
          <w:color w:val="auto"/>
          <w:szCs w:val="21"/>
          <w:lang w:val="zh-CN"/>
        </w:rPr>
        <w:t>售后服务机构名称、地址及联系方式：</w:t>
      </w:r>
      <w:r>
        <w:rPr>
          <w:rFonts w:hint="eastAsia" w:ascii="宋体" w:hAnsi="宋体" w:cs="宋体"/>
          <w:color w:val="auto"/>
          <w:szCs w:val="21"/>
          <w:u w:val="single"/>
          <w:lang w:val="zh-CN"/>
        </w:rPr>
        <w:t xml:space="preserve">           </w:t>
      </w:r>
    </w:p>
    <w:p>
      <w:pPr>
        <w:spacing w:line="380" w:lineRule="exact"/>
        <w:rPr>
          <w:rFonts w:ascii="宋体" w:hAnsi="宋体" w:cs="宋体"/>
          <w:color w:val="auto"/>
          <w:szCs w:val="21"/>
          <w:lang w:val="zh-CN"/>
        </w:rPr>
      </w:pPr>
      <w:r>
        <w:rPr>
          <w:rFonts w:hint="eastAsia" w:ascii="宋体" w:hAnsi="宋体" w:cs="宋体"/>
          <w:color w:val="auto"/>
          <w:szCs w:val="21"/>
          <w:lang w:val="zh-CN"/>
        </w:rPr>
        <w:t>其他服务承诺：</w:t>
      </w:r>
      <w:r>
        <w:rPr>
          <w:rFonts w:hint="eastAsia" w:ascii="宋体" w:hAnsi="宋体" w:cs="宋体"/>
          <w:color w:val="auto"/>
          <w:szCs w:val="21"/>
          <w:u w:val="single"/>
          <w:lang w:val="zh-CN"/>
        </w:rPr>
        <w:t xml:space="preserve">                               </w:t>
      </w:r>
    </w:p>
    <w:p>
      <w:pPr>
        <w:spacing w:line="380" w:lineRule="exact"/>
        <w:rPr>
          <w:rFonts w:ascii="宋体" w:hAnsi="宋体" w:cs="宋体"/>
          <w:b/>
          <w:color w:val="auto"/>
          <w:szCs w:val="21"/>
          <w:lang w:val="zh-CN"/>
        </w:rPr>
      </w:pPr>
      <w:r>
        <w:rPr>
          <w:rFonts w:hint="eastAsia" w:ascii="宋体" w:hAnsi="宋体" w:cs="宋体"/>
          <w:b/>
          <w:color w:val="auto"/>
          <w:szCs w:val="21"/>
          <w:lang w:val="zh-CN"/>
        </w:rPr>
        <w:t>五、合同履行地点及进度</w:t>
      </w:r>
      <w:r>
        <w:rPr>
          <w:rFonts w:hint="eastAsia" w:ascii="宋体" w:hAnsi="宋体" w:cs="宋体"/>
          <w:color w:val="auto"/>
          <w:szCs w:val="21"/>
          <w:lang w:val="zh-CN"/>
        </w:rPr>
        <w:t>：合同生效后，供方应于</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年</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月</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w:t>
      </w:r>
      <w:r>
        <w:rPr>
          <w:rFonts w:ascii="宋体" w:hAnsi="宋体" w:cs="宋体"/>
          <w:color w:val="auto"/>
          <w:szCs w:val="21"/>
          <w:u w:val="single"/>
          <w:lang w:val="zh-CN"/>
        </w:rPr>
        <w:t xml:space="preserve"> </w:t>
      </w:r>
      <w:r>
        <w:rPr>
          <w:rFonts w:hint="eastAsia" w:ascii="宋体" w:hAnsi="宋体" w:cs="宋体"/>
          <w:color w:val="auto"/>
          <w:szCs w:val="21"/>
          <w:lang w:val="zh-CN"/>
        </w:rPr>
        <w:t>日前按需方要求在</w:t>
      </w:r>
      <w:r>
        <w:rPr>
          <w:rFonts w:ascii="宋体" w:hAnsi="宋体" w:cs="宋体"/>
          <w:color w:val="auto"/>
          <w:szCs w:val="21"/>
          <w:u w:val="single"/>
          <w:lang w:val="zh-CN"/>
        </w:rPr>
        <w:t xml:space="preserve">                </w:t>
      </w:r>
      <w:r>
        <w:rPr>
          <w:rFonts w:hint="eastAsia" w:ascii="宋体" w:hAnsi="宋体" w:cs="宋体"/>
          <w:color w:val="auto"/>
          <w:szCs w:val="21"/>
          <w:u w:val="single"/>
          <w:lang w:val="zh-CN"/>
        </w:rPr>
        <w:t>（</w:t>
      </w:r>
      <w:r>
        <w:rPr>
          <w:rFonts w:hint="eastAsia" w:ascii="宋体" w:hAnsi="宋体" w:cs="宋体"/>
          <w:color w:val="auto"/>
          <w:szCs w:val="21"/>
          <w:lang w:val="zh-CN"/>
        </w:rPr>
        <w:t>需方指定的地点）完成本项目的交货、安装、调试</w:t>
      </w:r>
      <w:r>
        <w:rPr>
          <w:rFonts w:hint="eastAsia" w:ascii="宋体" w:hAnsi="宋体" w:cs="宋体"/>
          <w:color w:val="auto"/>
          <w:szCs w:val="21"/>
          <w:lang w:val="zh-CN"/>
        </w:rPr>
        <w:t>。本项目设计、施工、验收必须</w:t>
      </w:r>
      <w:r>
        <w:rPr>
          <w:rFonts w:hint="eastAsia"/>
          <w:color w:val="auto"/>
          <w:szCs w:val="21"/>
        </w:rPr>
        <w:t>符合现行国家标准《安全防范工程技术规范》（GB50348）的有关规定。</w:t>
      </w:r>
      <w:r>
        <w:rPr>
          <w:rFonts w:hint="eastAsia" w:ascii="宋体" w:hAnsi="宋体" w:cs="宋体"/>
          <w:color w:val="auto"/>
          <w:szCs w:val="21"/>
          <w:lang w:val="zh-CN"/>
        </w:rPr>
        <w:t>货物运送的费用由供方负责。需方应在货物到达指定地点后，提供符合安装条件的场地、电源、环境等。</w:t>
      </w:r>
    </w:p>
    <w:p>
      <w:pPr>
        <w:spacing w:line="380" w:lineRule="exact"/>
        <w:rPr>
          <w:rFonts w:ascii="宋体" w:hAnsi="宋体" w:cs="宋体"/>
          <w:color w:val="auto"/>
          <w:szCs w:val="21"/>
          <w:lang w:val="zh-CN"/>
        </w:rPr>
      </w:pPr>
      <w:r>
        <w:rPr>
          <w:rFonts w:hint="eastAsia" w:ascii="宋体" w:hAnsi="宋体" w:cs="宋体"/>
          <w:b/>
          <w:color w:val="auto"/>
          <w:szCs w:val="21"/>
          <w:lang w:val="zh-CN"/>
        </w:rPr>
        <w:t>六、资料</w:t>
      </w:r>
      <w:r>
        <w:rPr>
          <w:rFonts w:hint="eastAsia" w:ascii="宋体" w:hAnsi="宋体" w:cs="宋体"/>
          <w:color w:val="auto"/>
          <w:szCs w:val="21"/>
          <w:lang w:val="zh-CN"/>
        </w:rPr>
        <w:t>：供方在交付货物时应向需方提供货物的使用说明、合格证书及其它相关资料，否则按不能交货对待。</w:t>
      </w:r>
    </w:p>
    <w:p>
      <w:pPr>
        <w:spacing w:line="380" w:lineRule="exact"/>
        <w:rPr>
          <w:rFonts w:ascii="宋体" w:hAnsi="宋体" w:cs="宋体"/>
          <w:b/>
          <w:color w:val="auto"/>
          <w:szCs w:val="21"/>
          <w:lang w:val="zh-CN"/>
        </w:rPr>
      </w:pPr>
      <w:r>
        <w:rPr>
          <w:rFonts w:hint="eastAsia" w:ascii="宋体" w:hAnsi="宋体" w:cs="宋体"/>
          <w:b/>
          <w:color w:val="auto"/>
          <w:szCs w:val="21"/>
          <w:lang w:val="zh-CN"/>
        </w:rPr>
        <w:t>七、验收要求。</w:t>
      </w:r>
    </w:p>
    <w:p>
      <w:pPr>
        <w:spacing w:line="380" w:lineRule="exact"/>
        <w:rPr>
          <w:rFonts w:ascii="宋体" w:hAnsi="宋体" w:cs="宋体"/>
          <w:color w:val="auto"/>
          <w:szCs w:val="21"/>
          <w:lang w:val="zh-CN"/>
        </w:rPr>
      </w:pPr>
      <w:r>
        <w:rPr>
          <w:rFonts w:hint="eastAsia" w:ascii="宋体" w:hAnsi="宋体" w:cs="宋体"/>
          <w:color w:val="auto"/>
          <w:szCs w:val="21"/>
          <w:lang w:val="zh-CN"/>
        </w:rPr>
        <w:t>1、供方履约完毕及时向需方提出验收申请。</w:t>
      </w:r>
    </w:p>
    <w:p>
      <w:pPr>
        <w:spacing w:line="380" w:lineRule="exact"/>
        <w:rPr>
          <w:rFonts w:ascii="宋体" w:hAnsi="宋体" w:cs="宋体"/>
          <w:color w:val="auto"/>
          <w:szCs w:val="21"/>
        </w:rPr>
      </w:pPr>
      <w:r>
        <w:rPr>
          <w:rFonts w:hint="eastAsia" w:ascii="宋体" w:hAnsi="宋体" w:cs="宋体"/>
          <w:color w:val="auto"/>
          <w:szCs w:val="21"/>
          <w:lang w:val="zh-CN"/>
        </w:rPr>
        <w:t>2、需方在收到供方验收申请后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个工作日内组织验收。按照招标文件规定、中标投标人投</w:t>
      </w:r>
    </w:p>
    <w:p>
      <w:pPr>
        <w:spacing w:line="38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标文件承诺，及国家有关规定认真组织验收工作。</w:t>
      </w:r>
    </w:p>
    <w:p>
      <w:pPr>
        <w:spacing w:line="380" w:lineRule="exact"/>
        <w:rPr>
          <w:rFonts w:ascii="宋体" w:hAnsi="宋体" w:cs="宋体"/>
          <w:color w:val="auto"/>
          <w:szCs w:val="21"/>
          <w:lang w:val="zh-CN"/>
        </w:rPr>
      </w:pPr>
      <w:r>
        <w:rPr>
          <w:rFonts w:hint="eastAsia" w:ascii="宋体" w:hAnsi="宋体" w:cs="宋体"/>
          <w:color w:val="auto"/>
          <w:szCs w:val="21"/>
          <w:lang w:val="zh-CN"/>
        </w:rPr>
        <w:t>3、验收合格后</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日内，需方出具《温县政府采购验收报告》。</w:t>
      </w:r>
    </w:p>
    <w:p>
      <w:pPr>
        <w:spacing w:line="380" w:lineRule="exact"/>
        <w:rPr>
          <w:rFonts w:ascii="宋体" w:hAnsi="宋体" w:cs="宋体"/>
          <w:b/>
          <w:color w:val="auto"/>
          <w:szCs w:val="21"/>
        </w:rPr>
      </w:pPr>
      <w:r>
        <w:rPr>
          <w:rFonts w:hint="eastAsia" w:ascii="宋体" w:hAnsi="宋体" w:cs="宋体"/>
          <w:b/>
          <w:color w:val="auto"/>
          <w:szCs w:val="21"/>
        </w:rPr>
        <w:t xml:space="preserve"> </w:t>
      </w:r>
      <w:r>
        <w:rPr>
          <w:rFonts w:hint="eastAsia" w:ascii="宋体" w:hAnsi="宋体" w:cs="宋体"/>
          <w:b/>
          <w:color w:val="auto"/>
          <w:szCs w:val="21"/>
        </w:rPr>
        <w:t xml:space="preserve"> </w:t>
      </w:r>
      <w:r>
        <w:rPr>
          <w:rFonts w:hint="eastAsia" w:ascii="宋体" w:hAnsi="宋体" w:cs="宋体"/>
          <w:b/>
          <w:color w:val="auto"/>
          <w:szCs w:val="21"/>
          <w:lang w:val="zh-CN"/>
        </w:rPr>
        <w:t>八、付款程序、方式及期限</w:t>
      </w:r>
      <w:r>
        <w:rPr>
          <w:rFonts w:hint="eastAsia" w:ascii="宋体" w:hAnsi="宋体" w:cs="宋体"/>
          <w:b/>
          <w:color w:val="auto"/>
          <w:szCs w:val="21"/>
        </w:rPr>
        <w:t>：</w:t>
      </w:r>
    </w:p>
    <w:p>
      <w:pPr>
        <w:spacing w:line="38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rPr>
        <w:t xml:space="preserve"> </w:t>
      </w:r>
      <w:r>
        <w:rPr>
          <w:rFonts w:hint="eastAsia" w:ascii="宋体" w:hAnsi="宋体" w:cs="宋体"/>
          <w:color w:val="auto"/>
          <w:szCs w:val="21"/>
          <w:lang w:val="zh-CN"/>
        </w:rPr>
        <w:t>项目竣工</w:t>
      </w:r>
      <w:r>
        <w:rPr>
          <w:rFonts w:ascii="宋体" w:hAnsi="宋体" w:cs="宋体"/>
          <w:color w:val="auto"/>
          <w:szCs w:val="21"/>
          <w:lang w:val="zh-CN"/>
        </w:rPr>
        <w:t>验收合格</w:t>
      </w:r>
      <w:r>
        <w:rPr>
          <w:rFonts w:hint="eastAsia" w:ascii="宋体" w:hAnsi="宋体" w:cs="宋体"/>
          <w:color w:val="auto"/>
          <w:szCs w:val="21"/>
          <w:lang w:val="zh-CN"/>
        </w:rPr>
        <w:t>且安装调试无问题，财政审计审核后，</w:t>
      </w:r>
      <w:r>
        <w:rPr>
          <w:rFonts w:ascii="宋体" w:hAnsi="宋体" w:cs="宋体"/>
          <w:color w:val="auto"/>
          <w:szCs w:val="21"/>
          <w:lang w:val="zh-CN"/>
        </w:rPr>
        <w:t>付</w:t>
      </w:r>
      <w:r>
        <w:rPr>
          <w:rFonts w:hint="eastAsia" w:ascii="宋体" w:hAnsi="宋体" w:cs="宋体"/>
          <w:color w:val="auto"/>
          <w:szCs w:val="21"/>
          <w:lang w:val="zh-CN"/>
        </w:rPr>
        <w:t>至</w:t>
      </w:r>
      <w:r>
        <w:rPr>
          <w:rFonts w:ascii="宋体" w:hAnsi="宋体" w:cs="宋体"/>
          <w:color w:val="auto"/>
          <w:szCs w:val="21"/>
          <w:lang w:val="zh-CN"/>
        </w:rPr>
        <w:t>合同总金额</w:t>
      </w:r>
      <w:r>
        <w:rPr>
          <w:rFonts w:hint="eastAsia" w:ascii="宋体" w:hAnsi="宋体" w:cs="宋体"/>
          <w:color w:val="auto"/>
          <w:szCs w:val="21"/>
          <w:lang w:val="zh-CN"/>
        </w:rPr>
        <w:t xml:space="preserve">的90%，剩余10%为质保金壹年以后无息付清。 </w:t>
      </w:r>
    </w:p>
    <w:p>
      <w:pPr>
        <w:spacing w:line="380" w:lineRule="exact"/>
        <w:rPr>
          <w:rFonts w:ascii="宋体" w:hAnsi="宋体" w:cs="宋体"/>
          <w:b/>
          <w:color w:val="auto"/>
          <w:szCs w:val="21"/>
          <w:lang w:val="zh-CN"/>
        </w:rPr>
      </w:pPr>
      <w:r>
        <w:rPr>
          <w:rFonts w:hint="eastAsia" w:ascii="宋体" w:hAnsi="宋体" w:cs="宋体"/>
          <w:b/>
          <w:color w:val="auto"/>
          <w:szCs w:val="21"/>
        </w:rPr>
        <w:t xml:space="preserve">   </w:t>
      </w:r>
      <w:r>
        <w:rPr>
          <w:rFonts w:hint="eastAsia" w:ascii="宋体" w:hAnsi="宋体" w:cs="宋体"/>
          <w:b/>
          <w:color w:val="auto"/>
          <w:szCs w:val="21"/>
          <w:lang w:val="zh-CN"/>
        </w:rPr>
        <w:t>九、本合同单价及总价为不变价，不受市场风险等因素的影响。</w:t>
      </w:r>
    </w:p>
    <w:p>
      <w:pPr>
        <w:spacing w:line="380" w:lineRule="exact"/>
        <w:rPr>
          <w:rFonts w:ascii="宋体" w:hAnsi="宋体" w:cs="宋体"/>
          <w:b/>
          <w:color w:val="auto"/>
          <w:szCs w:val="21"/>
          <w:lang w:val="zh-CN"/>
        </w:rPr>
      </w:pPr>
      <w:r>
        <w:rPr>
          <w:rFonts w:hint="eastAsia" w:ascii="宋体" w:hAnsi="宋体" w:cs="宋体"/>
          <w:b/>
          <w:color w:val="auto"/>
          <w:szCs w:val="21"/>
        </w:rPr>
        <w:t xml:space="preserve">   </w:t>
      </w:r>
      <w:r>
        <w:rPr>
          <w:rFonts w:hint="eastAsia" w:ascii="宋体" w:hAnsi="宋体" w:cs="宋体"/>
          <w:b/>
          <w:color w:val="auto"/>
          <w:szCs w:val="21"/>
          <w:lang w:val="zh-CN"/>
        </w:rPr>
        <w:t>十、违约责任</w:t>
      </w:r>
    </w:p>
    <w:p>
      <w:pPr>
        <w:spacing w:line="38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color w:val="auto"/>
          <w:szCs w:val="21"/>
          <w:lang w:val="zh-CN"/>
        </w:rPr>
        <w:t xml:space="preserve"> </w:t>
      </w:r>
      <w:r>
        <w:rPr>
          <w:rFonts w:hint="eastAsia" w:ascii="宋体" w:hAnsi="宋体" w:cs="宋体"/>
          <w:color w:val="auto"/>
          <w:szCs w:val="21"/>
          <w:u w:val="single"/>
          <w:lang w:val="zh-CN"/>
        </w:rPr>
        <w:t xml:space="preserve"> 10 </w:t>
      </w:r>
      <w:r>
        <w:rPr>
          <w:rFonts w:ascii="宋体" w:hAnsi="宋体" w:cs="宋体"/>
          <w:color w:val="auto"/>
          <w:szCs w:val="21"/>
          <w:lang w:val="zh-CN"/>
        </w:rPr>
        <w:t xml:space="preserve"> %</w:t>
      </w:r>
      <w:r>
        <w:rPr>
          <w:rFonts w:hint="eastAsia" w:ascii="宋体" w:hAnsi="宋体" w:cs="宋体"/>
          <w:color w:val="auto"/>
          <w:szCs w:val="21"/>
          <w:lang w:val="zh-CN"/>
        </w:rPr>
        <w:t>的违约金；需方并有权解除合同，要求供方赔偿损失。供方如逾期交付的，每逾期一日供方应向需方支付合同金额的</w:t>
      </w:r>
      <w:r>
        <w:rPr>
          <w:rFonts w:ascii="宋体" w:hAnsi="宋体" w:cs="宋体"/>
          <w:color w:val="auto"/>
          <w:szCs w:val="21"/>
          <w:u w:val="single"/>
          <w:lang w:val="zh-CN"/>
        </w:rPr>
        <w:t xml:space="preserve"> </w:t>
      </w:r>
      <w:r>
        <w:rPr>
          <w:rFonts w:hint="eastAsia" w:ascii="宋体" w:hAnsi="宋体" w:cs="宋体"/>
          <w:color w:val="auto"/>
          <w:szCs w:val="21"/>
          <w:u w:val="single"/>
          <w:lang w:val="zh-CN"/>
        </w:rPr>
        <w:t xml:space="preserve"> 0.1</w:t>
      </w:r>
      <w:r>
        <w:rPr>
          <w:rFonts w:ascii="宋体" w:hAnsi="宋体" w:cs="宋体"/>
          <w:color w:val="auto"/>
          <w:szCs w:val="21"/>
          <w:u w:val="single"/>
          <w:lang w:val="zh-CN"/>
        </w:rPr>
        <w:t xml:space="preserve"> %</w:t>
      </w:r>
      <w:r>
        <w:rPr>
          <w:rFonts w:hint="eastAsia" w:ascii="宋体" w:hAnsi="宋体" w:cs="宋体"/>
          <w:color w:val="auto"/>
          <w:szCs w:val="21"/>
          <w:lang w:val="zh-CN"/>
        </w:rPr>
        <w:t>的违约金。逾期交付的违约金总额不超过合同总金额的</w:t>
      </w:r>
      <w:r>
        <w:rPr>
          <w:rFonts w:hint="eastAsia" w:ascii="宋体" w:hAnsi="宋体" w:cs="宋体"/>
          <w:color w:val="auto"/>
          <w:szCs w:val="21"/>
          <w:u w:val="single"/>
          <w:lang w:val="zh-CN"/>
        </w:rPr>
        <w:t>20</w:t>
      </w:r>
      <w:r>
        <w:rPr>
          <w:rFonts w:ascii="宋体" w:hAnsi="宋体" w:cs="宋体"/>
          <w:color w:val="auto"/>
          <w:szCs w:val="21"/>
          <w:u w:val="single"/>
          <w:lang w:val="zh-CN"/>
        </w:rPr>
        <w:t>%</w:t>
      </w:r>
      <w:r>
        <w:rPr>
          <w:rFonts w:hint="eastAsia" w:ascii="宋体" w:hAnsi="宋体" w:cs="宋体"/>
          <w:color w:val="auto"/>
          <w:szCs w:val="21"/>
          <w:u w:val="single"/>
          <w:lang w:val="zh-CN"/>
        </w:rPr>
        <w:t>。</w:t>
      </w:r>
      <w:r>
        <w:rPr>
          <w:rFonts w:hint="eastAsia" w:ascii="宋体" w:hAnsi="宋体" w:cs="宋体"/>
          <w:color w:val="auto"/>
          <w:szCs w:val="21"/>
          <w:lang w:val="zh-CN"/>
        </w:rPr>
        <w:t xml:space="preserve">逾期超过 </w:t>
      </w:r>
      <w:r>
        <w:rPr>
          <w:rFonts w:hint="eastAsia" w:ascii="宋体" w:hAnsi="宋体" w:cs="宋体"/>
          <w:color w:val="auto"/>
          <w:szCs w:val="21"/>
          <w:u w:val="single"/>
          <w:lang w:val="zh-CN"/>
        </w:rPr>
        <w:t xml:space="preserve">   </w:t>
      </w:r>
      <w:r>
        <w:rPr>
          <w:rFonts w:hint="eastAsia" w:ascii="宋体" w:hAnsi="宋体" w:cs="宋体"/>
          <w:color w:val="auto"/>
          <w:szCs w:val="21"/>
          <w:lang w:val="zh-CN"/>
        </w:rPr>
        <w:t>日的，需方有权解除合同或者选择继续履行；需方要求供方继续履行合同的，不影响需方向供方主张违约责任。</w:t>
      </w:r>
    </w:p>
    <w:p>
      <w:pPr>
        <w:spacing w:line="380" w:lineRule="exact"/>
        <w:rPr>
          <w:rFonts w:ascii="宋体" w:hAnsi="宋体" w:cs="宋体"/>
          <w:color w:val="auto"/>
          <w:szCs w:val="21"/>
          <w:lang w:val="zh-CN"/>
        </w:rPr>
      </w:pPr>
      <w:r>
        <w:rPr>
          <w:rFonts w:hint="eastAsia" w:ascii="宋体" w:hAnsi="宋体" w:cs="宋体"/>
          <w:color w:val="auto"/>
          <w:szCs w:val="21"/>
          <w:lang w:val="zh-CN"/>
        </w:rPr>
        <w:t>如需方违约，按合同一般条款执行。</w:t>
      </w:r>
    </w:p>
    <w:p>
      <w:pPr>
        <w:spacing w:line="380" w:lineRule="exact"/>
        <w:rPr>
          <w:rFonts w:ascii="宋体" w:hAnsi="宋体" w:cs="宋体"/>
          <w:color w:val="auto"/>
          <w:szCs w:val="21"/>
          <w:lang w:val="zh-CN"/>
        </w:rPr>
      </w:pPr>
      <w:r>
        <w:rPr>
          <w:rFonts w:hint="eastAsia" w:ascii="宋体" w:hAnsi="宋体" w:cs="宋体"/>
          <w:b/>
          <w:color w:val="auto"/>
          <w:szCs w:val="21"/>
        </w:rPr>
        <w:t xml:space="preserve">   </w:t>
      </w:r>
      <w:r>
        <w:rPr>
          <w:rFonts w:hint="eastAsia" w:ascii="宋体" w:hAnsi="宋体" w:cs="宋体"/>
          <w:b/>
          <w:color w:val="auto"/>
          <w:szCs w:val="21"/>
          <w:lang w:val="zh-CN"/>
        </w:rPr>
        <w:t>十一、争议的解决</w:t>
      </w:r>
      <w:r>
        <w:rPr>
          <w:rFonts w:hint="eastAsia" w:ascii="宋体" w:hAnsi="宋体" w:cs="宋体"/>
          <w:color w:val="auto"/>
          <w:szCs w:val="21"/>
          <w:lang w:val="zh-CN"/>
        </w:rPr>
        <w:t>：</w:t>
      </w:r>
    </w:p>
    <w:p>
      <w:pPr>
        <w:spacing w:line="38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1、双方友好协商；</w:t>
      </w:r>
    </w:p>
    <w:p>
      <w:pPr>
        <w:spacing w:line="38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2、提请主管部门进行调解；</w:t>
      </w:r>
    </w:p>
    <w:p>
      <w:pPr>
        <w:spacing w:line="380" w:lineRule="exact"/>
        <w:rPr>
          <w:rFonts w:ascii="宋体" w:hAnsi="宋体" w:cs="宋体"/>
          <w:color w:val="auto"/>
          <w:szCs w:val="21"/>
          <w:lang w:val="zh-CN"/>
        </w:rPr>
      </w:pPr>
      <w:r>
        <w:rPr>
          <w:rFonts w:hint="eastAsia" w:ascii="宋体" w:hAnsi="宋体" w:cs="宋体"/>
          <w:color w:val="auto"/>
          <w:szCs w:val="21"/>
        </w:rPr>
        <w:t xml:space="preserve">   </w:t>
      </w:r>
      <w:r>
        <w:rPr>
          <w:rFonts w:hint="eastAsia" w:ascii="宋体" w:hAnsi="宋体" w:cs="宋体"/>
          <w:color w:val="auto"/>
          <w:szCs w:val="21"/>
          <w:lang w:val="zh-CN"/>
        </w:rPr>
        <w:t>3、由需方所在地人民法院诉讼管辖。</w:t>
      </w:r>
    </w:p>
    <w:p>
      <w:pPr>
        <w:spacing w:line="380" w:lineRule="exact"/>
        <w:rPr>
          <w:rFonts w:ascii="宋体" w:hAnsi="宋体"/>
          <w:b/>
          <w:color w:val="auto"/>
          <w:szCs w:val="21"/>
        </w:rPr>
      </w:pPr>
      <w:r>
        <w:rPr>
          <w:rFonts w:hint="eastAsia" w:ascii="宋体" w:hAnsi="宋体"/>
          <w:b/>
          <w:color w:val="auto"/>
          <w:szCs w:val="21"/>
        </w:rPr>
        <w:t xml:space="preserve">   十二、合同生效、备案及其它</w:t>
      </w:r>
    </w:p>
    <w:p>
      <w:pPr>
        <w:spacing w:line="380" w:lineRule="exact"/>
        <w:rPr>
          <w:rFonts w:ascii="宋体" w:hAnsi="宋体"/>
          <w:color w:val="auto"/>
          <w:szCs w:val="21"/>
        </w:rPr>
      </w:pPr>
      <w:r>
        <w:rPr>
          <w:rFonts w:hint="eastAsia" w:ascii="宋体" w:hAnsi="宋体"/>
          <w:color w:val="auto"/>
          <w:szCs w:val="21"/>
        </w:rPr>
        <w:t xml:space="preserve">    1、本合同经双方代表签字并加盖公章后生效。</w:t>
      </w:r>
    </w:p>
    <w:p>
      <w:pPr>
        <w:spacing w:line="380" w:lineRule="exact"/>
        <w:rPr>
          <w:rFonts w:ascii="宋体" w:hAnsi="宋体"/>
          <w:color w:val="auto"/>
          <w:szCs w:val="21"/>
        </w:rPr>
      </w:pPr>
      <w:r>
        <w:rPr>
          <w:rFonts w:hint="eastAsia" w:ascii="宋体" w:hAnsi="宋体"/>
          <w:color w:val="auto"/>
          <w:szCs w:val="21"/>
        </w:rPr>
        <w:t xml:space="preserve">    2、本合同一式五份，供需双方各持一份，在合同签订之日起七个工作日内交付温县财政局备案一份、温县公共资源交易中心存档一份，办理资金支付手续时提交一份。</w:t>
      </w:r>
    </w:p>
    <w:p>
      <w:pPr>
        <w:spacing w:line="380" w:lineRule="exact"/>
        <w:rPr>
          <w:rFonts w:ascii="宋体" w:hAnsi="宋体"/>
          <w:color w:val="auto"/>
          <w:szCs w:val="21"/>
        </w:rPr>
      </w:pPr>
      <w:r>
        <w:rPr>
          <w:rFonts w:hint="eastAsia" w:ascii="宋体" w:hAnsi="宋体" w:cs="宋体"/>
          <w:color w:val="auto"/>
          <w:szCs w:val="21"/>
        </w:rPr>
        <w:t xml:space="preserve">    3、</w:t>
      </w:r>
      <w:r>
        <w:rPr>
          <w:rFonts w:hint="eastAsia" w:ascii="宋体" w:hAnsi="宋体" w:cs="宋体"/>
          <w:color w:val="auto"/>
          <w:szCs w:val="21"/>
          <w:lang w:val="zh-CN"/>
        </w:rPr>
        <w:t>本合同未尽事宜，供需双方可签订补充协议，但补充协议不得违背本招标文件及供方的投标文件或报价文件的实质性约定内容。</w:t>
      </w:r>
    </w:p>
    <w:p>
      <w:pPr>
        <w:spacing w:line="440" w:lineRule="exact"/>
        <w:rPr>
          <w:rFonts w:ascii="宋体" w:hAnsi="宋体"/>
          <w:color w:val="auto"/>
          <w:szCs w:val="21"/>
        </w:rPr>
      </w:pPr>
      <w:r>
        <w:rPr>
          <w:rFonts w:hint="eastAsia" w:ascii="宋体" w:hAnsi="宋体"/>
          <w:color w:val="auto"/>
          <w:szCs w:val="21"/>
        </w:rPr>
        <w:t xml:space="preserve">  供方（公章）：                          需方（公章）：</w:t>
      </w:r>
    </w:p>
    <w:p>
      <w:pPr>
        <w:spacing w:line="440" w:lineRule="exact"/>
        <w:rPr>
          <w:rFonts w:ascii="宋体" w:hAnsi="宋体"/>
          <w:color w:val="auto"/>
          <w:szCs w:val="21"/>
        </w:rPr>
      </w:pPr>
      <w:r>
        <w:rPr>
          <w:rFonts w:hint="eastAsia" w:ascii="宋体" w:hAnsi="宋体"/>
          <w:color w:val="auto"/>
          <w:szCs w:val="21"/>
        </w:rPr>
        <w:t xml:space="preserve">  地址：                                  地址：</w:t>
      </w:r>
    </w:p>
    <w:p>
      <w:pPr>
        <w:spacing w:line="440" w:lineRule="exact"/>
        <w:rPr>
          <w:rFonts w:ascii="宋体" w:hAnsi="宋体"/>
          <w:color w:val="auto"/>
          <w:szCs w:val="21"/>
        </w:rPr>
      </w:pPr>
      <w:r>
        <w:rPr>
          <w:rFonts w:hint="eastAsia" w:ascii="宋体" w:hAnsi="宋体"/>
          <w:color w:val="auto"/>
          <w:szCs w:val="21"/>
        </w:rPr>
        <w:t xml:space="preserve">  法定代表人或委托                        法定代表人或委托</w:t>
      </w:r>
    </w:p>
    <w:p>
      <w:pPr>
        <w:spacing w:line="440" w:lineRule="exact"/>
        <w:rPr>
          <w:rFonts w:ascii="宋体" w:hAnsi="宋体"/>
          <w:color w:val="auto"/>
          <w:szCs w:val="21"/>
        </w:rPr>
      </w:pPr>
      <w:r>
        <w:rPr>
          <w:rFonts w:hint="eastAsia" w:ascii="宋体" w:hAnsi="宋体"/>
          <w:color w:val="auto"/>
          <w:szCs w:val="21"/>
        </w:rPr>
        <w:t xml:space="preserve">  代理人（签字）：                        代理人（签字）：</w:t>
      </w:r>
    </w:p>
    <w:p>
      <w:pPr>
        <w:spacing w:line="440" w:lineRule="exact"/>
        <w:rPr>
          <w:rFonts w:ascii="宋体" w:hAnsi="宋体"/>
          <w:color w:val="auto"/>
          <w:szCs w:val="21"/>
        </w:rPr>
      </w:pPr>
      <w:r>
        <w:rPr>
          <w:rFonts w:hint="eastAsia" w:ascii="宋体" w:hAnsi="宋体"/>
          <w:color w:val="auto"/>
          <w:szCs w:val="21"/>
        </w:rPr>
        <w:t xml:space="preserve">  电话：                                  电话：</w:t>
      </w:r>
    </w:p>
    <w:p>
      <w:pPr>
        <w:spacing w:line="440" w:lineRule="exact"/>
        <w:rPr>
          <w:rFonts w:ascii="宋体" w:hAnsi="宋体"/>
          <w:color w:val="auto"/>
          <w:szCs w:val="21"/>
        </w:rPr>
      </w:pPr>
      <w:r>
        <w:rPr>
          <w:rFonts w:hint="eastAsia" w:ascii="宋体" w:hAnsi="宋体"/>
          <w:color w:val="auto"/>
          <w:szCs w:val="21"/>
        </w:rPr>
        <w:t xml:space="preserve">  开户行：                                开户行：</w:t>
      </w:r>
    </w:p>
    <w:p>
      <w:pPr>
        <w:spacing w:line="440" w:lineRule="exact"/>
        <w:rPr>
          <w:rFonts w:ascii="宋体" w:hAnsi="宋体"/>
          <w:color w:val="auto"/>
          <w:szCs w:val="21"/>
        </w:rPr>
      </w:pPr>
      <w:r>
        <w:rPr>
          <w:rFonts w:hint="eastAsia" w:ascii="宋体" w:hAnsi="宋体"/>
          <w:color w:val="auto"/>
          <w:szCs w:val="21"/>
        </w:rPr>
        <w:t xml:space="preserve">  账号：                                  账号：</w:t>
      </w:r>
    </w:p>
    <w:p>
      <w:pPr>
        <w:spacing w:line="440" w:lineRule="exact"/>
        <w:rPr>
          <w:rFonts w:ascii="宋体" w:hAnsi="宋体"/>
          <w:color w:val="auto"/>
          <w:szCs w:val="21"/>
        </w:rPr>
      </w:pPr>
      <w:r>
        <w:rPr>
          <w:rFonts w:hint="eastAsia" w:ascii="宋体" w:hAnsi="宋体"/>
          <w:color w:val="auto"/>
          <w:szCs w:val="21"/>
        </w:rPr>
        <w:t xml:space="preserve">  签约时间：</w:t>
      </w:r>
      <w:r>
        <w:rPr>
          <w:rFonts w:hint="eastAsia" w:ascii="宋体" w:hAnsi="宋体"/>
          <w:color w:val="auto"/>
          <w:szCs w:val="21"/>
          <w:u w:val="single"/>
        </w:rPr>
        <w:t xml:space="preserve">      </w:t>
      </w:r>
      <w:r>
        <w:rPr>
          <w:rFonts w:hint="eastAsia" w:ascii="宋体" w:hAnsi="宋体"/>
          <w:color w:val="auto"/>
          <w:szCs w:val="21"/>
        </w:rPr>
        <w:t xml:space="preserve"> 年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        签约时间：</w:t>
      </w:r>
      <w:r>
        <w:rPr>
          <w:rFonts w:hint="eastAsia" w:ascii="宋体" w:hAnsi="宋体"/>
          <w:color w:val="auto"/>
          <w:szCs w:val="21"/>
          <w:u w:val="single"/>
        </w:rPr>
        <w:t xml:space="preserve">      </w:t>
      </w:r>
      <w:r>
        <w:rPr>
          <w:rFonts w:hint="eastAsia" w:ascii="宋体" w:hAnsi="宋体"/>
          <w:color w:val="auto"/>
          <w:szCs w:val="21"/>
        </w:rPr>
        <w:t xml:space="preserve"> 年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spacing w:line="440" w:lineRule="exact"/>
        <w:rPr>
          <w:color w:val="auto"/>
        </w:rPr>
      </w:pPr>
      <w:r>
        <w:rPr>
          <w:rFonts w:hint="eastAsia" w:ascii="宋体" w:hAnsi="宋体"/>
          <w:color w:val="auto"/>
          <w:szCs w:val="21"/>
        </w:rPr>
        <w:t xml:space="preserve">                                                                          </w:t>
      </w:r>
    </w:p>
    <w:p>
      <w:pPr>
        <w:pStyle w:val="2"/>
        <w:spacing w:line="440" w:lineRule="exact"/>
        <w:rPr>
          <w:rFonts w:ascii="方正黑体简体" w:eastAsia="方正黑体简体"/>
          <w:color w:val="auto"/>
          <w:sz w:val="44"/>
          <w:szCs w:val="44"/>
        </w:rPr>
      </w:pPr>
      <w:bookmarkStart w:id="40" w:name="_Toc21592"/>
    </w:p>
    <w:p>
      <w:pPr>
        <w:pStyle w:val="2"/>
        <w:spacing w:line="440" w:lineRule="exact"/>
        <w:rPr>
          <w:rFonts w:ascii="方正黑体简体" w:eastAsia="方正黑体简体"/>
          <w:color w:val="auto"/>
          <w:sz w:val="44"/>
          <w:szCs w:val="44"/>
        </w:rPr>
      </w:pPr>
      <w:r>
        <w:rPr>
          <w:rFonts w:hint="eastAsia" w:ascii="方正黑体简体" w:eastAsia="方正黑体简体"/>
          <w:color w:val="auto"/>
          <w:sz w:val="44"/>
          <w:szCs w:val="44"/>
        </w:rPr>
        <w:t>第六章  投标文件格式</w:t>
      </w:r>
      <w:bookmarkEnd w:id="40"/>
    </w:p>
    <w:p>
      <w:pPr>
        <w:spacing w:line="440" w:lineRule="exact"/>
        <w:jc w:val="right"/>
        <w:rPr>
          <w:rFonts w:ascii="宋体" w:hAnsi="宋体"/>
          <w:color w:val="auto"/>
          <w:szCs w:val="21"/>
        </w:rPr>
      </w:pPr>
      <w:r>
        <w:rPr>
          <w:rFonts w:hint="eastAsia"/>
          <w:color w:val="auto"/>
        </w:rPr>
        <w:t>（正本或副本）</w:t>
      </w:r>
    </w:p>
    <w:p>
      <w:pPr>
        <w:spacing w:line="440" w:lineRule="exact"/>
        <w:ind w:right="315"/>
        <w:outlineLvl w:val="0"/>
        <w:rPr>
          <w:rFonts w:ascii="宋体" w:hAnsi="宋体"/>
          <w:color w:val="auto"/>
          <w:szCs w:val="21"/>
        </w:rPr>
      </w:pPr>
    </w:p>
    <w:p>
      <w:pPr>
        <w:spacing w:line="440" w:lineRule="exact"/>
        <w:jc w:val="right"/>
        <w:rPr>
          <w:rFonts w:ascii="宋体" w:hAnsi="宋体"/>
          <w:color w:val="auto"/>
          <w:szCs w:val="21"/>
        </w:rPr>
      </w:pPr>
    </w:p>
    <w:p>
      <w:pPr>
        <w:spacing w:line="440" w:lineRule="exact"/>
        <w:jc w:val="center"/>
        <w:rPr>
          <w:rFonts w:ascii="宋体" w:hAnsi="宋体"/>
          <w:b/>
          <w:color w:val="auto"/>
          <w:sz w:val="44"/>
          <w:szCs w:val="44"/>
        </w:rPr>
      </w:pPr>
      <w:r>
        <w:rPr>
          <w:rFonts w:hint="eastAsia" w:ascii="宋体" w:hAnsi="宋体"/>
          <w:b/>
          <w:color w:val="auto"/>
          <w:sz w:val="44"/>
          <w:szCs w:val="44"/>
          <w:u w:val="single"/>
        </w:rPr>
        <w:t xml:space="preserve">                                </w:t>
      </w:r>
      <w:r>
        <w:rPr>
          <w:rFonts w:hint="eastAsia" w:ascii="宋体" w:hAnsi="宋体"/>
          <w:b/>
          <w:color w:val="auto"/>
          <w:sz w:val="44"/>
          <w:szCs w:val="44"/>
        </w:rPr>
        <w:t>项目</w:t>
      </w:r>
    </w:p>
    <w:p>
      <w:pPr>
        <w:spacing w:line="440" w:lineRule="exact"/>
        <w:jc w:val="center"/>
        <w:rPr>
          <w:rFonts w:ascii="方正北魏楷书简体" w:hAnsi="宋体" w:eastAsia="方正北魏楷书简体"/>
          <w:color w:val="auto"/>
          <w:spacing w:val="-20"/>
          <w:sz w:val="44"/>
          <w:szCs w:val="44"/>
        </w:rPr>
      </w:pPr>
    </w:p>
    <w:p>
      <w:pPr>
        <w:spacing w:line="440" w:lineRule="exact"/>
        <w:rPr>
          <w:rFonts w:ascii="宋体" w:hAnsi="宋体"/>
          <w:b/>
          <w:color w:val="auto"/>
          <w:sz w:val="44"/>
          <w:szCs w:val="44"/>
        </w:rPr>
      </w:pPr>
    </w:p>
    <w:p>
      <w:pPr>
        <w:spacing w:line="440" w:lineRule="exact"/>
        <w:jc w:val="center"/>
        <w:rPr>
          <w:rFonts w:ascii="宋体" w:hAnsi="宋体"/>
          <w:b/>
          <w:color w:val="auto"/>
          <w:sz w:val="44"/>
          <w:szCs w:val="44"/>
        </w:rPr>
      </w:pPr>
      <w:r>
        <w:rPr>
          <w:rFonts w:hint="eastAsia" w:ascii="宋体" w:hAnsi="宋体"/>
          <w:b/>
          <w:color w:val="auto"/>
          <w:sz w:val="44"/>
          <w:szCs w:val="44"/>
        </w:rPr>
        <w:t>投 标 文 件</w:t>
      </w:r>
    </w:p>
    <w:p>
      <w:pPr>
        <w:spacing w:line="440" w:lineRule="exact"/>
        <w:jc w:val="center"/>
        <w:rPr>
          <w:rFonts w:ascii="宋体" w:hAnsi="宋体"/>
          <w:b/>
          <w:color w:val="auto"/>
          <w:sz w:val="44"/>
          <w:szCs w:val="44"/>
        </w:rPr>
      </w:pPr>
    </w:p>
    <w:p>
      <w:pPr>
        <w:spacing w:line="440" w:lineRule="exact"/>
        <w:jc w:val="center"/>
        <w:rPr>
          <w:rFonts w:ascii="宋体" w:hAnsi="宋体"/>
          <w:color w:val="auto"/>
          <w:szCs w:val="21"/>
        </w:rPr>
      </w:pPr>
      <w:r>
        <w:rPr>
          <w:rFonts w:hint="eastAsia" w:ascii="宋体" w:hAnsi="宋体"/>
          <w:color w:val="auto"/>
          <w:szCs w:val="21"/>
        </w:rPr>
        <w:t>项目编号：温交易[    ]   号</w:t>
      </w:r>
    </w:p>
    <w:p>
      <w:pPr>
        <w:spacing w:line="440" w:lineRule="exact"/>
        <w:jc w:val="center"/>
        <w:rPr>
          <w:rFonts w:ascii="宋体" w:hAnsi="宋体"/>
          <w:color w:val="auto"/>
          <w:szCs w:val="21"/>
        </w:rPr>
      </w:pPr>
      <w:r>
        <w:rPr>
          <w:rFonts w:hint="eastAsia" w:ascii="宋体" w:hAnsi="宋体"/>
          <w:color w:val="auto"/>
          <w:szCs w:val="21"/>
        </w:rPr>
        <w:t>采购编号：温政采[    ]   号</w:t>
      </w:r>
    </w:p>
    <w:p>
      <w:pPr>
        <w:spacing w:line="440" w:lineRule="exact"/>
        <w:jc w:val="center"/>
        <w:rPr>
          <w:rFonts w:ascii="宋体" w:hAnsi="宋体"/>
          <w:color w:val="auto"/>
          <w:szCs w:val="21"/>
        </w:rPr>
      </w:pPr>
      <w:r>
        <w:rPr>
          <w:rFonts w:hint="eastAsia" w:ascii="宋体" w:hAnsi="宋体"/>
          <w:color w:val="auto"/>
          <w:szCs w:val="21"/>
        </w:rPr>
        <w:t xml:space="preserve">          </w:t>
      </w:r>
    </w:p>
    <w:p>
      <w:pPr>
        <w:spacing w:line="44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p>
    <w:p>
      <w:pPr>
        <w:spacing w:line="440" w:lineRule="exact"/>
        <w:ind w:firstLine="635" w:firstLineChars="300"/>
        <w:rPr>
          <w:rFonts w:ascii="宋体" w:hAnsi="宋体"/>
          <w:color w:val="auto"/>
          <w:szCs w:val="21"/>
        </w:rPr>
      </w:pPr>
    </w:p>
    <w:p>
      <w:pPr>
        <w:spacing w:line="440" w:lineRule="exact"/>
        <w:ind w:firstLine="635" w:firstLineChars="300"/>
        <w:rPr>
          <w:rFonts w:ascii="宋体" w:hAnsi="宋体"/>
          <w:color w:val="auto"/>
          <w:szCs w:val="21"/>
        </w:rPr>
      </w:pPr>
    </w:p>
    <w:p>
      <w:pPr>
        <w:spacing w:line="440" w:lineRule="exact"/>
        <w:outlineLvl w:val="0"/>
        <w:rPr>
          <w:rFonts w:ascii="宋体" w:hAnsi="宋体"/>
          <w:color w:val="auto"/>
          <w:szCs w:val="21"/>
        </w:rPr>
      </w:pPr>
    </w:p>
    <w:p>
      <w:pPr>
        <w:spacing w:line="440" w:lineRule="exact"/>
        <w:outlineLvl w:val="0"/>
        <w:rPr>
          <w:rFonts w:ascii="宋体" w:hAnsi="宋体"/>
          <w:color w:val="auto"/>
          <w:szCs w:val="21"/>
        </w:rPr>
      </w:pPr>
    </w:p>
    <w:p>
      <w:pPr>
        <w:spacing w:line="440" w:lineRule="exact"/>
        <w:outlineLvl w:val="0"/>
        <w:rPr>
          <w:rFonts w:ascii="宋体" w:hAnsi="宋体"/>
          <w:color w:val="auto"/>
          <w:szCs w:val="21"/>
        </w:rPr>
      </w:pPr>
    </w:p>
    <w:p>
      <w:pPr>
        <w:spacing w:line="440" w:lineRule="exact"/>
        <w:ind w:firstLine="1413" w:firstLineChars="500"/>
        <w:rPr>
          <w:rFonts w:ascii="宋体" w:hAnsi="宋体"/>
          <w:b/>
          <w:color w:val="auto"/>
          <w:sz w:val="28"/>
          <w:szCs w:val="28"/>
        </w:rPr>
      </w:pPr>
      <w:r>
        <w:rPr>
          <w:rFonts w:hint="eastAsia" w:ascii="宋体" w:hAnsi="宋体"/>
          <w:b/>
          <w:color w:val="auto"/>
          <w:sz w:val="28"/>
          <w:szCs w:val="28"/>
        </w:rPr>
        <w:t>投 标 人：</w:t>
      </w:r>
      <w:r>
        <w:rPr>
          <w:rFonts w:hint="eastAsia" w:ascii="宋体" w:hAnsi="宋体"/>
          <w:b/>
          <w:color w:val="auto"/>
          <w:sz w:val="28"/>
          <w:szCs w:val="28"/>
          <w:u w:val="single"/>
        </w:rPr>
        <w:t xml:space="preserve">  单位全称（加盖单位公章）   </w:t>
      </w:r>
      <w:r>
        <w:rPr>
          <w:rFonts w:hint="eastAsia" w:ascii="宋体" w:hAnsi="宋体"/>
          <w:b/>
          <w:color w:val="auto"/>
          <w:sz w:val="28"/>
          <w:szCs w:val="28"/>
        </w:rPr>
        <w:t xml:space="preserve"> </w:t>
      </w:r>
    </w:p>
    <w:p>
      <w:pPr>
        <w:spacing w:line="440" w:lineRule="exact"/>
        <w:ind w:firstLine="1413" w:firstLineChars="500"/>
        <w:rPr>
          <w:rFonts w:ascii="宋体" w:hAnsi="宋体"/>
          <w:b/>
          <w:color w:val="auto"/>
          <w:sz w:val="28"/>
          <w:szCs w:val="28"/>
        </w:rPr>
      </w:pPr>
      <w:r>
        <w:rPr>
          <w:rFonts w:hint="eastAsia" w:ascii="宋体" w:hAnsi="宋体"/>
          <w:b/>
          <w:color w:val="auto"/>
          <w:sz w:val="28"/>
          <w:szCs w:val="28"/>
        </w:rPr>
        <w:t xml:space="preserve">              </w:t>
      </w:r>
    </w:p>
    <w:p>
      <w:pPr>
        <w:spacing w:line="440" w:lineRule="exact"/>
        <w:ind w:firstLine="1405" w:firstLineChars="497"/>
        <w:rPr>
          <w:rFonts w:ascii="宋体" w:hAnsi="宋体"/>
          <w:b/>
          <w:color w:val="auto"/>
          <w:sz w:val="28"/>
          <w:szCs w:val="28"/>
          <w:u w:val="single"/>
        </w:rPr>
      </w:pPr>
      <w:r>
        <w:rPr>
          <w:rFonts w:hint="eastAsia" w:ascii="宋体" w:hAnsi="宋体"/>
          <w:b/>
          <w:color w:val="auto"/>
          <w:sz w:val="28"/>
          <w:szCs w:val="28"/>
        </w:rPr>
        <w:t>法定代表人或授权代理人：</w:t>
      </w:r>
      <w:r>
        <w:rPr>
          <w:rFonts w:hint="eastAsia" w:ascii="宋体" w:hAnsi="宋体"/>
          <w:b/>
          <w:color w:val="auto"/>
          <w:sz w:val="28"/>
          <w:szCs w:val="28"/>
          <w:u w:val="single"/>
        </w:rPr>
        <w:t xml:space="preserve"> （签字）      </w:t>
      </w:r>
    </w:p>
    <w:p>
      <w:pPr>
        <w:spacing w:line="440" w:lineRule="exact"/>
        <w:ind w:firstLine="1405" w:firstLineChars="497"/>
        <w:rPr>
          <w:rFonts w:ascii="宋体" w:hAnsi="宋体"/>
          <w:b/>
          <w:color w:val="auto"/>
          <w:sz w:val="28"/>
          <w:szCs w:val="28"/>
          <w:u w:val="single"/>
        </w:rPr>
      </w:pPr>
    </w:p>
    <w:p>
      <w:pPr>
        <w:spacing w:line="440" w:lineRule="exact"/>
        <w:ind w:firstLine="1405" w:firstLineChars="497"/>
        <w:rPr>
          <w:rFonts w:ascii="宋体" w:hAnsi="宋体"/>
          <w:b/>
          <w:color w:val="auto"/>
          <w:sz w:val="28"/>
          <w:szCs w:val="28"/>
        </w:rPr>
      </w:pPr>
      <w:r>
        <w:rPr>
          <w:rFonts w:hint="eastAsia" w:ascii="宋体" w:hAnsi="宋体"/>
          <w:b/>
          <w:color w:val="auto"/>
          <w:sz w:val="28"/>
          <w:szCs w:val="28"/>
        </w:rPr>
        <w:t>地    址：</w:t>
      </w:r>
      <w:r>
        <w:rPr>
          <w:rFonts w:hint="eastAsia" w:ascii="宋体" w:hAnsi="宋体"/>
          <w:b/>
          <w:color w:val="auto"/>
          <w:sz w:val="28"/>
          <w:szCs w:val="28"/>
          <w:u w:val="single"/>
        </w:rPr>
        <w:t xml:space="preserve">                             </w:t>
      </w:r>
    </w:p>
    <w:p>
      <w:pPr>
        <w:spacing w:line="440" w:lineRule="exact"/>
        <w:jc w:val="center"/>
        <w:rPr>
          <w:rFonts w:ascii="宋体" w:hAnsi="宋体"/>
          <w:b/>
          <w:color w:val="auto"/>
          <w:sz w:val="28"/>
          <w:szCs w:val="28"/>
        </w:rPr>
      </w:pPr>
      <w:r>
        <w:rPr>
          <w:rFonts w:hint="eastAsia" w:ascii="宋体" w:hAnsi="宋体"/>
          <w:b/>
          <w:color w:val="auto"/>
          <w:sz w:val="28"/>
          <w:szCs w:val="28"/>
        </w:rPr>
        <w:t>年   月   日</w:t>
      </w:r>
    </w:p>
    <w:p>
      <w:pPr>
        <w:spacing w:line="440" w:lineRule="exact"/>
        <w:outlineLvl w:val="0"/>
        <w:rPr>
          <w:rFonts w:ascii="宋体" w:hAnsi="宋体"/>
          <w:b/>
          <w:color w:val="auto"/>
          <w:szCs w:val="21"/>
        </w:rPr>
      </w:pPr>
    </w:p>
    <w:p>
      <w:pPr>
        <w:spacing w:line="440" w:lineRule="exact"/>
        <w:jc w:val="center"/>
        <w:rPr>
          <w:rFonts w:ascii="宋体" w:hAnsi="宋体"/>
          <w:b/>
          <w:color w:val="auto"/>
          <w:sz w:val="32"/>
          <w:szCs w:val="32"/>
        </w:rPr>
      </w:pPr>
    </w:p>
    <w:p>
      <w:pPr>
        <w:spacing w:line="440" w:lineRule="exact"/>
        <w:jc w:val="center"/>
        <w:rPr>
          <w:rFonts w:ascii="宋体" w:hAnsi="宋体"/>
          <w:b/>
          <w:color w:val="auto"/>
          <w:sz w:val="32"/>
          <w:szCs w:val="32"/>
        </w:rPr>
      </w:pPr>
      <w:r>
        <w:rPr>
          <w:rFonts w:hint="eastAsia" w:ascii="宋体" w:hAnsi="宋体"/>
          <w:b/>
          <w:color w:val="auto"/>
          <w:sz w:val="32"/>
          <w:szCs w:val="32"/>
        </w:rPr>
        <w:t>目   录</w:t>
      </w:r>
    </w:p>
    <w:p>
      <w:pPr>
        <w:spacing w:line="440" w:lineRule="exact"/>
        <w:rPr>
          <w:rFonts w:ascii="宋体" w:hAnsi="宋体"/>
          <w:b/>
          <w:color w:val="auto"/>
          <w:sz w:val="28"/>
          <w:szCs w:val="28"/>
        </w:rPr>
      </w:pPr>
    </w:p>
    <w:p>
      <w:pPr>
        <w:spacing w:line="440" w:lineRule="exact"/>
        <w:rPr>
          <w:rFonts w:ascii="宋体"/>
          <w:color w:val="auto"/>
          <w:szCs w:val="21"/>
        </w:rPr>
      </w:pPr>
      <w:r>
        <w:rPr>
          <w:rFonts w:hint="eastAsia" w:ascii="宋体"/>
          <w:color w:val="auto"/>
          <w:szCs w:val="21"/>
        </w:rPr>
        <w:t>一、投 标 函</w:t>
      </w:r>
    </w:p>
    <w:p>
      <w:pPr>
        <w:spacing w:line="440" w:lineRule="exact"/>
        <w:rPr>
          <w:rFonts w:ascii="宋体"/>
          <w:color w:val="auto"/>
          <w:szCs w:val="21"/>
        </w:rPr>
      </w:pPr>
      <w:r>
        <w:rPr>
          <w:rFonts w:hint="eastAsia" w:ascii="宋体"/>
          <w:color w:val="auto"/>
          <w:szCs w:val="21"/>
        </w:rPr>
        <w:t>二、开标一览表</w:t>
      </w:r>
    </w:p>
    <w:p>
      <w:pPr>
        <w:spacing w:line="440" w:lineRule="exact"/>
        <w:rPr>
          <w:rFonts w:ascii="宋体"/>
          <w:color w:val="auto"/>
          <w:szCs w:val="21"/>
        </w:rPr>
      </w:pPr>
      <w:r>
        <w:rPr>
          <w:rFonts w:hint="eastAsia" w:ascii="宋体"/>
          <w:color w:val="auto"/>
          <w:szCs w:val="21"/>
        </w:rPr>
        <w:t>三、货物分项报价一览表</w:t>
      </w:r>
    </w:p>
    <w:p>
      <w:pPr>
        <w:spacing w:line="440" w:lineRule="exact"/>
        <w:rPr>
          <w:rFonts w:ascii="宋体"/>
          <w:color w:val="auto"/>
          <w:szCs w:val="21"/>
        </w:rPr>
      </w:pPr>
      <w:r>
        <w:rPr>
          <w:rFonts w:hint="eastAsia" w:ascii="宋体"/>
          <w:color w:val="auto"/>
          <w:szCs w:val="21"/>
        </w:rPr>
        <w:t>四、技术规格和商务条款偏差表</w:t>
      </w:r>
    </w:p>
    <w:p>
      <w:pPr>
        <w:spacing w:line="440" w:lineRule="exact"/>
        <w:rPr>
          <w:rFonts w:ascii="宋体"/>
          <w:color w:val="auto"/>
          <w:szCs w:val="21"/>
        </w:rPr>
      </w:pPr>
      <w:r>
        <w:rPr>
          <w:rFonts w:hint="eastAsia" w:ascii="宋体"/>
          <w:color w:val="auto"/>
          <w:szCs w:val="21"/>
        </w:rPr>
        <w:t>五、法定代表人资格证明书</w:t>
      </w:r>
    </w:p>
    <w:p>
      <w:pPr>
        <w:spacing w:line="440" w:lineRule="exact"/>
        <w:rPr>
          <w:rFonts w:ascii="宋体"/>
          <w:color w:val="auto"/>
          <w:szCs w:val="21"/>
        </w:rPr>
      </w:pPr>
      <w:r>
        <w:rPr>
          <w:rFonts w:hint="eastAsia" w:ascii="宋体"/>
          <w:color w:val="auto"/>
          <w:szCs w:val="21"/>
        </w:rPr>
        <w:t>六、法人代表授权委托书</w:t>
      </w:r>
    </w:p>
    <w:p>
      <w:pPr>
        <w:spacing w:line="440" w:lineRule="exact"/>
        <w:rPr>
          <w:rFonts w:ascii="宋体"/>
          <w:color w:val="auto"/>
          <w:szCs w:val="21"/>
        </w:rPr>
      </w:pPr>
      <w:r>
        <w:rPr>
          <w:rFonts w:hint="eastAsia" w:ascii="宋体"/>
          <w:color w:val="auto"/>
          <w:szCs w:val="21"/>
        </w:rPr>
        <w:t>七</w:t>
      </w:r>
      <w:r>
        <w:rPr>
          <w:rFonts w:hint="eastAsia" w:ascii="宋体" w:hAnsi="宋体"/>
          <w:color w:val="auto"/>
          <w:szCs w:val="21"/>
        </w:rPr>
        <w:t>、</w:t>
      </w:r>
      <w:r>
        <w:rPr>
          <w:rFonts w:hint="eastAsia" w:ascii="宋体"/>
          <w:color w:val="auto"/>
          <w:szCs w:val="21"/>
        </w:rPr>
        <w:t>投标人基本情况表</w:t>
      </w:r>
    </w:p>
    <w:p>
      <w:pPr>
        <w:spacing w:line="440" w:lineRule="exact"/>
        <w:rPr>
          <w:rFonts w:ascii="宋体" w:hAnsi="宋体"/>
          <w:color w:val="auto"/>
          <w:szCs w:val="21"/>
        </w:rPr>
      </w:pPr>
      <w:r>
        <w:rPr>
          <w:rFonts w:hint="eastAsia" w:ascii="宋体" w:hAnsi="宋体"/>
          <w:color w:val="auto"/>
          <w:szCs w:val="21"/>
        </w:rPr>
        <w:t>八、投标人投标货物业绩</w:t>
      </w:r>
    </w:p>
    <w:p>
      <w:pPr>
        <w:spacing w:line="440" w:lineRule="exact"/>
        <w:rPr>
          <w:rFonts w:ascii="宋体" w:hAnsi="宋体"/>
          <w:color w:val="auto"/>
          <w:szCs w:val="21"/>
        </w:rPr>
      </w:pPr>
      <w:r>
        <w:rPr>
          <w:rFonts w:hint="eastAsia" w:ascii="宋体" w:hAnsi="宋体"/>
          <w:color w:val="auto"/>
          <w:szCs w:val="21"/>
        </w:rPr>
        <w:t>九、企业荣誉</w:t>
      </w:r>
    </w:p>
    <w:p>
      <w:pPr>
        <w:spacing w:line="440" w:lineRule="exact"/>
        <w:rPr>
          <w:rFonts w:ascii="宋体" w:hAnsi="宋体"/>
          <w:color w:val="auto"/>
          <w:szCs w:val="21"/>
        </w:rPr>
      </w:pPr>
      <w:r>
        <w:rPr>
          <w:rFonts w:hint="eastAsia"/>
          <w:color w:val="auto"/>
        </w:rPr>
        <w:t>十、售后服务承诺及质量保证承诺</w:t>
      </w:r>
    </w:p>
    <w:p>
      <w:pPr>
        <w:spacing w:line="440" w:lineRule="exact"/>
        <w:rPr>
          <w:rFonts w:ascii="宋体"/>
          <w:color w:val="auto"/>
          <w:szCs w:val="21"/>
        </w:rPr>
      </w:pPr>
      <w:r>
        <w:rPr>
          <w:rFonts w:hint="eastAsia" w:ascii="宋体"/>
          <w:color w:val="auto"/>
          <w:szCs w:val="21"/>
        </w:rPr>
        <w:t>十一、反商业贿赂承诺书</w:t>
      </w:r>
    </w:p>
    <w:p>
      <w:pPr>
        <w:spacing w:line="440" w:lineRule="exact"/>
        <w:rPr>
          <w:rFonts w:ascii="宋体"/>
          <w:color w:val="auto"/>
          <w:szCs w:val="21"/>
        </w:rPr>
      </w:pPr>
      <w:r>
        <w:rPr>
          <w:rFonts w:hint="eastAsia" w:ascii="宋体"/>
          <w:color w:val="auto"/>
          <w:szCs w:val="21"/>
        </w:rPr>
        <w:t>十二、资格证明文件</w:t>
      </w:r>
    </w:p>
    <w:p>
      <w:pPr>
        <w:spacing w:line="440" w:lineRule="exact"/>
        <w:rPr>
          <w:rFonts w:ascii="宋体"/>
          <w:color w:val="auto"/>
          <w:szCs w:val="21"/>
        </w:rPr>
      </w:pPr>
      <w:r>
        <w:rPr>
          <w:rFonts w:hint="eastAsia" w:ascii="宋体"/>
          <w:color w:val="auto"/>
          <w:szCs w:val="21"/>
        </w:rPr>
        <w:t>十三、中小企业声明函</w:t>
      </w:r>
    </w:p>
    <w:p>
      <w:pPr>
        <w:spacing w:line="440" w:lineRule="exact"/>
        <w:rPr>
          <w:rFonts w:ascii="宋体"/>
          <w:color w:val="auto"/>
          <w:szCs w:val="21"/>
        </w:rPr>
      </w:pPr>
      <w:r>
        <w:rPr>
          <w:rFonts w:hint="eastAsia" w:ascii="宋体"/>
          <w:color w:val="auto"/>
          <w:szCs w:val="21"/>
        </w:rPr>
        <w:t>十四、承诺函</w:t>
      </w:r>
    </w:p>
    <w:p>
      <w:pPr>
        <w:spacing w:line="440" w:lineRule="exact"/>
        <w:rPr>
          <w:rFonts w:ascii="宋体"/>
          <w:color w:val="auto"/>
          <w:szCs w:val="21"/>
        </w:rPr>
      </w:pPr>
      <w:r>
        <w:rPr>
          <w:rFonts w:hint="eastAsia" w:ascii="宋体"/>
          <w:color w:val="auto"/>
          <w:szCs w:val="21"/>
        </w:rPr>
        <w:t>十五、投标人认为需要提供的其它材料</w:t>
      </w:r>
    </w:p>
    <w:p>
      <w:pPr>
        <w:spacing w:line="440" w:lineRule="exact"/>
        <w:rPr>
          <w:rFonts w:ascii="宋体" w:hAnsi="宋体"/>
          <w:b/>
          <w:color w:val="auto"/>
          <w:szCs w:val="21"/>
        </w:rPr>
      </w:pPr>
    </w:p>
    <w:p>
      <w:pPr>
        <w:spacing w:line="440" w:lineRule="exact"/>
        <w:outlineLvl w:val="0"/>
        <w:rPr>
          <w:rFonts w:ascii="宋体" w:hAnsi="宋体"/>
          <w:b/>
          <w:color w:val="auto"/>
          <w:szCs w:val="21"/>
        </w:rPr>
      </w:pPr>
    </w:p>
    <w:p>
      <w:pPr>
        <w:spacing w:line="440" w:lineRule="exact"/>
        <w:jc w:val="center"/>
        <w:outlineLvl w:val="0"/>
        <w:rPr>
          <w:rFonts w:ascii="宋体" w:hAnsi="宋体"/>
          <w:b/>
          <w:color w:val="auto"/>
          <w:szCs w:val="21"/>
        </w:rPr>
      </w:pPr>
    </w:p>
    <w:p>
      <w:pPr>
        <w:spacing w:line="440" w:lineRule="exact"/>
        <w:jc w:val="center"/>
        <w:outlineLvl w:val="0"/>
        <w:rPr>
          <w:rFonts w:ascii="宋体" w:hAnsi="宋体"/>
          <w:b/>
          <w:color w:val="auto"/>
          <w:szCs w:val="21"/>
        </w:rPr>
      </w:pPr>
    </w:p>
    <w:p>
      <w:pPr>
        <w:spacing w:line="440" w:lineRule="exact"/>
        <w:jc w:val="center"/>
        <w:outlineLvl w:val="0"/>
        <w:rPr>
          <w:rFonts w:ascii="宋体" w:hAnsi="宋体"/>
          <w:b/>
          <w:color w:val="auto"/>
          <w:szCs w:val="21"/>
        </w:rPr>
      </w:pPr>
    </w:p>
    <w:p>
      <w:pPr>
        <w:spacing w:line="440" w:lineRule="exact"/>
        <w:jc w:val="center"/>
        <w:outlineLvl w:val="0"/>
        <w:rPr>
          <w:rFonts w:ascii="宋体" w:hAnsi="宋体"/>
          <w:b/>
          <w:color w:val="auto"/>
          <w:szCs w:val="21"/>
        </w:rPr>
      </w:pPr>
    </w:p>
    <w:p>
      <w:pPr>
        <w:spacing w:line="440" w:lineRule="exact"/>
        <w:jc w:val="center"/>
        <w:outlineLvl w:val="0"/>
        <w:rPr>
          <w:rFonts w:ascii="宋体" w:hAnsi="宋体"/>
          <w:b/>
          <w:color w:val="auto"/>
          <w:szCs w:val="21"/>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jc w:val="both"/>
        <w:rPr>
          <w:rFonts w:ascii="宋体" w:eastAsia="宋体"/>
          <w:color w:val="auto"/>
          <w:sz w:val="28"/>
          <w:szCs w:val="28"/>
        </w:rPr>
      </w:pPr>
    </w:p>
    <w:p>
      <w:pPr>
        <w:rPr>
          <w:color w:val="auto"/>
        </w:rPr>
      </w:pPr>
    </w:p>
    <w:p>
      <w:pPr>
        <w:pStyle w:val="3"/>
        <w:spacing w:line="440" w:lineRule="exact"/>
        <w:rPr>
          <w:rFonts w:ascii="宋体" w:eastAsia="宋体"/>
          <w:color w:val="auto"/>
          <w:sz w:val="28"/>
          <w:szCs w:val="28"/>
        </w:rPr>
      </w:pPr>
      <w:bookmarkStart w:id="41" w:name="_Toc26304"/>
      <w:r>
        <w:rPr>
          <w:rFonts w:hint="eastAsia" w:ascii="宋体" w:eastAsia="宋体"/>
          <w:color w:val="auto"/>
          <w:sz w:val="28"/>
          <w:szCs w:val="28"/>
        </w:rPr>
        <w:t>一、投 标 函</w:t>
      </w:r>
      <w:bookmarkEnd w:id="41"/>
    </w:p>
    <w:p>
      <w:pPr>
        <w:spacing w:line="440" w:lineRule="exact"/>
        <w:outlineLvl w:val="1"/>
        <w:rPr>
          <w:rFonts w:ascii="宋体" w:hAnsi="宋体"/>
          <w:color w:val="auto"/>
          <w:szCs w:val="21"/>
        </w:rPr>
      </w:pPr>
    </w:p>
    <w:p>
      <w:pPr>
        <w:spacing w:line="440" w:lineRule="exact"/>
        <w:rPr>
          <w:rFonts w:ascii="宋体" w:hAnsi="宋体"/>
          <w:color w:val="auto"/>
          <w:szCs w:val="21"/>
          <w:u w:val="single"/>
        </w:rPr>
      </w:pPr>
      <w:r>
        <w:rPr>
          <w:rFonts w:hint="eastAsia" w:ascii="宋体" w:hAnsi="宋体"/>
          <w:b/>
          <w:color w:val="auto"/>
          <w:szCs w:val="21"/>
        </w:rPr>
        <w:t>致：</w:t>
      </w:r>
      <w:r>
        <w:rPr>
          <w:rFonts w:hint="eastAsia" w:ascii="宋体" w:hAnsi="宋体"/>
          <w:b/>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 xml:space="preserve"> （采购人名称）</w:t>
      </w:r>
    </w:p>
    <w:p>
      <w:pPr>
        <w:spacing w:line="440" w:lineRule="exact"/>
        <w:ind w:firstLine="423" w:firstLineChars="200"/>
        <w:rPr>
          <w:rFonts w:ascii="宋体" w:hAnsi="宋体"/>
          <w:color w:val="auto"/>
          <w:szCs w:val="21"/>
        </w:rPr>
      </w:pPr>
      <w:r>
        <w:rPr>
          <w:rFonts w:hint="eastAsia" w:ascii="宋体" w:hAnsi="宋体"/>
          <w:color w:val="auto"/>
          <w:szCs w:val="21"/>
        </w:rPr>
        <w:t>根据贵方</w:t>
      </w:r>
      <w:r>
        <w:rPr>
          <w:rFonts w:hint="eastAsia" w:ascii="宋体" w:hAnsi="宋体"/>
          <w:color w:val="auto"/>
          <w:szCs w:val="21"/>
          <w:u w:val="single"/>
        </w:rPr>
        <w:t xml:space="preserve">           </w:t>
      </w:r>
      <w:r>
        <w:rPr>
          <w:rFonts w:hint="eastAsia" w:ascii="宋体" w:hAnsi="宋体"/>
          <w:color w:val="auto"/>
          <w:szCs w:val="21"/>
        </w:rPr>
        <w:t>（项目名称和项目编号）招标文件之投标邀请，签字代表：</w:t>
      </w:r>
      <w:r>
        <w:rPr>
          <w:rFonts w:hint="eastAsia" w:ascii="宋体" w:hAnsi="宋体"/>
          <w:color w:val="auto"/>
          <w:szCs w:val="21"/>
          <w:u w:val="single"/>
        </w:rPr>
        <w:t>（法人代表或授权委托人）</w:t>
      </w:r>
      <w:r>
        <w:rPr>
          <w:rFonts w:hint="eastAsia" w:ascii="宋体" w:hAnsi="宋体"/>
          <w:color w:val="auto"/>
          <w:szCs w:val="21"/>
        </w:rPr>
        <w:t>正式授权并代表投标单位</w:t>
      </w:r>
      <w:r>
        <w:rPr>
          <w:rFonts w:hint="eastAsia" w:ascii="宋体" w:hAnsi="宋体"/>
          <w:color w:val="auto"/>
          <w:szCs w:val="21"/>
          <w:u w:val="single"/>
        </w:rPr>
        <w:t xml:space="preserve"> （单位名称、单位地址） </w:t>
      </w:r>
      <w:r>
        <w:rPr>
          <w:rFonts w:hint="eastAsia" w:ascii="宋体" w:hAnsi="宋体"/>
          <w:color w:val="auto"/>
          <w:szCs w:val="21"/>
        </w:rPr>
        <w:t>提交以下文件正本</w:t>
      </w:r>
      <w:r>
        <w:rPr>
          <w:rFonts w:hint="eastAsia" w:ascii="宋体" w:hAnsi="宋体"/>
          <w:color w:val="auto"/>
          <w:szCs w:val="21"/>
          <w:u w:val="single"/>
        </w:rPr>
        <w:t>壹</w:t>
      </w:r>
      <w:r>
        <w:rPr>
          <w:rFonts w:hint="eastAsia" w:ascii="宋体" w:hAnsi="宋体"/>
          <w:color w:val="auto"/>
          <w:szCs w:val="21"/>
        </w:rPr>
        <w:t>份和副本</w:t>
      </w:r>
      <w:r>
        <w:rPr>
          <w:rFonts w:hint="eastAsia" w:ascii="宋体" w:hAnsi="宋体"/>
          <w:color w:val="auto"/>
          <w:szCs w:val="21"/>
          <w:u w:val="single"/>
        </w:rPr>
        <w:t xml:space="preserve">陆                 </w:t>
      </w:r>
      <w:r>
        <w:rPr>
          <w:rFonts w:hint="eastAsia" w:ascii="宋体" w:hAnsi="宋体"/>
          <w:color w:val="auto"/>
          <w:szCs w:val="21"/>
        </w:rPr>
        <w:t xml:space="preserve">份，并对之负法律责任。 </w:t>
      </w:r>
    </w:p>
    <w:p>
      <w:pPr>
        <w:spacing w:line="440" w:lineRule="exact"/>
        <w:ind w:firstLine="317" w:firstLineChars="150"/>
        <w:rPr>
          <w:rFonts w:ascii="宋体" w:hAnsi="宋体"/>
          <w:color w:val="auto"/>
          <w:szCs w:val="21"/>
        </w:rPr>
      </w:pPr>
      <w:r>
        <w:rPr>
          <w:rFonts w:hint="eastAsia" w:ascii="宋体" w:hAnsi="宋体"/>
          <w:color w:val="auto"/>
          <w:szCs w:val="21"/>
        </w:rPr>
        <w:t>据此函，签字代表宣布同意如下：</w:t>
      </w:r>
    </w:p>
    <w:p>
      <w:pPr>
        <w:spacing w:line="440" w:lineRule="exact"/>
        <w:rPr>
          <w:rFonts w:ascii="宋体" w:hAnsi="宋体"/>
          <w:color w:val="auto"/>
          <w:szCs w:val="21"/>
          <w:u w:val="single"/>
        </w:rPr>
      </w:pPr>
      <w:r>
        <w:rPr>
          <w:rFonts w:hint="eastAsia" w:ascii="宋体" w:hAnsi="宋体"/>
          <w:color w:val="auto"/>
          <w:szCs w:val="21"/>
        </w:rPr>
        <w:t xml:space="preserve">   1、我方投标总价为人民币</w:t>
      </w:r>
      <w:r>
        <w:rPr>
          <w:rFonts w:hint="eastAsia" w:ascii="宋体" w:hAnsi="宋体"/>
          <w:bCs/>
          <w:color w:val="auto"/>
          <w:szCs w:val="21"/>
        </w:rPr>
        <w:t>（大写）</w:t>
      </w:r>
      <w:r>
        <w:rPr>
          <w:rFonts w:hint="eastAsia" w:ascii="宋体" w:hAnsi="宋体"/>
          <w:color w:val="auto"/>
          <w:szCs w:val="21"/>
          <w:u w:val="single"/>
        </w:rPr>
        <w:t xml:space="preserve">             </w:t>
      </w:r>
      <w:r>
        <w:rPr>
          <w:rFonts w:hint="eastAsia" w:ascii="宋体" w:hAnsi="宋体"/>
          <w:color w:val="auto"/>
          <w:szCs w:val="21"/>
        </w:rPr>
        <w:t>（小写）</w:t>
      </w:r>
      <w:r>
        <w:rPr>
          <w:rFonts w:hint="eastAsia" w:ascii="宋体" w:hAnsi="宋体"/>
          <w:color w:val="auto"/>
          <w:szCs w:val="21"/>
          <w:u w:val="single"/>
        </w:rPr>
        <w:t xml:space="preserve">         </w:t>
      </w:r>
      <w:r>
        <w:rPr>
          <w:rFonts w:hint="eastAsia" w:ascii="宋体" w:hAnsi="宋体"/>
          <w:color w:val="auto"/>
          <w:szCs w:val="21"/>
        </w:rPr>
        <w:t>元人民币</w:t>
      </w:r>
    </w:p>
    <w:p>
      <w:pPr>
        <w:spacing w:line="440" w:lineRule="exact"/>
        <w:ind w:firstLine="317" w:firstLineChars="150"/>
        <w:rPr>
          <w:rFonts w:ascii="宋体" w:hAnsi="宋体"/>
          <w:color w:val="auto"/>
          <w:szCs w:val="21"/>
          <w:u w:val="single"/>
        </w:rPr>
      </w:pPr>
      <w:r>
        <w:rPr>
          <w:rFonts w:hint="eastAsia" w:ascii="宋体" w:hAnsi="宋体"/>
          <w:color w:val="auto"/>
          <w:szCs w:val="21"/>
        </w:rPr>
        <w:t>2、供货期</w:t>
      </w:r>
      <w:r>
        <w:rPr>
          <w:rFonts w:hint="eastAsia" w:ascii="宋体" w:hAnsi="宋体"/>
          <w:color w:val="auto"/>
          <w:szCs w:val="21"/>
          <w:u w:val="single"/>
        </w:rPr>
        <w:t xml:space="preserve">            </w:t>
      </w:r>
      <w:r>
        <w:rPr>
          <w:rFonts w:hint="eastAsia" w:ascii="宋体" w:hAnsi="宋体"/>
          <w:color w:val="auto"/>
          <w:szCs w:val="21"/>
        </w:rPr>
        <w:t xml:space="preserve"> </w:t>
      </w:r>
    </w:p>
    <w:p>
      <w:pPr>
        <w:spacing w:line="440" w:lineRule="exact"/>
        <w:ind w:firstLine="317" w:firstLineChars="150"/>
        <w:rPr>
          <w:rFonts w:ascii="宋体" w:hAnsi="宋体"/>
          <w:color w:val="auto"/>
          <w:szCs w:val="21"/>
        </w:rPr>
      </w:pPr>
      <w:r>
        <w:rPr>
          <w:rFonts w:hint="eastAsia" w:ascii="宋体" w:hAnsi="宋体"/>
          <w:color w:val="auto"/>
          <w:szCs w:val="21"/>
        </w:rPr>
        <w:t>3、如果我们的投标文件被接受，我们将按招标文件的规定签订并严格履行合同中的责任和义务。</w:t>
      </w:r>
    </w:p>
    <w:p>
      <w:pPr>
        <w:spacing w:line="440" w:lineRule="exact"/>
        <w:ind w:firstLine="317" w:firstLineChars="150"/>
        <w:rPr>
          <w:rFonts w:ascii="宋体" w:hAnsi="宋体"/>
          <w:color w:val="auto"/>
          <w:szCs w:val="21"/>
        </w:rPr>
      </w:pPr>
      <w:r>
        <w:rPr>
          <w:rFonts w:hint="eastAsia" w:ascii="宋体" w:hAnsi="宋体"/>
          <w:color w:val="auto"/>
          <w:szCs w:val="21"/>
        </w:rPr>
        <w:t>4、投标人已详细审查全部招标文件，包括修改文件以及全部参考资料和有关附件。我们完全理解并同意放弃对这方面有不明及误解的权利。</w:t>
      </w:r>
    </w:p>
    <w:p>
      <w:pPr>
        <w:spacing w:line="440" w:lineRule="exact"/>
        <w:ind w:firstLine="317" w:firstLineChars="150"/>
        <w:rPr>
          <w:rFonts w:ascii="宋体" w:hAnsi="宋体"/>
          <w:color w:val="auto"/>
          <w:szCs w:val="21"/>
        </w:rPr>
      </w:pPr>
      <w:r>
        <w:rPr>
          <w:rFonts w:hint="eastAsia" w:ascii="宋体" w:hAnsi="宋体"/>
          <w:color w:val="auto"/>
          <w:szCs w:val="21"/>
        </w:rPr>
        <w:t>5、本投标自开标日起有效期为</w:t>
      </w:r>
      <w:r>
        <w:rPr>
          <w:rFonts w:hint="eastAsia" w:ascii="宋体" w:hAnsi="宋体"/>
          <w:color w:val="auto"/>
          <w:szCs w:val="21"/>
          <w:u w:val="single"/>
        </w:rPr>
        <w:t xml:space="preserve">      </w:t>
      </w:r>
      <w:r>
        <w:rPr>
          <w:rFonts w:hint="eastAsia" w:ascii="宋体" w:hAnsi="宋体"/>
          <w:color w:val="auto"/>
          <w:szCs w:val="21"/>
        </w:rPr>
        <w:t>个日历天。</w:t>
      </w:r>
    </w:p>
    <w:p>
      <w:pPr>
        <w:spacing w:line="440" w:lineRule="exact"/>
        <w:ind w:firstLine="317" w:firstLineChars="150"/>
        <w:rPr>
          <w:rFonts w:ascii="宋体" w:hAnsi="宋体"/>
          <w:color w:val="auto"/>
          <w:szCs w:val="21"/>
        </w:rPr>
      </w:pPr>
      <w:r>
        <w:rPr>
          <w:rFonts w:hint="eastAsia" w:ascii="宋体" w:hAnsi="宋体"/>
          <w:color w:val="auto"/>
          <w:szCs w:val="21"/>
        </w:rPr>
        <w:t>6、如果在规定的开标时间后，投标人在投标有效期内撤回投标，其投标保证金将被贵方没收。</w:t>
      </w:r>
    </w:p>
    <w:p>
      <w:pPr>
        <w:spacing w:line="440" w:lineRule="exact"/>
        <w:ind w:firstLine="317" w:firstLineChars="150"/>
        <w:rPr>
          <w:rFonts w:ascii="宋体" w:hAnsi="宋体"/>
          <w:color w:val="auto"/>
          <w:szCs w:val="21"/>
        </w:rPr>
      </w:pPr>
      <w:r>
        <w:rPr>
          <w:rFonts w:hint="eastAsia" w:ascii="宋体" w:hAnsi="宋体"/>
          <w:color w:val="auto"/>
          <w:szCs w:val="21"/>
        </w:rPr>
        <w:t>7、投标人同意提供按照贵方可能要求的与其投标有关的一切数据或资料，完全理解贵方不一定接受最低价的投标或其他任何投标。</w:t>
      </w:r>
    </w:p>
    <w:p>
      <w:pPr>
        <w:spacing w:line="440" w:lineRule="exact"/>
        <w:rPr>
          <w:rFonts w:ascii="宋体" w:hAnsi="宋体"/>
          <w:color w:val="auto"/>
          <w:szCs w:val="21"/>
        </w:rPr>
      </w:pPr>
      <w:r>
        <w:rPr>
          <w:rFonts w:hint="eastAsia" w:ascii="宋体" w:hAnsi="宋体"/>
          <w:color w:val="auto"/>
          <w:szCs w:val="21"/>
        </w:rPr>
        <w:t xml:space="preserve"> </w:t>
      </w:r>
    </w:p>
    <w:p>
      <w:pPr>
        <w:spacing w:line="440" w:lineRule="exact"/>
        <w:ind w:firstLine="317" w:firstLineChars="150"/>
        <w:rPr>
          <w:rFonts w:ascii="宋体" w:hAnsi="宋体"/>
          <w:color w:val="auto"/>
          <w:szCs w:val="21"/>
          <w:u w:val="single"/>
        </w:rPr>
      </w:pPr>
      <w:r>
        <w:rPr>
          <w:rFonts w:hint="eastAsia" w:ascii="宋体" w:hAnsi="宋体"/>
          <w:color w:val="auto"/>
          <w:szCs w:val="21"/>
        </w:rPr>
        <w:t>投标人地址：</w:t>
      </w:r>
    </w:p>
    <w:p>
      <w:pPr>
        <w:spacing w:line="440" w:lineRule="exact"/>
        <w:ind w:firstLine="317" w:firstLineChars="150"/>
        <w:rPr>
          <w:rFonts w:ascii="宋体" w:hAnsi="宋体"/>
          <w:color w:val="auto"/>
          <w:szCs w:val="21"/>
        </w:rPr>
      </w:pPr>
      <w:r>
        <w:rPr>
          <w:rFonts w:hint="eastAsia" w:ascii="宋体" w:hAnsi="宋体"/>
          <w:color w:val="auto"/>
          <w:szCs w:val="21"/>
        </w:rPr>
        <w:t xml:space="preserve">电话（传真）:   </w:t>
      </w:r>
    </w:p>
    <w:p>
      <w:pPr>
        <w:spacing w:line="440" w:lineRule="exact"/>
        <w:ind w:firstLine="317" w:firstLineChars="150"/>
        <w:rPr>
          <w:rFonts w:ascii="宋体" w:hAnsi="宋体"/>
          <w:color w:val="auto"/>
          <w:szCs w:val="21"/>
        </w:rPr>
      </w:pPr>
      <w:r>
        <w:rPr>
          <w:rFonts w:hint="eastAsia" w:ascii="宋体" w:hAnsi="宋体"/>
          <w:color w:val="auto"/>
          <w:szCs w:val="21"/>
        </w:rPr>
        <w:t>邮 政 编 码：</w:t>
      </w:r>
    </w:p>
    <w:p>
      <w:pPr>
        <w:spacing w:line="440" w:lineRule="exact"/>
        <w:ind w:firstLine="317" w:firstLineChars="150"/>
        <w:rPr>
          <w:rFonts w:ascii="宋体" w:hAnsi="宋体"/>
          <w:color w:val="auto"/>
          <w:szCs w:val="21"/>
          <w:u w:val="single"/>
        </w:rPr>
      </w:pPr>
      <w:r>
        <w:rPr>
          <w:rFonts w:hint="eastAsia" w:ascii="宋体" w:hAnsi="宋体"/>
          <w:color w:val="auto"/>
          <w:szCs w:val="21"/>
        </w:rPr>
        <w:t>开户银行及账号：</w:t>
      </w:r>
    </w:p>
    <w:p>
      <w:pPr>
        <w:spacing w:line="440" w:lineRule="exact"/>
        <w:ind w:firstLine="317" w:firstLineChars="150"/>
        <w:rPr>
          <w:rFonts w:ascii="宋体" w:hAnsi="宋体"/>
          <w:color w:val="auto"/>
          <w:szCs w:val="21"/>
        </w:rPr>
      </w:pPr>
      <w:r>
        <w:rPr>
          <w:rFonts w:hint="eastAsia" w:ascii="宋体" w:hAnsi="宋体"/>
          <w:color w:val="auto"/>
          <w:szCs w:val="21"/>
        </w:rPr>
        <w:t>法定代表人或授权委托人签字:</w:t>
      </w:r>
    </w:p>
    <w:p>
      <w:pPr>
        <w:spacing w:line="440" w:lineRule="exact"/>
        <w:ind w:firstLine="317" w:firstLineChars="150"/>
        <w:rPr>
          <w:rFonts w:ascii="宋体" w:hAnsi="宋体"/>
          <w:color w:val="auto"/>
          <w:szCs w:val="21"/>
        </w:rPr>
      </w:pPr>
      <w:r>
        <w:rPr>
          <w:rFonts w:hint="eastAsia" w:ascii="宋体" w:hAnsi="宋体"/>
          <w:color w:val="auto"/>
          <w:szCs w:val="21"/>
        </w:rPr>
        <w:t>投标人名称（公章）</w:t>
      </w:r>
    </w:p>
    <w:p>
      <w:pPr>
        <w:spacing w:line="440" w:lineRule="exact"/>
        <w:ind w:firstLine="317" w:firstLineChars="150"/>
        <w:rPr>
          <w:rFonts w:ascii="宋体" w:hAnsi="宋体"/>
          <w:color w:val="auto"/>
          <w:szCs w:val="21"/>
        </w:rPr>
      </w:pPr>
      <w:r>
        <w:rPr>
          <w:rFonts w:hint="eastAsia" w:ascii="宋体" w:hAnsi="宋体"/>
          <w:color w:val="auto"/>
          <w:szCs w:val="21"/>
        </w:rPr>
        <w:t>日期：  年  月  日</w:t>
      </w:r>
    </w:p>
    <w:p>
      <w:pPr>
        <w:pStyle w:val="3"/>
        <w:spacing w:line="440" w:lineRule="exact"/>
        <w:jc w:val="both"/>
        <w:rPr>
          <w:rFonts w:ascii="宋体" w:eastAsia="宋体"/>
          <w:color w:val="auto"/>
          <w:sz w:val="21"/>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pStyle w:val="3"/>
        <w:spacing w:line="440" w:lineRule="exact"/>
        <w:jc w:val="both"/>
        <w:rPr>
          <w:rFonts w:ascii="宋体" w:eastAsia="宋体"/>
          <w:color w:val="auto"/>
          <w:sz w:val="28"/>
          <w:szCs w:val="28"/>
        </w:rPr>
      </w:pPr>
      <w:r>
        <w:rPr>
          <w:rFonts w:hint="eastAsia" w:ascii="宋体" w:eastAsia="宋体"/>
          <w:color w:val="auto"/>
          <w:sz w:val="28"/>
          <w:szCs w:val="28"/>
        </w:rPr>
        <w:t xml:space="preserve">                     </w:t>
      </w:r>
    </w:p>
    <w:p>
      <w:pPr>
        <w:pStyle w:val="3"/>
        <w:spacing w:line="440" w:lineRule="exact"/>
        <w:rPr>
          <w:rFonts w:ascii="宋体" w:eastAsia="宋体"/>
          <w:color w:val="auto"/>
          <w:sz w:val="28"/>
          <w:szCs w:val="28"/>
        </w:rPr>
      </w:pPr>
      <w:bookmarkStart w:id="42" w:name="_Toc14949"/>
      <w:r>
        <w:rPr>
          <w:rFonts w:hint="eastAsia" w:ascii="宋体" w:eastAsia="宋体"/>
          <w:color w:val="auto"/>
          <w:sz w:val="28"/>
          <w:szCs w:val="28"/>
        </w:rPr>
        <w:t>二、开标一览表</w:t>
      </w:r>
      <w:bookmarkEnd w:id="42"/>
    </w:p>
    <w:p>
      <w:pPr>
        <w:spacing w:line="440" w:lineRule="exact"/>
        <w:jc w:val="center"/>
        <w:rPr>
          <w:rFonts w:ascii="宋体" w:hAnsi="宋体"/>
          <w:b/>
          <w:color w:val="auto"/>
          <w:szCs w:val="21"/>
        </w:rPr>
      </w:pPr>
    </w:p>
    <w:tbl>
      <w:tblPr>
        <w:tblW w:w="95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3042"/>
      </w:tblGrid>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r>
              <w:rPr>
                <w:rFonts w:hint="eastAsia" w:ascii="宋体" w:hAnsi="宋体"/>
                <w:color w:val="auto"/>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p>
        </w:tc>
        <w:tc>
          <w:tcPr>
            <w:tcW w:w="1322" w:type="dxa"/>
            <w:tcBorders>
              <w:top w:val="single" w:color="auto" w:sz="4" w:space="0"/>
              <w:left w:val="nil"/>
              <w:bottom w:val="single" w:color="auto" w:sz="4" w:space="0"/>
              <w:right w:val="single" w:color="auto" w:sz="4" w:space="0"/>
            </w:tcBorders>
            <w:vAlign w:val="center"/>
          </w:tcPr>
          <w:p>
            <w:pPr>
              <w:spacing w:line="440" w:lineRule="exact"/>
              <w:jc w:val="center"/>
              <w:rPr>
                <w:rFonts w:ascii="宋体" w:hAnsi="宋体"/>
                <w:color w:val="auto"/>
                <w:szCs w:val="21"/>
              </w:rPr>
            </w:pPr>
            <w:r>
              <w:rPr>
                <w:rFonts w:hint="eastAsia" w:ascii="宋体" w:hAnsi="宋体"/>
                <w:color w:val="auto"/>
                <w:szCs w:val="21"/>
              </w:rPr>
              <w:t>项目编号</w:t>
            </w:r>
          </w:p>
        </w:tc>
        <w:tc>
          <w:tcPr>
            <w:tcW w:w="3042" w:type="dxa"/>
            <w:tcBorders>
              <w:top w:val="single" w:color="auto" w:sz="4" w:space="0"/>
              <w:left w:val="nil"/>
              <w:bottom w:val="single" w:color="auto" w:sz="4" w:space="0"/>
              <w:right w:val="single" w:color="auto" w:sz="4" w:space="0"/>
            </w:tcBorders>
            <w:vAlign w:val="center"/>
          </w:tcPr>
          <w:p>
            <w:pPr>
              <w:spacing w:line="440" w:lineRule="exact"/>
              <w:jc w:val="center"/>
              <w:rPr>
                <w:rFonts w:ascii="宋体" w:hAnsi="宋体"/>
                <w:color w:val="auto"/>
                <w:szCs w:val="21"/>
              </w:rPr>
            </w:pPr>
          </w:p>
        </w:tc>
      </w:tr>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r>
              <w:rPr>
                <w:rFonts w:hint="eastAsia" w:ascii="宋体" w:hAnsi="宋体"/>
                <w:color w:val="auto"/>
                <w:szCs w:val="21"/>
              </w:rPr>
              <w:t>投标单位</w:t>
            </w:r>
          </w:p>
        </w:tc>
        <w:tc>
          <w:tcPr>
            <w:tcW w:w="8314"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p>
        </w:tc>
      </w:tr>
      <w:tr>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r>
              <w:rPr>
                <w:rFonts w:hint="eastAsia" w:ascii="宋体" w:hAnsi="宋体"/>
                <w:color w:val="auto"/>
                <w:szCs w:val="21"/>
              </w:rPr>
              <w:t>投标总报价（元）</w:t>
            </w:r>
          </w:p>
        </w:tc>
        <w:tc>
          <w:tcPr>
            <w:tcW w:w="8314"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p>
          <w:p>
            <w:pPr>
              <w:spacing w:line="440" w:lineRule="exact"/>
              <w:ind w:firstLine="1586" w:firstLineChars="750"/>
              <w:rPr>
                <w:rFonts w:ascii="宋体" w:hAnsi="宋体"/>
                <w:color w:val="auto"/>
                <w:szCs w:val="21"/>
              </w:rPr>
            </w:pPr>
            <w:r>
              <w:rPr>
                <w:rFonts w:ascii="宋体" w:hAnsi="宋体" w:eastAsia="宋体" w:cs="Times New Roman"/>
                <w:color w:val="auto"/>
                <w:kern w:val="2"/>
                <w:sz w:val="21"/>
                <w:szCs w:val="21"/>
                <w:lang w:val="en-US" w:eastAsia="zh-CN" w:bidi="ar-SA"/>
              </w:rPr>
              <w:pict>
                <v:line id="Line 2" o:spid="_x0000_s1031" style="position:absolute;left:0;margin-left:169.75pt;margin-top:17.9pt;height:0.05pt;width:84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olor w:val="auto"/>
                <w:szCs w:val="21"/>
              </w:rPr>
              <w:t>人民币大写：</w:t>
            </w:r>
          </w:p>
          <w:p>
            <w:pPr>
              <w:spacing w:line="440" w:lineRule="exact"/>
              <w:ind w:firstLine="1586" w:firstLineChars="750"/>
              <w:rPr>
                <w:rFonts w:ascii="宋体" w:hAnsi="宋体"/>
                <w:color w:val="auto"/>
                <w:szCs w:val="21"/>
              </w:rPr>
            </w:pPr>
          </w:p>
          <w:p>
            <w:pPr>
              <w:spacing w:line="440" w:lineRule="exact"/>
              <w:ind w:firstLine="1586" w:firstLineChars="750"/>
              <w:rPr>
                <w:rFonts w:ascii="宋体" w:hAnsi="宋体"/>
                <w:color w:val="auto"/>
                <w:szCs w:val="21"/>
              </w:rPr>
            </w:pPr>
            <w:r>
              <w:rPr>
                <w:rFonts w:ascii="宋体" w:hAnsi="宋体" w:eastAsia="宋体" w:cs="Times New Roman"/>
                <w:color w:val="auto"/>
                <w:kern w:val="2"/>
                <w:sz w:val="21"/>
                <w:szCs w:val="21"/>
                <w:lang w:val="en-US" w:eastAsia="zh-CN" w:bidi="ar-SA"/>
              </w:rPr>
              <w:pict>
                <v:line id="Line 3" o:spid="_x0000_s1032" style="position:absolute;left:0;margin-left:169.85pt;margin-top:19.1pt;height:0.05pt;width:84pt;rotation:0f;z-index:251659264;"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olor w:val="auto"/>
                <w:szCs w:val="21"/>
              </w:rPr>
              <w:t>人民币小写：</w:t>
            </w:r>
          </w:p>
          <w:p>
            <w:pPr>
              <w:spacing w:line="440" w:lineRule="exact"/>
              <w:jc w:val="center"/>
              <w:rPr>
                <w:rFonts w:ascii="宋体" w:hAnsi="宋体"/>
                <w:color w:val="auto"/>
                <w:szCs w:val="21"/>
                <w:u w:val="single"/>
              </w:rPr>
            </w:pPr>
          </w:p>
        </w:tc>
      </w:tr>
      <w:tr>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r>
              <w:rPr>
                <w:rFonts w:hint="eastAsia" w:ascii="宋体" w:hAnsi="宋体"/>
                <w:color w:val="auto"/>
                <w:szCs w:val="21"/>
              </w:rPr>
              <w:t>质 量</w:t>
            </w:r>
          </w:p>
        </w:tc>
        <w:tc>
          <w:tcPr>
            <w:tcW w:w="8314"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r>
              <w:rPr>
                <w:rFonts w:hint="eastAsia" w:ascii="宋体" w:hAnsi="宋体"/>
                <w:color w:val="auto"/>
                <w:szCs w:val="21"/>
              </w:rPr>
              <w:t>供货期</w:t>
            </w:r>
          </w:p>
        </w:tc>
        <w:tc>
          <w:tcPr>
            <w:tcW w:w="8314"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r>
              <w:rPr>
                <w:rFonts w:hint="eastAsia" w:ascii="宋体" w:hAnsi="宋体"/>
                <w:color w:val="auto"/>
                <w:szCs w:val="21"/>
              </w:rPr>
              <w:t>自签订合同之日起</w:t>
            </w:r>
            <w:r>
              <w:rPr>
                <w:rFonts w:hint="eastAsia" w:ascii="宋体" w:hAnsi="宋体"/>
                <w:color w:val="auto"/>
                <w:szCs w:val="21"/>
                <w:u w:val="single"/>
              </w:rPr>
              <w:t xml:space="preserve">    </w:t>
            </w:r>
            <w:r>
              <w:rPr>
                <w:rFonts w:hint="eastAsia" w:ascii="宋体" w:hAnsi="宋体"/>
                <w:color w:val="auto"/>
                <w:szCs w:val="21"/>
              </w:rPr>
              <w:t>日</w:t>
            </w:r>
          </w:p>
        </w:tc>
      </w:tr>
      <w:tr>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r>
              <w:rPr>
                <w:rFonts w:hint="eastAsia" w:ascii="宋体" w:hAnsi="宋体"/>
                <w:color w:val="auto"/>
                <w:szCs w:val="21"/>
              </w:rPr>
              <w:t>优惠条件</w:t>
            </w:r>
          </w:p>
        </w:tc>
        <w:tc>
          <w:tcPr>
            <w:tcW w:w="8314"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jc w:val="left"/>
              <w:rPr>
                <w:rFonts w:ascii="宋体" w:hAnsi="宋体"/>
                <w:color w:val="auto"/>
                <w:szCs w:val="21"/>
              </w:rPr>
            </w:pPr>
          </w:p>
        </w:tc>
      </w:tr>
      <w:tr>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40" w:lineRule="exact"/>
              <w:jc w:val="center"/>
              <w:rPr>
                <w:rFonts w:ascii="宋体" w:hAnsi="宋体"/>
                <w:color w:val="auto"/>
                <w:szCs w:val="21"/>
              </w:rPr>
            </w:pPr>
          </w:p>
        </w:tc>
        <w:tc>
          <w:tcPr>
            <w:tcW w:w="8314"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40" w:lineRule="exact"/>
              <w:rPr>
                <w:rFonts w:ascii="宋体" w:hAnsi="宋体"/>
                <w:b/>
                <w:color w:val="auto"/>
                <w:szCs w:val="21"/>
              </w:rPr>
            </w:pPr>
            <w:r>
              <w:rPr>
                <w:rFonts w:hint="eastAsia" w:ascii="宋体" w:hAnsi="宋体"/>
                <w:b/>
                <w:color w:val="auto"/>
                <w:szCs w:val="21"/>
              </w:rPr>
              <w:t>说明：</w:t>
            </w:r>
          </w:p>
          <w:p>
            <w:pPr>
              <w:spacing w:line="440" w:lineRule="exact"/>
              <w:rPr>
                <w:rFonts w:ascii="宋体" w:hAnsi="宋体"/>
                <w:color w:val="auto"/>
                <w:szCs w:val="21"/>
              </w:rPr>
            </w:pPr>
            <w:r>
              <w:rPr>
                <w:rFonts w:ascii="宋体" w:hAnsi="宋体"/>
                <w:color w:val="auto"/>
                <w:szCs w:val="21"/>
              </w:rPr>
              <w:t>1</w:t>
            </w:r>
            <w:r>
              <w:rPr>
                <w:rFonts w:hint="eastAsia" w:ascii="宋体" w:hAnsi="宋体"/>
                <w:color w:val="auto"/>
                <w:szCs w:val="21"/>
              </w:rPr>
              <w:t>、本表投标总价应与</w:t>
            </w:r>
            <w:r>
              <w:rPr>
                <w:rFonts w:hint="eastAsia" w:ascii="宋体" w:hAnsi="宋体"/>
                <w:color w:val="auto"/>
                <w:szCs w:val="21"/>
                <w:u w:val="single"/>
              </w:rPr>
              <w:t>投标文件中报价表、投标函的总报价一致</w:t>
            </w:r>
            <w:r>
              <w:rPr>
                <w:rFonts w:hint="eastAsia" w:ascii="宋体" w:hAnsi="宋体"/>
                <w:color w:val="auto"/>
                <w:szCs w:val="21"/>
              </w:rPr>
              <w:t>，不一致者以《投标函》中总报价为准（大小写不一致以大写金额为准），投标人将承担由此造成的一切后果。</w:t>
            </w:r>
          </w:p>
          <w:p>
            <w:pPr>
              <w:spacing w:line="440" w:lineRule="exact"/>
              <w:rPr>
                <w:rFonts w:ascii="宋体" w:hAnsi="宋体"/>
                <w:color w:val="auto"/>
                <w:szCs w:val="21"/>
              </w:rPr>
            </w:pPr>
            <w:r>
              <w:rPr>
                <w:rFonts w:ascii="宋体" w:hAnsi="宋体"/>
                <w:color w:val="auto"/>
                <w:szCs w:val="21"/>
              </w:rPr>
              <w:t>2</w:t>
            </w:r>
            <w:r>
              <w:rPr>
                <w:rFonts w:hint="eastAsia" w:ascii="宋体" w:hAnsi="宋体"/>
                <w:color w:val="auto"/>
                <w:szCs w:val="21"/>
              </w:rPr>
              <w:t>、与本表同时公开唱标的内容包括对其投标文件的修改或撤回通知、投标价折扣声明、其他采购人认为应该宣读的内容等。</w:t>
            </w:r>
          </w:p>
          <w:p>
            <w:pPr>
              <w:spacing w:line="440" w:lineRule="exact"/>
              <w:rPr>
                <w:rFonts w:ascii="宋体" w:hAnsi="宋体"/>
                <w:color w:val="auto"/>
                <w:szCs w:val="21"/>
              </w:rPr>
            </w:pPr>
            <w:r>
              <w:rPr>
                <w:rFonts w:ascii="宋体" w:hAnsi="宋体"/>
                <w:color w:val="auto"/>
                <w:szCs w:val="21"/>
              </w:rPr>
              <w:t>3</w:t>
            </w:r>
            <w:r>
              <w:rPr>
                <w:rFonts w:hint="eastAsia" w:ascii="宋体" w:hAnsi="宋体"/>
                <w:color w:val="auto"/>
                <w:szCs w:val="21"/>
              </w:rPr>
              <w:t>、投标总报价应包含成本、运输、税金、培训、安装调试等一切与之相关费用</w:t>
            </w:r>
            <w:r>
              <w:rPr>
                <w:rFonts w:hint="eastAsia" w:ascii="宋体" w:hAnsi="宋体"/>
                <w:b/>
                <w:color w:val="auto"/>
                <w:szCs w:val="21"/>
              </w:rPr>
              <w:t>。</w:t>
            </w:r>
          </w:p>
        </w:tc>
      </w:tr>
    </w:tbl>
    <w:p>
      <w:pPr>
        <w:pStyle w:val="9"/>
        <w:spacing w:line="440" w:lineRule="exact"/>
        <w:ind w:left="0" w:leftChars="0" w:firstLine="212" w:firstLineChars="100"/>
        <w:rPr>
          <w:rFonts w:ascii="宋体" w:hAnsi="宋体"/>
          <w:color w:val="auto"/>
          <w:szCs w:val="21"/>
        </w:rPr>
      </w:pPr>
    </w:p>
    <w:p>
      <w:pPr>
        <w:pStyle w:val="9"/>
        <w:spacing w:line="440" w:lineRule="exact"/>
        <w:ind w:left="0" w:leftChars="0" w:firstLine="212" w:firstLineChars="100"/>
        <w:rPr>
          <w:rFonts w:ascii="宋体" w:hAnsi="宋体"/>
          <w:color w:val="auto"/>
          <w:szCs w:val="21"/>
        </w:rPr>
      </w:pPr>
      <w:r>
        <w:rPr>
          <w:rFonts w:hint="eastAsia" w:ascii="宋体" w:hAnsi="宋体"/>
          <w:color w:val="auto"/>
          <w:szCs w:val="21"/>
        </w:rPr>
        <w:t>投标人名称（公章）：</w:t>
      </w:r>
    </w:p>
    <w:p>
      <w:pPr>
        <w:pStyle w:val="9"/>
        <w:spacing w:line="440" w:lineRule="exact"/>
        <w:ind w:left="0" w:leftChars="0" w:firstLine="212" w:firstLineChars="100"/>
        <w:rPr>
          <w:rFonts w:ascii="宋体" w:hAnsi="宋体"/>
          <w:color w:val="auto"/>
          <w:szCs w:val="21"/>
        </w:rPr>
      </w:pPr>
      <w:r>
        <w:rPr>
          <w:rFonts w:hint="eastAsia" w:ascii="宋体" w:hAnsi="宋体"/>
          <w:color w:val="auto"/>
          <w:szCs w:val="21"/>
        </w:rPr>
        <w:t>法定代表人或授权委托人签字:</w:t>
      </w:r>
    </w:p>
    <w:p>
      <w:pPr>
        <w:spacing w:line="440" w:lineRule="exact"/>
        <w:rPr>
          <w:rFonts w:ascii="宋体" w:hAnsi="宋体"/>
          <w:color w:val="auto"/>
          <w:szCs w:val="21"/>
        </w:rPr>
      </w:pPr>
      <w:r>
        <w:rPr>
          <w:rFonts w:hint="eastAsia" w:ascii="宋体" w:hAnsi="宋体"/>
          <w:color w:val="auto"/>
          <w:szCs w:val="21"/>
        </w:rPr>
        <w:t xml:space="preserve">                                                          年    月   日</w:t>
      </w:r>
    </w:p>
    <w:p>
      <w:pPr>
        <w:spacing w:line="440" w:lineRule="exact"/>
        <w:rPr>
          <w:rFonts w:ascii="宋体" w:hAnsi="宋体"/>
          <w:color w:val="auto"/>
          <w:szCs w:val="21"/>
        </w:rPr>
      </w:pPr>
    </w:p>
    <w:p>
      <w:pPr>
        <w:pStyle w:val="10"/>
        <w:spacing w:line="440" w:lineRule="exact"/>
        <w:jc w:val="center"/>
        <w:rPr>
          <w:rFonts w:hAnsi="宋体"/>
          <w:b/>
          <w:color w:val="auto"/>
          <w:sz w:val="28"/>
          <w:szCs w:val="28"/>
        </w:rPr>
      </w:pPr>
      <w:r>
        <w:rPr>
          <w:rFonts w:hint="eastAsia" w:hAnsi="宋体"/>
          <w:b/>
          <w:color w:val="auto"/>
          <w:sz w:val="28"/>
          <w:szCs w:val="28"/>
        </w:rPr>
        <w:t>三、货物分项报价一览表</w:t>
      </w:r>
    </w:p>
    <w:p>
      <w:pPr>
        <w:pStyle w:val="10"/>
        <w:spacing w:line="440" w:lineRule="exact"/>
        <w:jc w:val="left"/>
        <w:rPr>
          <w:rFonts w:hAnsi="宋体"/>
          <w:color w:val="auto"/>
          <w:sz w:val="24"/>
        </w:rPr>
      </w:pPr>
    </w:p>
    <w:p>
      <w:pPr>
        <w:pStyle w:val="10"/>
        <w:spacing w:line="440" w:lineRule="exact"/>
        <w:jc w:val="left"/>
        <w:rPr>
          <w:rFonts w:hAnsi="宋体"/>
          <w:color w:val="auto"/>
          <w:sz w:val="24"/>
        </w:rPr>
      </w:pPr>
      <w:r>
        <w:rPr>
          <w:rFonts w:hint="eastAsia" w:hAnsi="宋体"/>
          <w:color w:val="auto"/>
          <w:sz w:val="24"/>
        </w:rPr>
        <w:t xml:space="preserve">项目编号：                                              </w:t>
      </w:r>
    </w:p>
    <w:p>
      <w:pPr>
        <w:spacing w:line="440" w:lineRule="exact"/>
        <w:rPr>
          <w:rFonts w:ascii="宋体" w:hAnsi="宋体"/>
          <w:color w:val="auto"/>
          <w:szCs w:val="21"/>
        </w:rPr>
      </w:pPr>
    </w:p>
    <w:tbl>
      <w:tblPr>
        <w:tblW w:w="9214"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118"/>
        <w:gridCol w:w="1200"/>
        <w:gridCol w:w="1235"/>
        <w:gridCol w:w="1084"/>
        <w:gridCol w:w="900"/>
        <w:gridCol w:w="599"/>
        <w:gridCol w:w="1041"/>
        <w:gridCol w:w="1215"/>
        <w:gridCol w:w="822"/>
      </w:tblGrid>
      <w:tr>
        <w:trPr>
          <w:cantSplit/>
          <w:trHeight w:val="694" w:hRule="atLeast"/>
          <w:jc w:val="center"/>
        </w:trPr>
        <w:tc>
          <w:tcPr>
            <w:tcW w:w="9214" w:type="dxa"/>
            <w:gridSpan w:val="9"/>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440" w:lineRule="exact"/>
              <w:rPr>
                <w:color w:val="auto"/>
              </w:rPr>
            </w:pPr>
            <w:bookmarkStart w:id="43" w:name="_Toc388091825"/>
            <w:r>
              <w:rPr>
                <w:rFonts w:hint="eastAsia"/>
                <w:color w:val="auto"/>
              </w:rPr>
              <w:t>投标商： （此处填名称并盖章）</w:t>
            </w:r>
            <w:bookmarkEnd w:id="43"/>
          </w:p>
        </w:tc>
      </w:tr>
      <w:tr>
        <w:trPr>
          <w:cantSplit/>
          <w:trHeight w:val="731" w:hRule="atLeast"/>
          <w:jc w:val="center"/>
        </w:trPr>
        <w:tc>
          <w:tcPr>
            <w:tcW w:w="9214" w:type="dxa"/>
            <w:gridSpan w:val="9"/>
            <w:tcBorders>
              <w:left w:val="single" w:color="auto" w:sz="4" w:space="0"/>
              <w:right w:val="single" w:color="auto" w:sz="4" w:space="0"/>
            </w:tcBorders>
            <w:tcMar>
              <w:top w:w="20" w:type="dxa"/>
              <w:left w:w="20" w:type="dxa"/>
              <w:bottom w:w="0" w:type="dxa"/>
              <w:right w:w="20" w:type="dxa"/>
            </w:tcMar>
            <w:vAlign w:val="center"/>
          </w:tcPr>
          <w:p>
            <w:pPr>
              <w:spacing w:line="440" w:lineRule="exact"/>
              <w:rPr>
                <w:color w:val="auto"/>
              </w:rPr>
            </w:pPr>
            <w:bookmarkStart w:id="44" w:name="_Toc388091826"/>
            <w:r>
              <w:rPr>
                <w:rFonts w:hint="eastAsia"/>
                <w:color w:val="auto"/>
              </w:rPr>
              <w:t>项  目： （此处填项目名称）                           金额单位：  元</w:t>
            </w:r>
            <w:bookmarkEnd w:id="44"/>
          </w:p>
        </w:tc>
      </w:tr>
      <w:tr>
        <w:trPr>
          <w:trHeight w:val="705" w:hRule="atLeast"/>
          <w:jc w:val="center"/>
        </w:trPr>
        <w:tc>
          <w:tcPr>
            <w:tcW w:w="111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bookmarkStart w:id="45" w:name="_Toc388091827"/>
            <w:r>
              <w:rPr>
                <w:rFonts w:hint="eastAsia"/>
                <w:color w:val="auto"/>
              </w:rPr>
              <w:t>序号</w:t>
            </w:r>
            <w:bookmarkEnd w:id="45"/>
          </w:p>
        </w:tc>
        <w:tc>
          <w:tcPr>
            <w:tcW w:w="12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r>
              <w:rPr>
                <w:rFonts w:hint="eastAsia"/>
                <w:color w:val="auto"/>
              </w:rPr>
              <w:t>设备名称</w:t>
            </w:r>
          </w:p>
        </w:tc>
        <w:tc>
          <w:tcPr>
            <w:tcW w:w="123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r>
              <w:rPr>
                <w:rFonts w:hint="eastAsia"/>
                <w:color w:val="auto"/>
              </w:rPr>
              <w:t>品牌型号</w:t>
            </w:r>
          </w:p>
        </w:tc>
        <w:tc>
          <w:tcPr>
            <w:tcW w:w="108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bookmarkStart w:id="46" w:name="_Toc388091829"/>
            <w:r>
              <w:rPr>
                <w:rFonts w:hint="eastAsia"/>
                <w:color w:val="auto"/>
              </w:rPr>
              <w:t>技术参数</w:t>
            </w:r>
            <w:bookmarkEnd w:id="46"/>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bookmarkStart w:id="47" w:name="_Toc388091830"/>
            <w:r>
              <w:rPr>
                <w:rFonts w:hint="eastAsia"/>
                <w:color w:val="auto"/>
              </w:rPr>
              <w:t>单位</w:t>
            </w:r>
            <w:bookmarkEnd w:id="47"/>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bookmarkStart w:id="48" w:name="_Toc388091831"/>
            <w:r>
              <w:rPr>
                <w:rFonts w:hint="eastAsia"/>
                <w:color w:val="auto"/>
              </w:rPr>
              <w:t>数量</w:t>
            </w:r>
            <w:bookmarkEnd w:id="48"/>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bookmarkStart w:id="49" w:name="_Toc388091832"/>
            <w:r>
              <w:rPr>
                <w:rFonts w:hint="eastAsia"/>
                <w:color w:val="auto"/>
              </w:rPr>
              <w:t>单价</w:t>
            </w:r>
            <w:bookmarkEnd w:id="49"/>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bookmarkStart w:id="50" w:name="_Toc388091833"/>
            <w:r>
              <w:rPr>
                <w:rFonts w:hint="eastAsia"/>
                <w:color w:val="auto"/>
              </w:rPr>
              <w:t>合计</w:t>
            </w:r>
            <w:bookmarkEnd w:id="50"/>
          </w:p>
        </w:tc>
        <w:tc>
          <w:tcPr>
            <w:tcW w:w="8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bookmarkStart w:id="51" w:name="_Toc388091834"/>
            <w:r>
              <w:rPr>
                <w:rFonts w:hint="eastAsia"/>
                <w:color w:val="auto"/>
              </w:rPr>
              <w:t>备注</w:t>
            </w:r>
            <w:bookmarkEnd w:id="51"/>
          </w:p>
        </w:tc>
      </w:tr>
      <w:tr>
        <w:trPr>
          <w:trHeight w:val="645" w:hRule="atLeast"/>
          <w:jc w:val="center"/>
        </w:trPr>
        <w:tc>
          <w:tcPr>
            <w:tcW w:w="111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3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8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8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r>
      <w:tr>
        <w:trPr>
          <w:trHeight w:val="645" w:hRule="atLeast"/>
          <w:jc w:val="center"/>
        </w:trPr>
        <w:tc>
          <w:tcPr>
            <w:tcW w:w="111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3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8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8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r>
      <w:tr>
        <w:trPr>
          <w:trHeight w:val="645" w:hRule="atLeast"/>
          <w:jc w:val="center"/>
        </w:trPr>
        <w:tc>
          <w:tcPr>
            <w:tcW w:w="111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3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8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8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r>
      <w:tr>
        <w:trPr>
          <w:trHeight w:val="645" w:hRule="atLeast"/>
          <w:jc w:val="center"/>
        </w:trPr>
        <w:tc>
          <w:tcPr>
            <w:tcW w:w="111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3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8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8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r>
      <w:tr>
        <w:trPr>
          <w:trHeight w:val="645" w:hRule="atLeast"/>
          <w:jc w:val="center"/>
        </w:trPr>
        <w:tc>
          <w:tcPr>
            <w:tcW w:w="1118"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3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8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8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r>
      <w:tr>
        <w:trPr>
          <w:trHeight w:val="645" w:hRule="atLeast"/>
          <w:jc w:val="center"/>
        </w:trPr>
        <w:tc>
          <w:tcPr>
            <w:tcW w:w="1118"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3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8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c>
          <w:tcPr>
            <w:tcW w:w="8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color w:val="auto"/>
              </w:rPr>
            </w:pPr>
          </w:p>
        </w:tc>
      </w:tr>
      <w:tr>
        <w:trPr>
          <w:trHeight w:val="765" w:hRule="atLeast"/>
          <w:jc w:val="center"/>
        </w:trPr>
        <w:tc>
          <w:tcPr>
            <w:tcW w:w="9214" w:type="dxa"/>
            <w:gridSpan w:val="9"/>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rPr>
                <w:color w:val="auto"/>
              </w:rPr>
            </w:pPr>
            <w:bookmarkStart w:id="52" w:name="_Toc388091835"/>
            <w:r>
              <w:rPr>
                <w:rFonts w:hint="eastAsia"/>
                <w:color w:val="auto"/>
              </w:rPr>
              <w:t>优惠条件：1、</w:t>
            </w:r>
            <w:bookmarkEnd w:id="52"/>
          </w:p>
          <w:p>
            <w:pPr>
              <w:spacing w:line="440" w:lineRule="exact"/>
              <w:ind w:firstLine="1058" w:firstLineChars="500"/>
              <w:rPr>
                <w:color w:val="auto"/>
              </w:rPr>
            </w:pPr>
            <w:bookmarkStart w:id="53" w:name="_Toc388091836"/>
            <w:r>
              <w:rPr>
                <w:rFonts w:hint="eastAsia"/>
                <w:color w:val="auto"/>
              </w:rPr>
              <w:t>2、</w:t>
            </w:r>
            <w:bookmarkEnd w:id="53"/>
          </w:p>
          <w:p>
            <w:pPr>
              <w:spacing w:line="440" w:lineRule="exact"/>
              <w:ind w:firstLine="1058" w:firstLineChars="500"/>
              <w:rPr>
                <w:color w:val="auto"/>
              </w:rPr>
            </w:pPr>
            <w:bookmarkStart w:id="54" w:name="_Toc388091837"/>
            <w:r>
              <w:rPr>
                <w:rFonts w:hint="eastAsia"/>
                <w:color w:val="auto"/>
              </w:rPr>
              <w:t>3、</w:t>
            </w:r>
            <w:bookmarkEnd w:id="54"/>
          </w:p>
          <w:p>
            <w:pPr>
              <w:spacing w:line="440" w:lineRule="exact"/>
              <w:jc w:val="center"/>
              <w:rPr>
                <w:color w:val="auto"/>
              </w:rPr>
            </w:pPr>
          </w:p>
          <w:p>
            <w:pPr>
              <w:spacing w:line="440" w:lineRule="exact"/>
              <w:jc w:val="center"/>
              <w:rPr>
                <w:color w:val="auto"/>
              </w:rPr>
            </w:pPr>
          </w:p>
          <w:p>
            <w:pPr>
              <w:spacing w:line="440" w:lineRule="exact"/>
              <w:jc w:val="center"/>
              <w:rPr>
                <w:color w:val="auto"/>
              </w:rPr>
            </w:pPr>
            <w:bookmarkStart w:id="55" w:name="_Toc388091838"/>
            <w:r>
              <w:rPr>
                <w:rFonts w:hint="eastAsia"/>
                <w:color w:val="auto"/>
              </w:rPr>
              <w:t>法定代表人或授权委托人签字（公章）：</w:t>
            </w:r>
            <w:bookmarkEnd w:id="55"/>
          </w:p>
          <w:p>
            <w:pPr>
              <w:spacing w:line="440" w:lineRule="exact"/>
              <w:jc w:val="center"/>
              <w:rPr>
                <w:color w:val="auto"/>
              </w:rPr>
            </w:pPr>
          </w:p>
          <w:p>
            <w:pPr>
              <w:spacing w:line="440" w:lineRule="exact"/>
              <w:jc w:val="center"/>
              <w:rPr>
                <w:color w:val="auto"/>
              </w:rPr>
            </w:pPr>
          </w:p>
        </w:tc>
      </w:tr>
    </w:tbl>
    <w:p>
      <w:pPr>
        <w:spacing w:line="440" w:lineRule="exact"/>
        <w:rPr>
          <w:rFonts w:ascii="宋体" w:hAnsi="宋体"/>
          <w:color w:val="auto"/>
          <w:szCs w:val="21"/>
        </w:rPr>
      </w:pPr>
    </w:p>
    <w:p>
      <w:pPr>
        <w:spacing w:line="440" w:lineRule="exact"/>
        <w:rPr>
          <w:rFonts w:ascii="宋体" w:hAnsi="宋体"/>
          <w:color w:val="auto"/>
          <w:szCs w:val="21"/>
        </w:rPr>
      </w:pPr>
    </w:p>
    <w:p>
      <w:pPr>
        <w:spacing w:line="440" w:lineRule="exact"/>
        <w:rPr>
          <w:color w:val="auto"/>
        </w:rPr>
      </w:pPr>
      <w:bookmarkStart w:id="56" w:name="_Toc388541220"/>
      <w:r>
        <w:rPr>
          <w:rFonts w:hint="eastAsia"/>
          <w:color w:val="auto"/>
        </w:rPr>
        <w:t>注：此表可接续</w:t>
      </w:r>
      <w:bookmarkEnd w:id="56"/>
    </w:p>
    <w:p>
      <w:pPr>
        <w:spacing w:line="440" w:lineRule="exact"/>
        <w:rPr>
          <w:rFonts w:ascii="宋体" w:hAnsi="宋体"/>
          <w:color w:val="auto"/>
          <w:szCs w:val="21"/>
        </w:rPr>
      </w:pPr>
    </w:p>
    <w:p>
      <w:pPr>
        <w:spacing w:line="440" w:lineRule="exact"/>
        <w:rPr>
          <w:rFonts w:ascii="宋体" w:hAnsi="宋体"/>
          <w:color w:val="auto"/>
          <w:szCs w:val="21"/>
        </w:rPr>
      </w:pPr>
    </w:p>
    <w:p>
      <w:pPr>
        <w:pStyle w:val="3"/>
        <w:spacing w:line="440" w:lineRule="exact"/>
        <w:rPr>
          <w:rFonts w:ascii="宋体" w:eastAsia="宋体"/>
          <w:color w:val="auto"/>
          <w:sz w:val="28"/>
          <w:szCs w:val="28"/>
        </w:rPr>
      </w:pPr>
      <w:bookmarkStart w:id="57" w:name="_Toc23887"/>
      <w:r>
        <w:rPr>
          <w:rFonts w:hint="eastAsia" w:ascii="宋体" w:eastAsia="宋体"/>
          <w:color w:val="auto"/>
          <w:sz w:val="28"/>
          <w:szCs w:val="28"/>
        </w:rPr>
        <w:t>四、技术规格和商务条款偏差表</w:t>
      </w:r>
      <w:bookmarkEnd w:id="57"/>
    </w:p>
    <w:p>
      <w:pPr>
        <w:spacing w:line="440" w:lineRule="exact"/>
        <w:jc w:val="center"/>
        <w:rPr>
          <w:rFonts w:ascii="宋体" w:hAnsi="宋体"/>
          <w:b/>
          <w:color w:val="auto"/>
          <w:szCs w:val="21"/>
        </w:rPr>
      </w:pPr>
    </w:p>
    <w:p>
      <w:pPr>
        <w:widowControl/>
        <w:spacing w:line="440" w:lineRule="exact"/>
        <w:rPr>
          <w:rFonts w:ascii="宋体" w:hAnsi="宋体"/>
          <w:color w:val="auto"/>
          <w:szCs w:val="21"/>
        </w:rPr>
      </w:pPr>
      <w:r>
        <w:rPr>
          <w:rFonts w:hint="eastAsia" w:ascii="宋体" w:hAnsi="宋体"/>
          <w:color w:val="auto"/>
          <w:szCs w:val="21"/>
        </w:rPr>
        <w:t>项目名称：</w:t>
      </w:r>
      <w:r>
        <w:rPr>
          <w:rFonts w:hint="eastAsia" w:ascii="宋体" w:hAnsi="宋体"/>
          <w:color w:val="auto"/>
          <w:szCs w:val="21"/>
          <w:u w:val="single"/>
        </w:rPr>
        <w:t xml:space="preserve">                                </w:t>
      </w:r>
      <w:r>
        <w:rPr>
          <w:rFonts w:hint="eastAsia" w:ascii="宋体" w:hAnsi="宋体"/>
          <w:color w:val="auto"/>
          <w:szCs w:val="21"/>
        </w:rPr>
        <w:t xml:space="preserve"> </w:t>
      </w:r>
      <w:r>
        <w:rPr>
          <w:rFonts w:ascii="宋体" w:hAnsi="宋体"/>
          <w:color w:val="auto"/>
          <w:szCs w:val="21"/>
        </w:rPr>
        <w:t xml:space="preserve"> </w:t>
      </w:r>
    </w:p>
    <w:p>
      <w:pPr>
        <w:widowControl/>
        <w:spacing w:line="440" w:lineRule="exact"/>
        <w:rPr>
          <w:rFonts w:ascii="宋体" w:hAnsi="宋体"/>
          <w:color w:val="auto"/>
          <w:szCs w:val="21"/>
          <w:u w:val="single"/>
        </w:rPr>
      </w:pPr>
      <w:r>
        <w:rPr>
          <w:rFonts w:hint="eastAsia" w:ascii="宋体" w:hAnsi="宋体"/>
          <w:color w:val="auto"/>
          <w:szCs w:val="21"/>
        </w:rPr>
        <w:t>项目编号：</w:t>
      </w:r>
      <w:r>
        <w:rPr>
          <w:rFonts w:hint="eastAsia" w:ascii="宋体" w:hAnsi="宋体"/>
          <w:color w:val="auto"/>
          <w:szCs w:val="21"/>
          <w:u w:val="single"/>
        </w:rPr>
        <w:t xml:space="preserve">                                </w:t>
      </w:r>
    </w:p>
    <w:p>
      <w:pPr>
        <w:widowControl/>
        <w:spacing w:line="440" w:lineRule="exact"/>
        <w:rPr>
          <w:rFonts w:ascii="宋体" w:hAnsi="宋体"/>
          <w:color w:val="auto"/>
          <w:szCs w:val="21"/>
        </w:rPr>
      </w:pPr>
      <w:r>
        <w:rPr>
          <w:rFonts w:hint="eastAsia" w:ascii="宋体" w:hAnsi="宋体"/>
          <w:color w:val="auto"/>
          <w:szCs w:val="21"/>
        </w:rPr>
        <w:t>投标人名称：（公章）</w:t>
      </w:r>
      <w:r>
        <w:rPr>
          <w:rFonts w:hint="eastAsia" w:ascii="宋体" w:hAnsi="宋体"/>
          <w:color w:val="auto"/>
          <w:szCs w:val="21"/>
          <w:u w:val="single"/>
        </w:rPr>
        <w:t xml:space="preserve">                      </w:t>
      </w:r>
      <w:r>
        <w:rPr>
          <w:rFonts w:hint="eastAsia" w:ascii="宋体" w:hAnsi="宋体"/>
          <w:color w:val="auto"/>
          <w:szCs w:val="21"/>
        </w:rPr>
        <w:t xml:space="preserve"> </w:t>
      </w:r>
    </w:p>
    <w:tbl>
      <w:tblPr>
        <w:tblpPr w:leftFromText="180" w:rightFromText="180" w:vertAnchor="text" w:horzAnchor="margin" w:tblpXSpec="left" w:tblpY="297"/>
        <w:tblW w:w="9368"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8"/>
        <w:gridCol w:w="1792"/>
        <w:gridCol w:w="2848"/>
        <w:gridCol w:w="1934"/>
        <w:gridCol w:w="2246"/>
      </w:tblGrid>
      <w:tr>
        <w:trPr>
          <w:trHeight w:val="2153" w:hRule="atLeast"/>
        </w:trPr>
        <w:tc>
          <w:tcPr>
            <w:tcW w:w="548" w:type="dxa"/>
            <w:vAlign w:val="top"/>
          </w:tcPr>
          <w:p>
            <w:pPr>
              <w:widowControl/>
              <w:spacing w:line="440" w:lineRule="exact"/>
              <w:jc w:val="center"/>
              <w:rPr>
                <w:rFonts w:ascii="宋体" w:hAnsi="宋体"/>
                <w:color w:val="auto"/>
                <w:szCs w:val="21"/>
              </w:rPr>
            </w:pPr>
          </w:p>
          <w:p>
            <w:pPr>
              <w:widowControl/>
              <w:spacing w:line="440" w:lineRule="exact"/>
              <w:jc w:val="center"/>
              <w:rPr>
                <w:rFonts w:ascii="宋体" w:hAnsi="宋体"/>
                <w:color w:val="auto"/>
                <w:szCs w:val="21"/>
              </w:rPr>
            </w:pPr>
            <w:r>
              <w:rPr>
                <w:rFonts w:hint="eastAsia" w:ascii="宋体" w:hAnsi="宋体"/>
                <w:color w:val="auto"/>
                <w:szCs w:val="21"/>
              </w:rPr>
              <w:t>序</w:t>
            </w:r>
          </w:p>
          <w:p>
            <w:pPr>
              <w:widowControl/>
              <w:spacing w:line="440" w:lineRule="exact"/>
              <w:jc w:val="center"/>
              <w:rPr>
                <w:rFonts w:ascii="宋体" w:hAnsi="宋体"/>
                <w:color w:val="auto"/>
                <w:szCs w:val="21"/>
              </w:rPr>
            </w:pPr>
            <w:r>
              <w:rPr>
                <w:rFonts w:hint="eastAsia" w:ascii="宋体" w:hAnsi="宋体"/>
                <w:color w:val="auto"/>
                <w:szCs w:val="21"/>
              </w:rPr>
              <w:t>号</w:t>
            </w:r>
          </w:p>
        </w:tc>
        <w:tc>
          <w:tcPr>
            <w:tcW w:w="1792" w:type="dxa"/>
            <w:vAlign w:val="center"/>
          </w:tcPr>
          <w:p>
            <w:pPr>
              <w:widowControl/>
              <w:spacing w:line="440" w:lineRule="exact"/>
              <w:jc w:val="center"/>
              <w:rPr>
                <w:rFonts w:ascii="宋体" w:hAnsi="宋体"/>
                <w:color w:val="auto"/>
                <w:szCs w:val="21"/>
              </w:rPr>
            </w:pPr>
            <w:r>
              <w:rPr>
                <w:rFonts w:hint="eastAsia" w:ascii="宋体" w:hAnsi="宋体"/>
                <w:color w:val="auto"/>
                <w:szCs w:val="21"/>
              </w:rPr>
              <w:t>招标文件技术</w:t>
            </w:r>
          </w:p>
          <w:p>
            <w:pPr>
              <w:widowControl/>
              <w:spacing w:line="440" w:lineRule="exact"/>
              <w:jc w:val="center"/>
              <w:rPr>
                <w:rFonts w:ascii="宋体" w:hAnsi="宋体"/>
                <w:color w:val="auto"/>
                <w:szCs w:val="21"/>
              </w:rPr>
            </w:pPr>
            <w:r>
              <w:rPr>
                <w:rFonts w:hint="eastAsia" w:ascii="宋体" w:hAnsi="宋体"/>
                <w:color w:val="auto"/>
                <w:szCs w:val="21"/>
              </w:rPr>
              <w:t>要求（详细列明技术配置）</w:t>
            </w:r>
          </w:p>
        </w:tc>
        <w:tc>
          <w:tcPr>
            <w:tcW w:w="2848" w:type="dxa"/>
            <w:vAlign w:val="center"/>
          </w:tcPr>
          <w:p>
            <w:pPr>
              <w:widowControl/>
              <w:spacing w:line="440" w:lineRule="exact"/>
              <w:jc w:val="center"/>
              <w:rPr>
                <w:rFonts w:ascii="宋体" w:hAnsi="宋体"/>
                <w:color w:val="auto"/>
                <w:szCs w:val="21"/>
              </w:rPr>
            </w:pPr>
            <w:r>
              <w:rPr>
                <w:rFonts w:hint="eastAsia" w:ascii="宋体" w:hAnsi="宋体"/>
                <w:color w:val="auto"/>
                <w:szCs w:val="21"/>
              </w:rPr>
              <w:t>投标文件技术</w:t>
            </w:r>
          </w:p>
          <w:p>
            <w:pPr>
              <w:widowControl/>
              <w:spacing w:line="440" w:lineRule="exact"/>
              <w:jc w:val="center"/>
              <w:rPr>
                <w:rFonts w:ascii="宋体" w:hAnsi="宋体"/>
                <w:color w:val="auto"/>
                <w:szCs w:val="21"/>
              </w:rPr>
            </w:pPr>
            <w:r>
              <w:rPr>
                <w:rFonts w:hint="eastAsia" w:ascii="宋体" w:hAnsi="宋体"/>
                <w:color w:val="auto"/>
                <w:szCs w:val="21"/>
              </w:rPr>
              <w:t>响应情况（详细列明所投产品的技术配置）</w:t>
            </w:r>
          </w:p>
        </w:tc>
        <w:tc>
          <w:tcPr>
            <w:tcW w:w="1934" w:type="dxa"/>
            <w:vAlign w:val="center"/>
          </w:tcPr>
          <w:p>
            <w:pPr>
              <w:widowControl/>
              <w:spacing w:line="440" w:lineRule="exact"/>
              <w:jc w:val="center"/>
              <w:rPr>
                <w:rFonts w:ascii="宋体" w:hAnsi="宋体"/>
                <w:color w:val="auto"/>
                <w:szCs w:val="21"/>
              </w:rPr>
            </w:pPr>
            <w:r>
              <w:rPr>
                <w:rFonts w:hint="eastAsia" w:ascii="宋体" w:hAnsi="宋体"/>
                <w:color w:val="auto"/>
                <w:szCs w:val="21"/>
              </w:rPr>
              <w:t>偏差描述（详细描述技术是否具有正、负偏差）</w:t>
            </w:r>
          </w:p>
        </w:tc>
        <w:tc>
          <w:tcPr>
            <w:tcW w:w="2246" w:type="dxa"/>
            <w:tcBorders>
              <w:right w:val="single" w:color="auto" w:sz="4" w:space="0"/>
            </w:tcBorders>
            <w:vAlign w:val="center"/>
          </w:tcPr>
          <w:p>
            <w:pPr>
              <w:widowControl/>
              <w:spacing w:line="440" w:lineRule="exact"/>
              <w:jc w:val="center"/>
              <w:rPr>
                <w:rFonts w:ascii="宋体" w:hAnsi="宋体"/>
                <w:color w:val="auto"/>
                <w:szCs w:val="21"/>
              </w:rPr>
            </w:pPr>
            <w:r>
              <w:rPr>
                <w:rFonts w:hint="eastAsia" w:ascii="宋体" w:hAnsi="宋体"/>
                <w:color w:val="auto"/>
                <w:szCs w:val="21"/>
              </w:rPr>
              <w:t>作为评标性能技术参数得分依据</w:t>
            </w:r>
          </w:p>
        </w:tc>
      </w:tr>
      <w:tr>
        <w:trPr>
          <w:trHeight w:val="672" w:hRule="atLeast"/>
        </w:trPr>
        <w:tc>
          <w:tcPr>
            <w:tcW w:w="548" w:type="dxa"/>
            <w:tcBorders>
              <w:bottom w:val="single" w:color="auto" w:sz="4" w:space="0"/>
            </w:tcBorders>
            <w:vAlign w:val="top"/>
          </w:tcPr>
          <w:p>
            <w:pPr>
              <w:widowControl/>
              <w:spacing w:line="440" w:lineRule="exact"/>
              <w:rPr>
                <w:rFonts w:ascii="宋体" w:hAnsi="宋体"/>
                <w:color w:val="auto"/>
                <w:szCs w:val="21"/>
              </w:rPr>
            </w:pPr>
          </w:p>
        </w:tc>
        <w:tc>
          <w:tcPr>
            <w:tcW w:w="1792" w:type="dxa"/>
            <w:tcBorders>
              <w:bottom w:val="single" w:color="auto" w:sz="4" w:space="0"/>
            </w:tcBorders>
            <w:vAlign w:val="top"/>
          </w:tcPr>
          <w:p>
            <w:pPr>
              <w:widowControl/>
              <w:spacing w:line="440" w:lineRule="exact"/>
              <w:rPr>
                <w:rFonts w:ascii="宋体" w:hAnsi="宋体"/>
                <w:color w:val="auto"/>
                <w:szCs w:val="21"/>
              </w:rPr>
            </w:pPr>
          </w:p>
        </w:tc>
        <w:tc>
          <w:tcPr>
            <w:tcW w:w="2848" w:type="dxa"/>
            <w:tcBorders>
              <w:bottom w:val="single" w:color="auto" w:sz="4" w:space="0"/>
            </w:tcBorders>
            <w:vAlign w:val="top"/>
          </w:tcPr>
          <w:p>
            <w:pPr>
              <w:widowControl/>
              <w:spacing w:line="440" w:lineRule="exact"/>
              <w:rPr>
                <w:rFonts w:ascii="宋体" w:hAnsi="宋体"/>
                <w:color w:val="auto"/>
                <w:szCs w:val="21"/>
              </w:rPr>
            </w:pPr>
          </w:p>
        </w:tc>
        <w:tc>
          <w:tcPr>
            <w:tcW w:w="1934" w:type="dxa"/>
            <w:tcBorders>
              <w:bottom w:val="single" w:color="auto" w:sz="4" w:space="0"/>
            </w:tcBorders>
            <w:vAlign w:val="top"/>
          </w:tcPr>
          <w:p>
            <w:pPr>
              <w:widowControl/>
              <w:spacing w:line="440" w:lineRule="exact"/>
              <w:rPr>
                <w:rFonts w:ascii="宋体" w:hAnsi="宋体"/>
                <w:color w:val="auto"/>
                <w:szCs w:val="21"/>
              </w:rPr>
            </w:pPr>
          </w:p>
        </w:tc>
        <w:tc>
          <w:tcPr>
            <w:tcW w:w="2246" w:type="dxa"/>
            <w:tcBorders>
              <w:bottom w:val="single" w:color="auto" w:sz="4" w:space="0"/>
              <w:right w:val="single" w:color="auto" w:sz="4" w:space="0"/>
            </w:tcBorders>
            <w:vAlign w:val="top"/>
          </w:tcPr>
          <w:p>
            <w:pPr>
              <w:widowControl/>
              <w:spacing w:line="440" w:lineRule="exact"/>
              <w:rPr>
                <w:rFonts w:ascii="宋体" w:hAnsi="宋体"/>
                <w:color w:val="auto"/>
                <w:szCs w:val="21"/>
              </w:rPr>
            </w:pPr>
          </w:p>
        </w:tc>
      </w:tr>
      <w:tr>
        <w:trPr>
          <w:trHeight w:val="626" w:hRule="atLeast"/>
        </w:trPr>
        <w:tc>
          <w:tcPr>
            <w:tcW w:w="548"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1792"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2848"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1934"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vAlign w:val="top"/>
          </w:tcPr>
          <w:p>
            <w:pPr>
              <w:widowControl/>
              <w:spacing w:line="440" w:lineRule="exact"/>
              <w:rPr>
                <w:rFonts w:ascii="宋体" w:hAnsi="宋体"/>
                <w:color w:val="auto"/>
                <w:szCs w:val="21"/>
              </w:rPr>
            </w:pPr>
          </w:p>
        </w:tc>
      </w:tr>
      <w:tr>
        <w:trPr>
          <w:trHeight w:val="626" w:hRule="atLeast"/>
        </w:trPr>
        <w:tc>
          <w:tcPr>
            <w:tcW w:w="548"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1792"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2848"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1934"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vAlign w:val="top"/>
          </w:tcPr>
          <w:p>
            <w:pPr>
              <w:widowControl/>
              <w:spacing w:line="440" w:lineRule="exact"/>
              <w:rPr>
                <w:rFonts w:ascii="宋体" w:hAnsi="宋体"/>
                <w:color w:val="auto"/>
                <w:szCs w:val="21"/>
              </w:rPr>
            </w:pPr>
          </w:p>
        </w:tc>
      </w:tr>
      <w:tr>
        <w:trPr>
          <w:trHeight w:val="650" w:hRule="atLeast"/>
        </w:trPr>
        <w:tc>
          <w:tcPr>
            <w:tcW w:w="548"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1792"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2848"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1934" w:type="dxa"/>
            <w:tcBorders>
              <w:top w:val="single" w:color="auto" w:sz="4" w:space="0"/>
              <w:bottom w:val="single" w:color="auto" w:sz="4" w:space="0"/>
            </w:tcBorders>
            <w:vAlign w:val="top"/>
          </w:tcPr>
          <w:p>
            <w:pPr>
              <w:widowControl/>
              <w:spacing w:line="440" w:lineRule="exact"/>
              <w:rPr>
                <w:rFonts w:ascii="宋体" w:hAnsi="宋体"/>
                <w:color w:val="auto"/>
                <w:szCs w:val="21"/>
              </w:rPr>
            </w:pPr>
          </w:p>
        </w:tc>
        <w:tc>
          <w:tcPr>
            <w:tcW w:w="2246" w:type="dxa"/>
            <w:tcBorders>
              <w:top w:val="single" w:color="auto" w:sz="4" w:space="0"/>
              <w:bottom w:val="single" w:color="auto" w:sz="4" w:space="0"/>
              <w:right w:val="single" w:color="auto" w:sz="4" w:space="0"/>
            </w:tcBorders>
            <w:vAlign w:val="top"/>
          </w:tcPr>
          <w:p>
            <w:pPr>
              <w:widowControl/>
              <w:spacing w:line="440" w:lineRule="exact"/>
              <w:rPr>
                <w:rFonts w:ascii="宋体" w:hAnsi="宋体"/>
                <w:color w:val="auto"/>
                <w:szCs w:val="21"/>
              </w:rPr>
            </w:pPr>
          </w:p>
        </w:tc>
      </w:tr>
    </w:tbl>
    <w:p>
      <w:pPr>
        <w:widowControl/>
        <w:spacing w:line="440" w:lineRule="exact"/>
        <w:rPr>
          <w:rFonts w:ascii="宋体" w:hAnsi="宋体"/>
          <w:b/>
          <w:color w:val="auto"/>
          <w:szCs w:val="21"/>
        </w:rPr>
      </w:pPr>
    </w:p>
    <w:p>
      <w:pPr>
        <w:widowControl/>
        <w:spacing w:line="440" w:lineRule="exact"/>
        <w:ind w:firstLine="311" w:firstLineChars="147"/>
        <w:rPr>
          <w:rFonts w:ascii="宋体" w:hAnsi="宋体"/>
          <w:color w:val="auto"/>
          <w:szCs w:val="21"/>
        </w:rPr>
      </w:pPr>
      <w:r>
        <w:rPr>
          <w:rFonts w:hint="eastAsia" w:ascii="宋体" w:hAnsi="宋体"/>
          <w:color w:val="auto"/>
          <w:szCs w:val="21"/>
        </w:rPr>
        <w:t>投标人法定代表人或授权代表（签字）：</w:t>
      </w:r>
      <w:r>
        <w:rPr>
          <w:rFonts w:hint="eastAsia" w:ascii="宋体" w:hAnsi="宋体"/>
          <w:color w:val="auto"/>
          <w:szCs w:val="21"/>
          <w:u w:val="single"/>
        </w:rPr>
        <w:t xml:space="preserve">            </w:t>
      </w:r>
      <w:r>
        <w:rPr>
          <w:rFonts w:hint="eastAsia" w:ascii="宋体" w:hAnsi="宋体"/>
          <w:color w:val="auto"/>
          <w:szCs w:val="21"/>
        </w:rPr>
        <w:t xml:space="preserve">            </w:t>
      </w:r>
    </w:p>
    <w:p>
      <w:pPr>
        <w:widowControl/>
        <w:autoSpaceDE w:val="0"/>
        <w:autoSpaceDN w:val="0"/>
        <w:spacing w:line="440" w:lineRule="exact"/>
        <w:ind w:right="26" w:firstLine="311" w:firstLineChars="147"/>
        <w:rPr>
          <w:rFonts w:ascii="宋体" w:hAnsi="宋体"/>
          <w:color w:val="auto"/>
          <w:szCs w:val="21"/>
          <w:u w:val="single"/>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widowControl/>
        <w:autoSpaceDE w:val="0"/>
        <w:autoSpaceDN w:val="0"/>
        <w:spacing w:line="440" w:lineRule="exact"/>
        <w:ind w:right="26" w:firstLine="317" w:firstLineChars="150"/>
        <w:rPr>
          <w:rFonts w:ascii="宋体" w:hAnsi="宋体"/>
          <w:color w:val="auto"/>
          <w:szCs w:val="21"/>
        </w:rPr>
      </w:pPr>
      <w:r>
        <w:rPr>
          <w:rFonts w:hint="eastAsia" w:ascii="宋体" w:hAnsi="宋体"/>
          <w:color w:val="auto"/>
          <w:szCs w:val="21"/>
        </w:rPr>
        <w:t>注：1、投标人必须按要求规范填写技术规范偏差表。如果此表中所列内容无法满足招标文件中提出的要求或内容不一致，其投标将被视为无效投标。</w:t>
      </w:r>
    </w:p>
    <w:p>
      <w:pPr>
        <w:widowControl/>
        <w:spacing w:line="440" w:lineRule="exact"/>
        <w:ind w:firstLine="635" w:firstLineChars="300"/>
        <w:rPr>
          <w:rFonts w:ascii="宋体" w:hAnsi="宋体"/>
          <w:color w:val="auto"/>
          <w:szCs w:val="21"/>
        </w:rPr>
      </w:pPr>
      <w:r>
        <w:rPr>
          <w:rFonts w:hint="eastAsia" w:ascii="宋体" w:hAnsi="宋体"/>
          <w:color w:val="auto"/>
          <w:szCs w:val="21"/>
        </w:rPr>
        <w:t>2、投标人必须根据所投产品的实际情况如实填写，评委会如发现有虚假描述的，将不予推荐中标候选人。</w:t>
      </w:r>
    </w:p>
    <w:p>
      <w:pPr>
        <w:pStyle w:val="3"/>
        <w:spacing w:line="440" w:lineRule="exact"/>
        <w:jc w:val="both"/>
        <w:rPr>
          <w:rFonts w:ascii="宋体" w:eastAsia="宋体"/>
          <w:color w:val="auto"/>
          <w:sz w:val="28"/>
          <w:szCs w:val="28"/>
        </w:rPr>
      </w:pPr>
    </w:p>
    <w:p>
      <w:pPr>
        <w:spacing w:line="440" w:lineRule="exact"/>
        <w:rPr>
          <w:rFonts w:ascii="宋体"/>
          <w:color w:val="auto"/>
          <w:sz w:val="28"/>
          <w:szCs w:val="28"/>
        </w:rPr>
      </w:pPr>
    </w:p>
    <w:p>
      <w:pPr>
        <w:spacing w:line="440" w:lineRule="exact"/>
        <w:rPr>
          <w:rFonts w:ascii="宋体"/>
          <w:color w:val="auto"/>
          <w:sz w:val="28"/>
          <w:szCs w:val="28"/>
        </w:rPr>
      </w:pPr>
    </w:p>
    <w:p>
      <w:pPr>
        <w:spacing w:line="440" w:lineRule="exact"/>
        <w:rPr>
          <w:rFonts w:ascii="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color w:val="auto"/>
        </w:rPr>
      </w:pPr>
      <w:bookmarkStart w:id="58" w:name="_Toc8115"/>
      <w:r>
        <w:rPr>
          <w:rFonts w:hint="eastAsia" w:ascii="宋体" w:eastAsia="宋体"/>
          <w:color w:val="auto"/>
          <w:sz w:val="28"/>
          <w:szCs w:val="28"/>
        </w:rPr>
        <w:t>五、</w:t>
      </w:r>
      <w:r>
        <w:rPr>
          <w:color w:val="auto"/>
        </w:rPr>
        <w:t>法定代表人身份证明</w:t>
      </w:r>
      <w:bookmarkEnd w:id="58"/>
    </w:p>
    <w:p>
      <w:pPr>
        <w:spacing w:line="440" w:lineRule="exact"/>
        <w:rPr>
          <w:color w:val="auto"/>
          <w:sz w:val="20"/>
          <w:szCs w:val="20"/>
        </w:rPr>
      </w:pPr>
    </w:p>
    <w:p>
      <w:pPr>
        <w:spacing w:line="440" w:lineRule="exact"/>
        <w:rPr>
          <w:color w:val="auto"/>
          <w:szCs w:val="21"/>
        </w:rPr>
      </w:pPr>
    </w:p>
    <w:p>
      <w:pPr>
        <w:spacing w:line="440" w:lineRule="exact"/>
        <w:rPr>
          <w:color w:val="auto"/>
          <w:szCs w:val="21"/>
        </w:rPr>
      </w:pPr>
      <w:r>
        <w:rPr>
          <w:color w:val="auto"/>
          <w:szCs w:val="21"/>
        </w:rPr>
        <w:t>投标人名称：</w:t>
      </w:r>
      <w:r>
        <w:rPr>
          <w:color w:val="auto"/>
          <w:szCs w:val="21"/>
          <w:u w:val="single"/>
        </w:rPr>
        <w:t xml:space="preserve">                            </w:t>
      </w:r>
      <w:r>
        <w:rPr>
          <w:color w:val="auto"/>
          <w:szCs w:val="21"/>
        </w:rPr>
        <w:t xml:space="preserve"> </w:t>
      </w:r>
    </w:p>
    <w:p>
      <w:pPr>
        <w:spacing w:line="440" w:lineRule="exact"/>
        <w:rPr>
          <w:color w:val="auto"/>
          <w:szCs w:val="21"/>
        </w:rPr>
      </w:pPr>
      <w:r>
        <w:rPr>
          <w:color w:val="auto"/>
          <w:szCs w:val="21"/>
        </w:rPr>
        <w:t>单位性质：</w:t>
      </w:r>
      <w:r>
        <w:rPr>
          <w:color w:val="auto"/>
          <w:szCs w:val="21"/>
          <w:u w:val="single"/>
        </w:rPr>
        <w:t xml:space="preserve">                               </w:t>
      </w:r>
      <w:r>
        <w:rPr>
          <w:color w:val="auto"/>
          <w:szCs w:val="21"/>
        </w:rPr>
        <w:t xml:space="preserve"> </w:t>
      </w:r>
    </w:p>
    <w:p>
      <w:pPr>
        <w:spacing w:line="440" w:lineRule="exact"/>
        <w:rPr>
          <w:color w:val="auto"/>
          <w:szCs w:val="21"/>
        </w:rPr>
      </w:pPr>
      <w:r>
        <w:rPr>
          <w:color w:val="auto"/>
          <w:szCs w:val="21"/>
        </w:rPr>
        <w:t>地址：</w:t>
      </w:r>
      <w:r>
        <w:rPr>
          <w:color w:val="auto"/>
          <w:szCs w:val="21"/>
          <w:u w:val="single"/>
        </w:rPr>
        <w:t xml:space="preserve">                                   </w:t>
      </w:r>
    </w:p>
    <w:p>
      <w:pPr>
        <w:spacing w:line="440" w:lineRule="exact"/>
        <w:rPr>
          <w:color w:val="auto"/>
          <w:szCs w:val="21"/>
        </w:rPr>
      </w:pPr>
      <w:r>
        <w:rPr>
          <w:color w:val="auto"/>
          <w:szCs w:val="21"/>
        </w:rPr>
        <w:t>成立时间：</w:t>
      </w:r>
      <w:r>
        <w:rPr>
          <w:color w:val="auto"/>
          <w:szCs w:val="21"/>
          <w:u w:val="single"/>
        </w:rPr>
        <w:t xml:space="preserve">          </w:t>
      </w:r>
      <w:r>
        <w:rPr>
          <w:color w:val="auto"/>
          <w:szCs w:val="21"/>
        </w:rPr>
        <w:t>年</w:t>
      </w:r>
      <w:r>
        <w:rPr>
          <w:color w:val="auto"/>
          <w:szCs w:val="21"/>
          <w:u w:val="single"/>
        </w:rPr>
        <w:t xml:space="preserve">        </w:t>
      </w:r>
      <w:r>
        <w:rPr>
          <w:color w:val="auto"/>
          <w:szCs w:val="21"/>
        </w:rPr>
        <w:t>月</w:t>
      </w:r>
      <w:r>
        <w:rPr>
          <w:color w:val="auto"/>
          <w:szCs w:val="21"/>
          <w:u w:val="single"/>
        </w:rPr>
        <w:t xml:space="preserve">        </w:t>
      </w:r>
      <w:r>
        <w:rPr>
          <w:color w:val="auto"/>
          <w:szCs w:val="21"/>
        </w:rPr>
        <w:t>日</w:t>
      </w:r>
    </w:p>
    <w:p>
      <w:pPr>
        <w:spacing w:line="440" w:lineRule="exact"/>
        <w:rPr>
          <w:color w:val="auto"/>
          <w:szCs w:val="21"/>
        </w:rPr>
      </w:pPr>
      <w:r>
        <w:rPr>
          <w:color w:val="auto"/>
          <w:szCs w:val="21"/>
        </w:rPr>
        <w:t>经营期限：</w:t>
      </w:r>
      <w:r>
        <w:rPr>
          <w:color w:val="auto"/>
          <w:szCs w:val="21"/>
          <w:u w:val="single"/>
        </w:rPr>
        <w:t xml:space="preserve">                               </w:t>
      </w:r>
    </w:p>
    <w:p>
      <w:pPr>
        <w:spacing w:line="440" w:lineRule="exact"/>
        <w:rPr>
          <w:color w:val="auto"/>
          <w:szCs w:val="21"/>
        </w:rPr>
      </w:pPr>
      <w:r>
        <w:rPr>
          <w:color w:val="auto"/>
          <w:szCs w:val="21"/>
        </w:rPr>
        <w:t>姓名：</w:t>
      </w:r>
      <w:r>
        <w:rPr>
          <w:color w:val="auto"/>
          <w:szCs w:val="21"/>
          <w:u w:val="single"/>
        </w:rPr>
        <w:t xml:space="preserve">        </w:t>
      </w:r>
      <w:r>
        <w:rPr>
          <w:rFonts w:hint="eastAsia"/>
          <w:color w:val="auto"/>
          <w:szCs w:val="21"/>
          <w:u w:val="single"/>
        </w:rPr>
        <w:t xml:space="preserve"> </w:t>
      </w:r>
      <w:r>
        <w:rPr>
          <w:color w:val="auto"/>
          <w:szCs w:val="21"/>
        </w:rPr>
        <w:t xml:space="preserve"> 性别：</w:t>
      </w:r>
      <w:r>
        <w:rPr>
          <w:color w:val="auto"/>
          <w:szCs w:val="21"/>
          <w:u w:val="single"/>
        </w:rPr>
        <w:t xml:space="preserve">         </w:t>
      </w:r>
      <w:r>
        <w:rPr>
          <w:color w:val="auto"/>
          <w:szCs w:val="21"/>
        </w:rPr>
        <w:t>年龄：</w:t>
      </w:r>
      <w:r>
        <w:rPr>
          <w:color w:val="auto"/>
          <w:szCs w:val="21"/>
          <w:u w:val="single"/>
        </w:rPr>
        <w:t xml:space="preserve">        </w:t>
      </w:r>
      <w:r>
        <w:rPr>
          <w:color w:val="auto"/>
          <w:szCs w:val="21"/>
        </w:rPr>
        <w:t>职务：</w:t>
      </w:r>
      <w:r>
        <w:rPr>
          <w:color w:val="auto"/>
          <w:szCs w:val="21"/>
          <w:u w:val="single"/>
        </w:rPr>
        <w:t xml:space="preserve">        </w:t>
      </w:r>
    </w:p>
    <w:p>
      <w:pPr>
        <w:spacing w:line="440" w:lineRule="exact"/>
        <w:rPr>
          <w:color w:val="auto"/>
          <w:szCs w:val="21"/>
        </w:rPr>
      </w:pPr>
      <w:r>
        <w:rPr>
          <w:color w:val="auto"/>
          <w:szCs w:val="21"/>
        </w:rPr>
        <w:t>系</w:t>
      </w:r>
      <w:r>
        <w:rPr>
          <w:color w:val="auto"/>
          <w:szCs w:val="21"/>
          <w:u w:val="single"/>
        </w:rPr>
        <w:t xml:space="preserve">                             </w:t>
      </w:r>
      <w:r>
        <w:rPr>
          <w:color w:val="auto"/>
          <w:szCs w:val="21"/>
        </w:rPr>
        <w:t xml:space="preserve"> </w:t>
      </w:r>
      <w:r>
        <w:rPr>
          <w:rFonts w:hint="eastAsia"/>
          <w:color w:val="auto"/>
          <w:szCs w:val="21"/>
        </w:rPr>
        <w:t>（</w:t>
      </w:r>
      <w:r>
        <w:rPr>
          <w:color w:val="auto"/>
          <w:szCs w:val="21"/>
        </w:rPr>
        <w:t>投标人名称</w:t>
      </w:r>
      <w:r>
        <w:rPr>
          <w:rFonts w:hint="eastAsia"/>
          <w:color w:val="auto"/>
          <w:szCs w:val="21"/>
        </w:rPr>
        <w:t>）</w:t>
      </w:r>
      <w:r>
        <w:rPr>
          <w:color w:val="auto"/>
          <w:szCs w:val="21"/>
        </w:rPr>
        <w:t>的法定代表人。</w:t>
      </w:r>
    </w:p>
    <w:p>
      <w:pPr>
        <w:spacing w:line="440" w:lineRule="exact"/>
        <w:ind w:firstLine="423" w:firstLineChars="200"/>
        <w:rPr>
          <w:color w:val="auto"/>
          <w:szCs w:val="21"/>
        </w:rPr>
      </w:pPr>
      <w:r>
        <w:rPr>
          <w:rFonts w:hint="eastAsia"/>
          <w:color w:val="auto"/>
          <w:szCs w:val="21"/>
        </w:rPr>
        <w:t>附：法定代表人身份证明</w:t>
      </w:r>
      <w:r>
        <w:rPr>
          <w:color w:val="auto"/>
          <w:szCs w:val="21"/>
        </w:rPr>
        <w:t>。</w:t>
      </w:r>
    </w:p>
    <w:p>
      <w:pPr>
        <w:spacing w:line="440" w:lineRule="exact"/>
        <w:rPr>
          <w:color w:val="auto"/>
          <w:szCs w:val="21"/>
        </w:rPr>
      </w:pPr>
    </w:p>
    <w:p>
      <w:pPr>
        <w:spacing w:line="440" w:lineRule="exact"/>
        <w:rPr>
          <w:color w:val="auto"/>
          <w:szCs w:val="21"/>
        </w:rPr>
      </w:pPr>
    </w:p>
    <w:p>
      <w:pPr>
        <w:spacing w:line="440" w:lineRule="exact"/>
        <w:rPr>
          <w:color w:val="auto"/>
          <w:szCs w:val="21"/>
        </w:rPr>
      </w:pPr>
      <w:r>
        <w:rPr>
          <w:color w:val="auto"/>
          <w:szCs w:val="21"/>
        </w:rPr>
        <w:t xml:space="preserve">                          投标人：</w:t>
      </w:r>
      <w:r>
        <w:rPr>
          <w:color w:val="auto"/>
          <w:szCs w:val="21"/>
          <w:u w:val="single"/>
        </w:rPr>
        <w:t xml:space="preserve">                 </w:t>
      </w:r>
      <w:r>
        <w:rPr>
          <w:color w:val="auto"/>
          <w:szCs w:val="21"/>
        </w:rPr>
        <w:t>（盖单位章）</w:t>
      </w:r>
    </w:p>
    <w:p>
      <w:pPr>
        <w:spacing w:line="440" w:lineRule="exact"/>
        <w:rPr>
          <w:color w:val="auto"/>
          <w:szCs w:val="21"/>
        </w:rPr>
      </w:pPr>
      <w:r>
        <w:rPr>
          <w:color w:val="auto"/>
          <w:szCs w:val="21"/>
        </w:rPr>
        <w:t xml:space="preserve">                                </w:t>
      </w:r>
      <w:r>
        <w:rPr>
          <w:rFonts w:hint="eastAsia"/>
          <w:color w:val="auto"/>
          <w:szCs w:val="21"/>
        </w:rPr>
        <w:t xml:space="preserve">   </w:t>
      </w:r>
      <w:r>
        <w:rPr>
          <w:color w:val="auto"/>
          <w:szCs w:val="21"/>
          <w:u w:val="single"/>
        </w:rPr>
        <w:t xml:space="preserve">       </w:t>
      </w:r>
      <w:r>
        <w:rPr>
          <w:color w:val="auto"/>
          <w:szCs w:val="21"/>
        </w:rPr>
        <w:t>年</w:t>
      </w:r>
      <w:r>
        <w:rPr>
          <w:color w:val="auto"/>
          <w:szCs w:val="21"/>
          <w:u w:val="single"/>
        </w:rPr>
        <w:t xml:space="preserve">       </w:t>
      </w:r>
      <w:r>
        <w:rPr>
          <w:color w:val="auto"/>
          <w:szCs w:val="21"/>
        </w:rPr>
        <w:t>月</w:t>
      </w:r>
      <w:r>
        <w:rPr>
          <w:color w:val="auto"/>
          <w:szCs w:val="21"/>
          <w:u w:val="single"/>
        </w:rPr>
        <w:t xml:space="preserve">       </w:t>
      </w:r>
      <w:r>
        <w:rPr>
          <w:color w:val="auto"/>
          <w:szCs w:val="21"/>
        </w:rPr>
        <w:t xml:space="preserve">日           </w:t>
      </w: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spacing w:line="440" w:lineRule="exact"/>
        <w:outlineLvl w:val="1"/>
        <w:rPr>
          <w:rFonts w:ascii="宋体"/>
          <w:color w:val="auto"/>
          <w:sz w:val="28"/>
          <w:szCs w:val="28"/>
        </w:rPr>
      </w:pPr>
    </w:p>
    <w:p>
      <w:pPr>
        <w:pStyle w:val="3"/>
        <w:spacing w:line="440" w:lineRule="exact"/>
        <w:rPr>
          <w:color w:val="auto"/>
        </w:rPr>
      </w:pPr>
      <w:bookmarkStart w:id="59" w:name="_Toc2316"/>
      <w:r>
        <w:rPr>
          <w:rFonts w:hint="eastAsia" w:ascii="宋体" w:eastAsia="宋体"/>
          <w:color w:val="auto"/>
          <w:sz w:val="28"/>
          <w:szCs w:val="28"/>
        </w:rPr>
        <w:t>六、</w:t>
      </w:r>
      <w:r>
        <w:rPr>
          <w:color w:val="auto"/>
        </w:rPr>
        <w:t>授权委托书</w:t>
      </w:r>
      <w:bookmarkEnd w:id="59"/>
    </w:p>
    <w:p>
      <w:pPr>
        <w:spacing w:line="440" w:lineRule="exact"/>
        <w:rPr>
          <w:rFonts w:eastAsia="黑体"/>
          <w:color w:val="auto"/>
          <w:szCs w:val="21"/>
        </w:rPr>
      </w:pPr>
    </w:p>
    <w:p>
      <w:pPr>
        <w:topLinePunct w:val="1"/>
        <w:spacing w:line="440" w:lineRule="exact"/>
        <w:ind w:firstLine="423" w:firstLineChars="200"/>
        <w:rPr>
          <w:color w:val="auto"/>
          <w:szCs w:val="21"/>
        </w:rPr>
      </w:pPr>
      <w:r>
        <w:rPr>
          <w:color w:val="auto"/>
          <w:szCs w:val="21"/>
        </w:rPr>
        <w:t>本人</w:t>
      </w:r>
      <w:r>
        <w:rPr>
          <w:color w:val="auto"/>
          <w:szCs w:val="21"/>
          <w:u w:val="single"/>
        </w:rPr>
        <w:t xml:space="preserve">       </w:t>
      </w:r>
      <w:r>
        <w:rPr>
          <w:color w:val="auto"/>
          <w:szCs w:val="21"/>
        </w:rPr>
        <w:t>（姓名）系</w:t>
      </w:r>
      <w:r>
        <w:rPr>
          <w:color w:val="auto"/>
          <w:szCs w:val="21"/>
          <w:u w:val="single"/>
        </w:rPr>
        <w:t xml:space="preserve">        </w:t>
      </w:r>
      <w:r>
        <w:rPr>
          <w:color w:val="auto"/>
          <w:szCs w:val="21"/>
        </w:rPr>
        <w:t>（投标人名称）的法定代表人，现委托</w:t>
      </w:r>
      <w:r>
        <w:rPr>
          <w:color w:val="auto"/>
          <w:szCs w:val="21"/>
          <w:u w:val="single"/>
        </w:rPr>
        <w:t xml:space="preserve">        </w:t>
      </w:r>
      <w:r>
        <w:rPr>
          <w:color w:val="auto"/>
          <w:szCs w:val="21"/>
        </w:rPr>
        <w:t>（姓名）为我方代理人。代理人根据授权，以我方名义签署、澄清</w:t>
      </w:r>
      <w:r>
        <w:rPr>
          <w:rFonts w:hint="eastAsia"/>
          <w:color w:val="auto"/>
          <w:szCs w:val="21"/>
        </w:rPr>
        <w:t>、说明、补正</w:t>
      </w:r>
      <w:r>
        <w:rPr>
          <w:color w:val="auto"/>
          <w:szCs w:val="21"/>
        </w:rPr>
        <w:t>、递交、撤回、修改</w:t>
      </w:r>
      <w:r>
        <w:rPr>
          <w:color w:val="auto"/>
          <w:szCs w:val="21"/>
          <w:u w:val="single"/>
        </w:rPr>
        <w:t xml:space="preserve">           </w:t>
      </w:r>
      <w:r>
        <w:rPr>
          <w:color w:val="auto"/>
          <w:szCs w:val="21"/>
        </w:rPr>
        <w:t>（项目名称）投标文件、签订合同和处理有关事宜，其法律后果由我方承担。</w:t>
      </w:r>
    </w:p>
    <w:p>
      <w:pPr>
        <w:spacing w:line="440" w:lineRule="exact"/>
        <w:rPr>
          <w:color w:val="auto"/>
          <w:szCs w:val="21"/>
        </w:rPr>
      </w:pPr>
      <w:r>
        <w:rPr>
          <w:color w:val="auto"/>
          <w:szCs w:val="21"/>
        </w:rPr>
        <w:t xml:space="preserve">    委托期限：</w:t>
      </w:r>
      <w:r>
        <w:rPr>
          <w:color w:val="auto"/>
          <w:szCs w:val="21"/>
          <w:u w:val="single"/>
        </w:rPr>
        <w:t xml:space="preserve">             </w:t>
      </w:r>
      <w:r>
        <w:rPr>
          <w:rFonts w:hint="eastAsia"/>
          <w:color w:val="auto"/>
          <w:szCs w:val="21"/>
        </w:rPr>
        <w:t>。</w:t>
      </w:r>
    </w:p>
    <w:p>
      <w:pPr>
        <w:spacing w:line="440" w:lineRule="exact"/>
        <w:ind w:firstLine="423" w:firstLineChars="200"/>
        <w:rPr>
          <w:color w:val="auto"/>
          <w:szCs w:val="21"/>
        </w:rPr>
      </w:pPr>
      <w:r>
        <w:rPr>
          <w:color w:val="auto"/>
          <w:szCs w:val="21"/>
        </w:rPr>
        <w:t>代理人无转委托权。</w:t>
      </w:r>
    </w:p>
    <w:p>
      <w:pPr>
        <w:spacing w:line="440" w:lineRule="exact"/>
        <w:ind w:firstLine="423" w:firstLineChars="200"/>
        <w:rPr>
          <w:color w:val="auto"/>
          <w:szCs w:val="21"/>
        </w:rPr>
      </w:pPr>
      <w:r>
        <w:rPr>
          <w:rFonts w:hint="eastAsia"/>
          <w:color w:val="auto"/>
          <w:szCs w:val="21"/>
        </w:rPr>
        <w:t>附：委托代理人身份证明</w:t>
      </w:r>
    </w:p>
    <w:p>
      <w:pPr>
        <w:spacing w:line="440" w:lineRule="exact"/>
        <w:rPr>
          <w:color w:val="auto"/>
          <w:szCs w:val="21"/>
        </w:rPr>
      </w:pPr>
    </w:p>
    <w:p>
      <w:pPr>
        <w:spacing w:line="440" w:lineRule="exact"/>
        <w:rPr>
          <w:color w:val="auto"/>
          <w:szCs w:val="21"/>
        </w:rPr>
      </w:pPr>
    </w:p>
    <w:p>
      <w:pPr>
        <w:spacing w:line="440" w:lineRule="exact"/>
        <w:rPr>
          <w:color w:val="auto"/>
          <w:szCs w:val="21"/>
        </w:rPr>
      </w:pPr>
      <w:r>
        <w:rPr>
          <w:color w:val="auto"/>
          <w:szCs w:val="21"/>
        </w:rPr>
        <w:t>投标人：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（盖单位章）</w:t>
      </w:r>
    </w:p>
    <w:p>
      <w:pPr>
        <w:spacing w:line="440" w:lineRule="exact"/>
        <w:rPr>
          <w:color w:val="auto"/>
          <w:szCs w:val="21"/>
        </w:rPr>
      </w:pPr>
    </w:p>
    <w:p>
      <w:pPr>
        <w:spacing w:line="440" w:lineRule="exact"/>
        <w:rPr>
          <w:color w:val="auto"/>
          <w:szCs w:val="21"/>
        </w:rPr>
      </w:pPr>
      <w:r>
        <w:rPr>
          <w:color w:val="auto"/>
          <w:szCs w:val="21"/>
        </w:rPr>
        <w:t>法定代表人：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（签字）</w:t>
      </w:r>
    </w:p>
    <w:p>
      <w:pPr>
        <w:spacing w:line="440" w:lineRule="exact"/>
        <w:rPr>
          <w:color w:val="auto"/>
          <w:szCs w:val="21"/>
        </w:rPr>
      </w:pPr>
    </w:p>
    <w:p>
      <w:pPr>
        <w:spacing w:line="440" w:lineRule="exact"/>
        <w:rPr>
          <w:color w:val="auto"/>
          <w:szCs w:val="21"/>
        </w:rPr>
      </w:pPr>
      <w:r>
        <w:rPr>
          <w:color w:val="auto"/>
          <w:szCs w:val="21"/>
        </w:rPr>
        <w:t>身份证号码：</w:t>
      </w:r>
      <w:r>
        <w:rPr>
          <w:color w:val="auto"/>
          <w:szCs w:val="21"/>
          <w:u w:val="single"/>
        </w:rPr>
        <w:t xml:space="preserve">                                     </w:t>
      </w:r>
    </w:p>
    <w:p>
      <w:pPr>
        <w:spacing w:line="440" w:lineRule="exact"/>
        <w:rPr>
          <w:color w:val="auto"/>
          <w:szCs w:val="21"/>
        </w:rPr>
      </w:pPr>
    </w:p>
    <w:p>
      <w:pPr>
        <w:spacing w:line="440" w:lineRule="exact"/>
        <w:rPr>
          <w:color w:val="auto"/>
          <w:szCs w:val="21"/>
        </w:rPr>
      </w:pPr>
      <w:r>
        <w:rPr>
          <w:color w:val="auto"/>
          <w:szCs w:val="21"/>
        </w:rPr>
        <w:t>委托代理人：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 xml:space="preserve">（签字） </w:t>
      </w:r>
    </w:p>
    <w:p>
      <w:pPr>
        <w:spacing w:line="440" w:lineRule="exact"/>
        <w:rPr>
          <w:color w:val="auto"/>
          <w:szCs w:val="21"/>
        </w:rPr>
      </w:pPr>
    </w:p>
    <w:p>
      <w:pPr>
        <w:spacing w:line="440" w:lineRule="exact"/>
        <w:rPr>
          <w:color w:val="auto"/>
          <w:szCs w:val="21"/>
        </w:rPr>
      </w:pPr>
      <w:r>
        <w:rPr>
          <w:color w:val="auto"/>
          <w:szCs w:val="21"/>
        </w:rPr>
        <w:t>身份证号码：</w:t>
      </w:r>
      <w:r>
        <w:rPr>
          <w:color w:val="auto"/>
          <w:szCs w:val="21"/>
          <w:u w:val="single"/>
        </w:rPr>
        <w:t xml:space="preserve">                                      </w:t>
      </w:r>
    </w:p>
    <w:p>
      <w:pPr>
        <w:spacing w:line="440" w:lineRule="exact"/>
        <w:rPr>
          <w:color w:val="auto"/>
          <w:szCs w:val="21"/>
        </w:rPr>
      </w:pPr>
    </w:p>
    <w:p>
      <w:pPr>
        <w:spacing w:line="440" w:lineRule="exact"/>
        <w:rPr>
          <w:color w:val="auto"/>
          <w:szCs w:val="21"/>
        </w:rPr>
      </w:pPr>
    </w:p>
    <w:p>
      <w:pPr>
        <w:spacing w:line="440" w:lineRule="exact"/>
        <w:ind w:firstLine="529" w:firstLineChars="250"/>
        <w:rPr>
          <w:rFonts w:ascii="宋体" w:hAnsi="宋体"/>
          <w:color w:val="auto"/>
          <w:szCs w:val="21"/>
        </w:rPr>
      </w:pPr>
      <w:r>
        <w:rPr>
          <w:color w:val="auto"/>
          <w:szCs w:val="21"/>
          <w:u w:val="single"/>
        </w:rPr>
        <w:t xml:space="preserve">       </w:t>
      </w:r>
      <w:r>
        <w:rPr>
          <w:color w:val="auto"/>
          <w:szCs w:val="21"/>
        </w:rPr>
        <w:t>年</w:t>
      </w:r>
      <w:r>
        <w:rPr>
          <w:color w:val="auto"/>
          <w:szCs w:val="21"/>
          <w:u w:val="single"/>
        </w:rPr>
        <w:t xml:space="preserve">       </w:t>
      </w:r>
      <w:r>
        <w:rPr>
          <w:color w:val="auto"/>
          <w:szCs w:val="21"/>
        </w:rPr>
        <w:t>月</w:t>
      </w:r>
      <w:r>
        <w:rPr>
          <w:color w:val="auto"/>
          <w:szCs w:val="21"/>
          <w:u w:val="single"/>
        </w:rPr>
        <w:t xml:space="preserve">       </w:t>
      </w:r>
      <w:r>
        <w:rPr>
          <w:color w:val="auto"/>
          <w:szCs w:val="21"/>
        </w:rPr>
        <w:t>日</w:t>
      </w:r>
    </w:p>
    <w:p>
      <w:pPr>
        <w:pStyle w:val="3"/>
        <w:spacing w:line="440" w:lineRule="exact"/>
        <w:jc w:val="both"/>
        <w:rPr>
          <w:rFonts w:ascii="宋体" w:eastAsia="宋体"/>
          <w:color w:val="auto"/>
          <w:sz w:val="21"/>
          <w:szCs w:val="21"/>
        </w:rPr>
      </w:pPr>
    </w:p>
    <w:p>
      <w:pPr>
        <w:rPr>
          <w:rFonts w:ascii="宋体"/>
          <w:color w:val="auto"/>
          <w:szCs w:val="21"/>
        </w:rPr>
      </w:pPr>
    </w:p>
    <w:p>
      <w:pPr>
        <w:rPr>
          <w:rFonts w:ascii="宋体"/>
          <w:color w:val="auto"/>
          <w:szCs w:val="21"/>
        </w:rPr>
      </w:pPr>
    </w:p>
    <w:p>
      <w:pPr>
        <w:rPr>
          <w:rFonts w:ascii="宋体"/>
          <w:color w:val="auto"/>
          <w:szCs w:val="21"/>
        </w:rPr>
      </w:pPr>
    </w:p>
    <w:p>
      <w:pPr>
        <w:rPr>
          <w:rFonts w:ascii="宋体"/>
          <w:color w:val="auto"/>
          <w:szCs w:val="21"/>
        </w:rPr>
      </w:pPr>
    </w:p>
    <w:p>
      <w:pPr>
        <w:rPr>
          <w:rFonts w:ascii="宋体"/>
          <w:color w:val="auto"/>
          <w:szCs w:val="21"/>
        </w:rPr>
      </w:pPr>
    </w:p>
    <w:p>
      <w:pPr>
        <w:rPr>
          <w:rFonts w:ascii="宋体"/>
          <w:color w:val="auto"/>
          <w:szCs w:val="21"/>
        </w:rPr>
      </w:pPr>
    </w:p>
    <w:p>
      <w:pPr>
        <w:rPr>
          <w:rFonts w:ascii="宋体"/>
          <w:color w:val="auto"/>
          <w:szCs w:val="21"/>
        </w:rPr>
      </w:pPr>
    </w:p>
    <w:p>
      <w:pPr>
        <w:rPr>
          <w:rFonts w:ascii="宋体"/>
          <w:color w:val="auto"/>
          <w:szCs w:val="21"/>
        </w:rPr>
      </w:pPr>
    </w:p>
    <w:p>
      <w:pPr>
        <w:rPr>
          <w:rFonts w:ascii="宋体"/>
          <w:color w:val="auto"/>
          <w:szCs w:val="21"/>
        </w:rPr>
      </w:pPr>
    </w:p>
    <w:p>
      <w:pPr>
        <w:rPr>
          <w:rFonts w:ascii="宋体"/>
          <w:color w:val="auto"/>
          <w:szCs w:val="21"/>
        </w:rPr>
      </w:pPr>
    </w:p>
    <w:p>
      <w:pPr>
        <w:rPr>
          <w:rFonts w:ascii="宋体"/>
          <w:color w:val="auto"/>
          <w:szCs w:val="21"/>
        </w:rPr>
      </w:pPr>
    </w:p>
    <w:p>
      <w:pPr>
        <w:pStyle w:val="3"/>
        <w:rPr>
          <w:color w:val="auto"/>
        </w:rPr>
      </w:pPr>
      <w:bookmarkStart w:id="60" w:name="_Toc26018"/>
      <w:r>
        <w:rPr>
          <w:rFonts w:hint="eastAsia"/>
          <w:color w:val="auto"/>
        </w:rPr>
        <w:t>七、投标人基本情况表</w:t>
      </w:r>
      <w:bookmarkEnd w:id="60"/>
    </w:p>
    <w:p>
      <w:pPr>
        <w:spacing w:line="440" w:lineRule="exact"/>
        <w:rPr>
          <w:color w:val="auto"/>
          <w:szCs w:val="21"/>
        </w:rPr>
      </w:pPr>
    </w:p>
    <w:tbl>
      <w:tblPr>
        <w:tblW w:w="9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rPr>
          <w:trHeight w:val="486"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投标人名称</w:t>
            </w:r>
          </w:p>
        </w:tc>
        <w:tc>
          <w:tcPr>
            <w:tcW w:w="7755" w:type="dxa"/>
            <w:gridSpan w:val="7"/>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trHeight w:val="465"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注册地址</w:t>
            </w:r>
          </w:p>
        </w:tc>
        <w:tc>
          <w:tcPr>
            <w:tcW w:w="3765" w:type="dxa"/>
            <w:gridSpan w:val="3"/>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330"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邮政编码</w:t>
            </w:r>
          </w:p>
        </w:tc>
        <w:tc>
          <w:tcPr>
            <w:tcW w:w="2660"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cantSplit/>
          <w:trHeight w:val="486" w:hRule="atLeast"/>
          <w:jc w:val="center"/>
        </w:trPr>
        <w:tc>
          <w:tcPr>
            <w:tcW w:w="1551" w:type="dxa"/>
            <w:vMerge w:val="restart"/>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联系方式</w:t>
            </w:r>
          </w:p>
        </w:tc>
        <w:tc>
          <w:tcPr>
            <w:tcW w:w="1106"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联系人</w:t>
            </w:r>
          </w:p>
        </w:tc>
        <w:tc>
          <w:tcPr>
            <w:tcW w:w="2659"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330"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电</w:t>
            </w:r>
            <w:r>
              <w:rPr>
                <w:rFonts w:ascii="新宋体" w:hAnsi="新宋体" w:eastAsia="新宋体" w:cs="仿宋_GB2312"/>
                <w:color w:val="auto"/>
                <w:kern w:val="0"/>
                <w:szCs w:val="21"/>
              </w:rPr>
              <w:t xml:space="preserve"> </w:t>
            </w:r>
            <w:r>
              <w:rPr>
                <w:rFonts w:hint="eastAsia" w:ascii="新宋体" w:hAnsi="新宋体" w:eastAsia="新宋体" w:cs="仿宋_GB2312"/>
                <w:color w:val="auto"/>
                <w:kern w:val="0"/>
                <w:szCs w:val="21"/>
              </w:rPr>
              <w:t>话</w:t>
            </w:r>
          </w:p>
        </w:tc>
        <w:tc>
          <w:tcPr>
            <w:tcW w:w="2660"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cantSplit/>
          <w:trHeight w:val="166" w:hRule="atLeast"/>
          <w:jc w:val="center"/>
        </w:trPr>
        <w:tc>
          <w:tcPr>
            <w:tcW w:w="1551" w:type="dxa"/>
            <w:vMerge w:val="continue"/>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106"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 xml:space="preserve">传 </w:t>
            </w:r>
            <w:r>
              <w:rPr>
                <w:rFonts w:ascii="新宋体" w:hAnsi="新宋体" w:eastAsia="新宋体" w:cs="仿宋_GB2312"/>
                <w:color w:val="auto"/>
                <w:kern w:val="0"/>
                <w:szCs w:val="21"/>
              </w:rPr>
              <w:t xml:space="preserve"> </w:t>
            </w:r>
            <w:r>
              <w:rPr>
                <w:rFonts w:hint="eastAsia" w:ascii="新宋体" w:hAnsi="新宋体" w:eastAsia="新宋体" w:cs="仿宋_GB2312"/>
                <w:color w:val="auto"/>
                <w:kern w:val="0"/>
                <w:szCs w:val="21"/>
              </w:rPr>
              <w:t>真</w:t>
            </w:r>
          </w:p>
        </w:tc>
        <w:tc>
          <w:tcPr>
            <w:tcW w:w="2659"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330"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网</w:t>
            </w:r>
            <w:r>
              <w:rPr>
                <w:rFonts w:ascii="新宋体" w:hAnsi="新宋体" w:eastAsia="新宋体" w:cs="仿宋_GB2312"/>
                <w:color w:val="auto"/>
                <w:kern w:val="0"/>
                <w:szCs w:val="21"/>
              </w:rPr>
              <w:t xml:space="preserve"> </w:t>
            </w:r>
            <w:r>
              <w:rPr>
                <w:rFonts w:hint="eastAsia" w:ascii="新宋体" w:hAnsi="新宋体" w:eastAsia="新宋体" w:cs="仿宋_GB2312"/>
                <w:color w:val="auto"/>
                <w:kern w:val="0"/>
                <w:szCs w:val="21"/>
              </w:rPr>
              <w:t>址</w:t>
            </w:r>
          </w:p>
        </w:tc>
        <w:tc>
          <w:tcPr>
            <w:tcW w:w="2660"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trHeight w:val="486"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组织结构</w:t>
            </w:r>
          </w:p>
        </w:tc>
        <w:tc>
          <w:tcPr>
            <w:tcW w:w="7755" w:type="dxa"/>
            <w:gridSpan w:val="7"/>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trHeight w:val="465"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法定代表人</w:t>
            </w:r>
          </w:p>
        </w:tc>
        <w:tc>
          <w:tcPr>
            <w:tcW w:w="1106"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姓名</w:t>
            </w:r>
          </w:p>
        </w:tc>
        <w:tc>
          <w:tcPr>
            <w:tcW w:w="1329"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技术职称</w:t>
            </w:r>
          </w:p>
        </w:tc>
        <w:tc>
          <w:tcPr>
            <w:tcW w:w="1330"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电话</w:t>
            </w: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trHeight w:val="486"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技术负责人</w:t>
            </w:r>
          </w:p>
        </w:tc>
        <w:tc>
          <w:tcPr>
            <w:tcW w:w="1106"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姓名</w:t>
            </w:r>
          </w:p>
        </w:tc>
        <w:tc>
          <w:tcPr>
            <w:tcW w:w="1329"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技术职称</w:t>
            </w:r>
          </w:p>
        </w:tc>
        <w:tc>
          <w:tcPr>
            <w:tcW w:w="1330"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电话</w:t>
            </w: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trHeight w:val="465"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成立时间</w:t>
            </w:r>
          </w:p>
        </w:tc>
        <w:tc>
          <w:tcPr>
            <w:tcW w:w="3765" w:type="dxa"/>
            <w:gridSpan w:val="3"/>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3990" w:type="dxa"/>
            <w:gridSpan w:val="4"/>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员工总人数：</w:t>
            </w:r>
          </w:p>
        </w:tc>
      </w:tr>
      <w:tr>
        <w:trPr>
          <w:cantSplit/>
          <w:trHeight w:val="486"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企业资质等级</w:t>
            </w:r>
          </w:p>
        </w:tc>
        <w:tc>
          <w:tcPr>
            <w:tcW w:w="3765" w:type="dxa"/>
            <w:gridSpan w:val="3"/>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105" w:type="dxa"/>
            <w:vMerge w:val="restart"/>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其中</w:t>
            </w:r>
          </w:p>
        </w:tc>
        <w:tc>
          <w:tcPr>
            <w:tcW w:w="1555" w:type="dxa"/>
            <w:gridSpan w:val="2"/>
            <w:vAlign w:val="center"/>
          </w:tcPr>
          <w:p>
            <w:pPr>
              <w:autoSpaceDE w:val="0"/>
              <w:autoSpaceDN w:val="0"/>
              <w:adjustRightInd w:val="0"/>
              <w:spacing w:line="440" w:lineRule="exact"/>
              <w:jc w:val="center"/>
              <w:rPr>
                <w:rFonts w:ascii="新宋体" w:hAnsi="新宋体" w:eastAsia="新宋体" w:cs="仿宋_GB2312"/>
                <w:color w:val="auto"/>
                <w:kern w:val="0"/>
                <w:szCs w:val="21"/>
              </w:rPr>
            </w:pPr>
            <w:r>
              <w:rPr>
                <w:rFonts w:hint="eastAsia" w:ascii="新宋体" w:hAnsi="新宋体" w:eastAsia="新宋体" w:cs="仿宋_GB2312"/>
                <w:color w:val="auto"/>
                <w:kern w:val="0"/>
                <w:szCs w:val="21"/>
              </w:rPr>
              <w:t>高级职称人员</w:t>
            </w: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cantSplit/>
          <w:trHeight w:val="465"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营业执照号</w:t>
            </w:r>
          </w:p>
        </w:tc>
        <w:tc>
          <w:tcPr>
            <w:tcW w:w="3765" w:type="dxa"/>
            <w:gridSpan w:val="3"/>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105" w:type="dxa"/>
            <w:vMerge w:val="continue"/>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555"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中级职称人员</w:t>
            </w: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cantSplit/>
          <w:trHeight w:val="486"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注册资金</w:t>
            </w:r>
          </w:p>
        </w:tc>
        <w:tc>
          <w:tcPr>
            <w:tcW w:w="1106"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329"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105" w:type="dxa"/>
            <w:vMerge w:val="continue"/>
            <w:vAlign w:val="center"/>
          </w:tcPr>
          <w:p>
            <w:pPr>
              <w:autoSpaceDE w:val="0"/>
              <w:autoSpaceDN w:val="0"/>
              <w:adjustRightInd w:val="0"/>
              <w:spacing w:line="440" w:lineRule="exact"/>
              <w:jc w:val="center"/>
              <w:rPr>
                <w:rFonts w:ascii="新宋体" w:hAnsi="新宋体" w:eastAsia="新宋体" w:cs="黑体"/>
                <w:color w:val="auto"/>
                <w:kern w:val="0"/>
                <w:szCs w:val="21"/>
              </w:rPr>
            </w:pPr>
          </w:p>
        </w:tc>
        <w:tc>
          <w:tcPr>
            <w:tcW w:w="1555" w:type="dxa"/>
            <w:gridSpan w:val="2"/>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初级职称人员</w:t>
            </w:r>
          </w:p>
        </w:tc>
        <w:tc>
          <w:tcPr>
            <w:tcW w:w="1330" w:type="dxa"/>
            <w:vAlign w:val="center"/>
          </w:tcPr>
          <w:p>
            <w:pPr>
              <w:autoSpaceDE w:val="0"/>
              <w:autoSpaceDN w:val="0"/>
              <w:adjustRightInd w:val="0"/>
              <w:spacing w:line="440" w:lineRule="exact"/>
              <w:jc w:val="center"/>
              <w:rPr>
                <w:rFonts w:ascii="新宋体" w:hAnsi="新宋体" w:eastAsia="新宋体" w:cs="黑体"/>
                <w:color w:val="auto"/>
                <w:kern w:val="0"/>
                <w:szCs w:val="21"/>
              </w:rPr>
            </w:pPr>
          </w:p>
        </w:tc>
      </w:tr>
      <w:tr>
        <w:trPr>
          <w:trHeight w:val="4464"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经营范围</w:t>
            </w:r>
          </w:p>
        </w:tc>
        <w:tc>
          <w:tcPr>
            <w:tcW w:w="7755" w:type="dxa"/>
            <w:gridSpan w:val="7"/>
            <w:vAlign w:val="center"/>
          </w:tcPr>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p>
            <w:pPr>
              <w:autoSpaceDE w:val="0"/>
              <w:autoSpaceDN w:val="0"/>
              <w:adjustRightInd w:val="0"/>
              <w:spacing w:line="440" w:lineRule="exact"/>
              <w:jc w:val="center"/>
              <w:rPr>
                <w:rFonts w:ascii="新宋体" w:hAnsi="新宋体" w:eastAsia="新宋体" w:cs="黑体"/>
                <w:color w:val="auto"/>
                <w:kern w:val="0"/>
                <w:szCs w:val="21"/>
              </w:rPr>
            </w:pPr>
          </w:p>
        </w:tc>
      </w:tr>
      <w:tr>
        <w:trPr>
          <w:trHeight w:val="941" w:hRule="atLeast"/>
          <w:jc w:val="center"/>
        </w:trPr>
        <w:tc>
          <w:tcPr>
            <w:tcW w:w="1551" w:type="dxa"/>
            <w:vAlign w:val="center"/>
          </w:tcPr>
          <w:p>
            <w:pPr>
              <w:autoSpaceDE w:val="0"/>
              <w:autoSpaceDN w:val="0"/>
              <w:adjustRightInd w:val="0"/>
              <w:spacing w:line="440" w:lineRule="exact"/>
              <w:jc w:val="center"/>
              <w:rPr>
                <w:rFonts w:ascii="新宋体" w:hAnsi="新宋体" w:eastAsia="新宋体" w:cs="黑体"/>
                <w:color w:val="auto"/>
                <w:kern w:val="0"/>
                <w:szCs w:val="21"/>
              </w:rPr>
            </w:pPr>
            <w:r>
              <w:rPr>
                <w:rFonts w:hint="eastAsia" w:ascii="新宋体" w:hAnsi="新宋体" w:eastAsia="新宋体" w:cs="仿宋_GB2312"/>
                <w:color w:val="auto"/>
                <w:kern w:val="0"/>
                <w:szCs w:val="21"/>
              </w:rPr>
              <w:t>备注</w:t>
            </w:r>
          </w:p>
        </w:tc>
        <w:tc>
          <w:tcPr>
            <w:tcW w:w="7755" w:type="dxa"/>
            <w:gridSpan w:val="7"/>
            <w:vAlign w:val="center"/>
          </w:tcPr>
          <w:p>
            <w:pPr>
              <w:autoSpaceDE w:val="0"/>
              <w:autoSpaceDN w:val="0"/>
              <w:adjustRightInd w:val="0"/>
              <w:spacing w:line="440" w:lineRule="exact"/>
              <w:rPr>
                <w:rFonts w:ascii="新宋体" w:hAnsi="新宋体" w:eastAsia="新宋体" w:cs="黑体"/>
                <w:color w:val="auto"/>
                <w:kern w:val="0"/>
                <w:szCs w:val="21"/>
              </w:rPr>
            </w:pPr>
            <w:r>
              <w:rPr>
                <w:rFonts w:hint="eastAsia" w:ascii="新宋体" w:hAnsi="新宋体" w:eastAsia="新宋体" w:cs="黑体"/>
                <w:color w:val="auto"/>
                <w:kern w:val="0"/>
                <w:szCs w:val="21"/>
              </w:rPr>
              <w:t>投标单位可跟据企业实际情况增加或删减填写此表</w:t>
            </w:r>
          </w:p>
        </w:tc>
      </w:tr>
    </w:tbl>
    <w:p>
      <w:pPr>
        <w:pStyle w:val="3"/>
        <w:rPr>
          <w:color w:val="auto"/>
        </w:rPr>
      </w:pPr>
      <w:bookmarkStart w:id="61" w:name="_Toc18283"/>
      <w:r>
        <w:rPr>
          <w:rFonts w:hint="eastAsia"/>
          <w:color w:val="auto"/>
        </w:rPr>
        <w:t>八、业绩</w:t>
      </w:r>
      <w:bookmarkEnd w:id="61"/>
    </w:p>
    <w:p>
      <w:pPr>
        <w:spacing w:line="440" w:lineRule="exact"/>
        <w:outlineLvl w:val="1"/>
        <w:rPr>
          <w:rFonts w:ascii="宋体" w:hAnsi="宋体"/>
          <w:color w:val="auto"/>
          <w:szCs w:val="21"/>
        </w:rPr>
      </w:pPr>
    </w:p>
    <w:p>
      <w:pPr>
        <w:spacing w:line="440" w:lineRule="exact"/>
        <w:rPr>
          <w:rFonts w:ascii="宋体" w:hAnsi="宋体"/>
          <w:color w:val="auto"/>
          <w:szCs w:val="21"/>
        </w:rPr>
      </w:pPr>
      <w:r>
        <w:rPr>
          <w:rFonts w:hint="eastAsia" w:ascii="宋体" w:hAnsi="宋体"/>
          <w:color w:val="auto"/>
          <w:szCs w:val="21"/>
        </w:rPr>
        <w:t>类似业绩（附复印件）</w:t>
      </w:r>
    </w:p>
    <w:p>
      <w:pPr>
        <w:spacing w:line="440" w:lineRule="exact"/>
        <w:ind w:firstLine="423" w:firstLineChars="200"/>
        <w:rPr>
          <w:rFonts w:ascii="宋体" w:hAnsi="宋体"/>
          <w:color w:val="auto"/>
          <w:szCs w:val="21"/>
        </w:rPr>
      </w:pPr>
    </w:p>
    <w:tbl>
      <w:tblPr>
        <w:tblW w:w="9624"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8"/>
        <w:gridCol w:w="1889"/>
        <w:gridCol w:w="2407"/>
        <w:gridCol w:w="1935"/>
        <w:gridCol w:w="1935"/>
      </w:tblGrid>
      <w:tr>
        <w:trPr>
          <w:trHeight w:val="956" w:hRule="atLeast"/>
        </w:trPr>
        <w:tc>
          <w:tcPr>
            <w:tcW w:w="1458" w:type="dxa"/>
            <w:vAlign w:val="center"/>
          </w:tcPr>
          <w:p>
            <w:pPr>
              <w:spacing w:line="440" w:lineRule="exact"/>
              <w:jc w:val="center"/>
              <w:rPr>
                <w:rFonts w:ascii="宋体" w:hAnsi="宋体"/>
                <w:color w:val="auto"/>
                <w:szCs w:val="21"/>
              </w:rPr>
            </w:pPr>
            <w:r>
              <w:rPr>
                <w:rFonts w:hint="eastAsia" w:ascii="宋体" w:hAnsi="宋体"/>
                <w:color w:val="auto"/>
                <w:szCs w:val="21"/>
              </w:rPr>
              <w:t>项目名称</w:t>
            </w:r>
          </w:p>
        </w:tc>
        <w:tc>
          <w:tcPr>
            <w:tcW w:w="1889" w:type="dxa"/>
            <w:vAlign w:val="center"/>
          </w:tcPr>
          <w:p>
            <w:pPr>
              <w:spacing w:line="440" w:lineRule="exact"/>
              <w:ind w:left="57"/>
              <w:jc w:val="center"/>
              <w:rPr>
                <w:rFonts w:ascii="宋体" w:hAnsi="宋体"/>
                <w:color w:val="auto"/>
                <w:szCs w:val="21"/>
              </w:rPr>
            </w:pPr>
            <w:r>
              <w:rPr>
                <w:rFonts w:hint="eastAsia" w:ascii="宋体" w:hAnsi="宋体"/>
                <w:color w:val="auto"/>
                <w:szCs w:val="21"/>
              </w:rPr>
              <w:t>签约日期</w:t>
            </w:r>
          </w:p>
        </w:tc>
        <w:tc>
          <w:tcPr>
            <w:tcW w:w="2407" w:type="dxa"/>
            <w:vAlign w:val="center"/>
          </w:tcPr>
          <w:p>
            <w:pPr>
              <w:spacing w:line="440" w:lineRule="exact"/>
              <w:jc w:val="center"/>
              <w:rPr>
                <w:rFonts w:ascii="宋体" w:hAnsi="宋体"/>
                <w:color w:val="auto"/>
                <w:szCs w:val="21"/>
              </w:rPr>
            </w:pPr>
            <w:r>
              <w:rPr>
                <w:rFonts w:hint="eastAsia" w:ascii="宋体" w:hAnsi="宋体"/>
                <w:color w:val="auto"/>
                <w:szCs w:val="21"/>
              </w:rPr>
              <w:t>业  绩（合同）</w:t>
            </w:r>
          </w:p>
        </w:tc>
        <w:tc>
          <w:tcPr>
            <w:tcW w:w="1935" w:type="dxa"/>
            <w:vAlign w:val="center"/>
          </w:tcPr>
          <w:p>
            <w:pPr>
              <w:spacing w:line="440" w:lineRule="exact"/>
              <w:jc w:val="center"/>
              <w:rPr>
                <w:rFonts w:ascii="宋体" w:hAnsi="宋体"/>
                <w:color w:val="auto"/>
                <w:szCs w:val="21"/>
              </w:rPr>
            </w:pPr>
            <w:r>
              <w:rPr>
                <w:rFonts w:hint="eastAsia" w:ascii="宋体" w:hAnsi="宋体"/>
                <w:color w:val="auto"/>
                <w:szCs w:val="21"/>
              </w:rPr>
              <w:t>中标通知书</w:t>
            </w:r>
          </w:p>
        </w:tc>
        <w:tc>
          <w:tcPr>
            <w:tcW w:w="1935" w:type="dxa"/>
            <w:vAlign w:val="center"/>
          </w:tcPr>
          <w:p>
            <w:pPr>
              <w:spacing w:line="440" w:lineRule="exact"/>
              <w:jc w:val="center"/>
              <w:rPr>
                <w:rFonts w:ascii="宋体" w:hAnsi="宋体"/>
                <w:color w:val="auto"/>
                <w:szCs w:val="21"/>
              </w:rPr>
            </w:pPr>
            <w:r>
              <w:rPr>
                <w:rFonts w:hint="eastAsia" w:ascii="宋体" w:hAnsi="宋体"/>
                <w:color w:val="auto"/>
                <w:szCs w:val="21"/>
              </w:rPr>
              <w:t>合同额</w:t>
            </w:r>
          </w:p>
        </w:tc>
      </w:tr>
      <w:tr>
        <w:trPr>
          <w:trHeight w:val="1117" w:hRule="atLeast"/>
        </w:trPr>
        <w:tc>
          <w:tcPr>
            <w:tcW w:w="1458" w:type="dxa"/>
            <w:vAlign w:val="top"/>
          </w:tcPr>
          <w:p>
            <w:pPr>
              <w:spacing w:line="440" w:lineRule="exact"/>
              <w:rPr>
                <w:rFonts w:ascii="宋体" w:hAnsi="宋体"/>
                <w:color w:val="auto"/>
                <w:szCs w:val="21"/>
              </w:rPr>
            </w:pPr>
          </w:p>
        </w:tc>
        <w:tc>
          <w:tcPr>
            <w:tcW w:w="1889" w:type="dxa"/>
            <w:vAlign w:val="top"/>
          </w:tcPr>
          <w:p>
            <w:pPr>
              <w:spacing w:line="440" w:lineRule="exact"/>
              <w:rPr>
                <w:rFonts w:ascii="宋体" w:hAnsi="宋体"/>
                <w:color w:val="auto"/>
                <w:szCs w:val="21"/>
              </w:rPr>
            </w:pPr>
          </w:p>
        </w:tc>
        <w:tc>
          <w:tcPr>
            <w:tcW w:w="2407"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r>
      <w:tr>
        <w:trPr>
          <w:trHeight w:val="1117" w:hRule="atLeast"/>
        </w:trPr>
        <w:tc>
          <w:tcPr>
            <w:tcW w:w="1458" w:type="dxa"/>
            <w:vAlign w:val="top"/>
          </w:tcPr>
          <w:p>
            <w:pPr>
              <w:spacing w:line="440" w:lineRule="exact"/>
              <w:rPr>
                <w:rFonts w:ascii="宋体" w:hAnsi="宋体"/>
                <w:color w:val="auto"/>
                <w:szCs w:val="21"/>
              </w:rPr>
            </w:pPr>
          </w:p>
        </w:tc>
        <w:tc>
          <w:tcPr>
            <w:tcW w:w="1889" w:type="dxa"/>
            <w:vAlign w:val="top"/>
          </w:tcPr>
          <w:p>
            <w:pPr>
              <w:spacing w:line="440" w:lineRule="exact"/>
              <w:rPr>
                <w:rFonts w:ascii="宋体" w:hAnsi="宋体"/>
                <w:color w:val="auto"/>
                <w:szCs w:val="21"/>
              </w:rPr>
            </w:pPr>
          </w:p>
        </w:tc>
        <w:tc>
          <w:tcPr>
            <w:tcW w:w="2407"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r>
      <w:tr>
        <w:trPr>
          <w:trHeight w:val="1117" w:hRule="atLeast"/>
        </w:trPr>
        <w:tc>
          <w:tcPr>
            <w:tcW w:w="1458" w:type="dxa"/>
            <w:vAlign w:val="top"/>
          </w:tcPr>
          <w:p>
            <w:pPr>
              <w:spacing w:line="440" w:lineRule="exact"/>
              <w:rPr>
                <w:rFonts w:ascii="宋体" w:hAnsi="宋体"/>
                <w:color w:val="auto"/>
                <w:szCs w:val="21"/>
              </w:rPr>
            </w:pPr>
          </w:p>
        </w:tc>
        <w:tc>
          <w:tcPr>
            <w:tcW w:w="1889" w:type="dxa"/>
            <w:vAlign w:val="top"/>
          </w:tcPr>
          <w:p>
            <w:pPr>
              <w:spacing w:line="440" w:lineRule="exact"/>
              <w:rPr>
                <w:rFonts w:ascii="宋体" w:hAnsi="宋体"/>
                <w:color w:val="auto"/>
                <w:szCs w:val="21"/>
              </w:rPr>
            </w:pPr>
          </w:p>
        </w:tc>
        <w:tc>
          <w:tcPr>
            <w:tcW w:w="2407"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r>
      <w:tr>
        <w:trPr>
          <w:trHeight w:val="1117" w:hRule="atLeast"/>
        </w:trPr>
        <w:tc>
          <w:tcPr>
            <w:tcW w:w="1458" w:type="dxa"/>
            <w:vAlign w:val="top"/>
          </w:tcPr>
          <w:p>
            <w:pPr>
              <w:spacing w:line="440" w:lineRule="exact"/>
              <w:rPr>
                <w:rFonts w:ascii="宋体" w:hAnsi="宋体"/>
                <w:color w:val="auto"/>
                <w:szCs w:val="21"/>
              </w:rPr>
            </w:pPr>
          </w:p>
        </w:tc>
        <w:tc>
          <w:tcPr>
            <w:tcW w:w="1889" w:type="dxa"/>
            <w:vAlign w:val="top"/>
          </w:tcPr>
          <w:p>
            <w:pPr>
              <w:spacing w:line="440" w:lineRule="exact"/>
              <w:rPr>
                <w:rFonts w:ascii="宋体" w:hAnsi="宋体"/>
                <w:color w:val="auto"/>
                <w:szCs w:val="21"/>
              </w:rPr>
            </w:pPr>
          </w:p>
        </w:tc>
        <w:tc>
          <w:tcPr>
            <w:tcW w:w="2407"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r>
      <w:tr>
        <w:trPr>
          <w:trHeight w:val="1117" w:hRule="atLeast"/>
        </w:trPr>
        <w:tc>
          <w:tcPr>
            <w:tcW w:w="1458" w:type="dxa"/>
            <w:vAlign w:val="top"/>
          </w:tcPr>
          <w:p>
            <w:pPr>
              <w:spacing w:line="440" w:lineRule="exact"/>
              <w:rPr>
                <w:rFonts w:ascii="宋体" w:hAnsi="宋体"/>
                <w:color w:val="auto"/>
                <w:szCs w:val="21"/>
              </w:rPr>
            </w:pPr>
          </w:p>
        </w:tc>
        <w:tc>
          <w:tcPr>
            <w:tcW w:w="1889" w:type="dxa"/>
            <w:vAlign w:val="top"/>
          </w:tcPr>
          <w:p>
            <w:pPr>
              <w:spacing w:line="440" w:lineRule="exact"/>
              <w:rPr>
                <w:rFonts w:ascii="宋体" w:hAnsi="宋体"/>
                <w:color w:val="auto"/>
                <w:szCs w:val="21"/>
              </w:rPr>
            </w:pPr>
          </w:p>
        </w:tc>
        <w:tc>
          <w:tcPr>
            <w:tcW w:w="2407"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r>
      <w:tr>
        <w:trPr>
          <w:trHeight w:val="1117" w:hRule="atLeast"/>
        </w:trPr>
        <w:tc>
          <w:tcPr>
            <w:tcW w:w="1458" w:type="dxa"/>
            <w:vAlign w:val="top"/>
          </w:tcPr>
          <w:p>
            <w:pPr>
              <w:spacing w:line="440" w:lineRule="exact"/>
              <w:rPr>
                <w:rFonts w:ascii="宋体" w:hAnsi="宋体"/>
                <w:color w:val="auto"/>
                <w:szCs w:val="21"/>
              </w:rPr>
            </w:pPr>
          </w:p>
        </w:tc>
        <w:tc>
          <w:tcPr>
            <w:tcW w:w="1889" w:type="dxa"/>
            <w:vAlign w:val="top"/>
          </w:tcPr>
          <w:p>
            <w:pPr>
              <w:spacing w:line="440" w:lineRule="exact"/>
              <w:rPr>
                <w:rFonts w:ascii="宋体" w:hAnsi="宋体"/>
                <w:color w:val="auto"/>
                <w:szCs w:val="21"/>
              </w:rPr>
            </w:pPr>
          </w:p>
        </w:tc>
        <w:tc>
          <w:tcPr>
            <w:tcW w:w="2407"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c>
          <w:tcPr>
            <w:tcW w:w="1935" w:type="dxa"/>
            <w:vAlign w:val="top"/>
          </w:tcPr>
          <w:p>
            <w:pPr>
              <w:spacing w:line="440" w:lineRule="exact"/>
              <w:rPr>
                <w:rFonts w:ascii="宋体" w:hAnsi="宋体"/>
                <w:color w:val="auto"/>
                <w:szCs w:val="21"/>
              </w:rPr>
            </w:pPr>
          </w:p>
        </w:tc>
      </w:tr>
    </w:tbl>
    <w:p>
      <w:pPr>
        <w:spacing w:line="440" w:lineRule="exact"/>
        <w:ind w:firstLine="476" w:firstLineChars="225"/>
        <w:rPr>
          <w:rFonts w:ascii="宋体" w:hAnsi="宋体"/>
          <w:color w:val="auto"/>
          <w:szCs w:val="21"/>
        </w:rPr>
      </w:pPr>
    </w:p>
    <w:p>
      <w:pPr>
        <w:spacing w:line="440" w:lineRule="exact"/>
        <w:ind w:firstLine="476" w:firstLineChars="225"/>
        <w:rPr>
          <w:rFonts w:ascii="宋体" w:hAnsi="宋体"/>
          <w:color w:val="auto"/>
          <w:szCs w:val="21"/>
        </w:rPr>
      </w:pP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年</w:t>
      </w:r>
      <w:r>
        <w:rPr>
          <w:rFonts w:ascii="宋体" w:hAnsi="宋体"/>
          <w:color w:val="auto"/>
          <w:szCs w:val="21"/>
        </w:rPr>
        <w:t xml:space="preserve">     </w:t>
      </w:r>
      <w:r>
        <w:rPr>
          <w:rFonts w:hint="eastAsia" w:ascii="宋体" w:hAnsi="宋体"/>
          <w:color w:val="auto"/>
          <w:szCs w:val="21"/>
        </w:rPr>
        <w:t>月</w:t>
      </w:r>
      <w:r>
        <w:rPr>
          <w:rFonts w:ascii="宋体" w:hAnsi="宋体"/>
          <w:color w:val="auto"/>
          <w:szCs w:val="21"/>
        </w:rPr>
        <w:t xml:space="preserve">     </w:t>
      </w:r>
      <w:r>
        <w:rPr>
          <w:rFonts w:hint="eastAsia" w:ascii="宋体" w:hAnsi="宋体"/>
          <w:color w:val="auto"/>
          <w:szCs w:val="21"/>
        </w:rPr>
        <w:t>日</w:t>
      </w:r>
    </w:p>
    <w:p>
      <w:pPr>
        <w:spacing w:line="440" w:lineRule="exact"/>
        <w:ind w:firstLine="476" w:firstLineChars="225"/>
        <w:outlineLvl w:val="1"/>
        <w:rPr>
          <w:rFonts w:ascii="宋体" w:hAnsi="宋体"/>
          <w:color w:val="auto"/>
          <w:szCs w:val="21"/>
        </w:rPr>
      </w:pPr>
    </w:p>
    <w:p>
      <w:pPr>
        <w:spacing w:line="440" w:lineRule="exact"/>
        <w:outlineLvl w:val="1"/>
        <w:rPr>
          <w:rFonts w:ascii="宋体" w:hAnsi="宋体"/>
          <w:b/>
          <w:color w:val="auto"/>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rPr>
          <w:color w:val="auto"/>
        </w:rPr>
      </w:pPr>
      <w:bookmarkStart w:id="62" w:name="_Toc14112"/>
      <w:r>
        <w:rPr>
          <w:rFonts w:hint="eastAsia"/>
          <w:color w:val="auto"/>
        </w:rPr>
        <w:t>九、企业荣誉</w:t>
      </w:r>
      <w:bookmarkEnd w:id="62"/>
    </w:p>
    <w:p>
      <w:pPr>
        <w:spacing w:line="440" w:lineRule="exact"/>
        <w:rPr>
          <w:color w:val="auto"/>
        </w:rPr>
      </w:pPr>
      <w:r>
        <w:rPr>
          <w:rFonts w:hint="eastAsia"/>
          <w:color w:val="auto"/>
        </w:rPr>
        <w:t xml:space="preserve"> </w:t>
      </w:r>
    </w:p>
    <w:p>
      <w:pPr>
        <w:pStyle w:val="3"/>
        <w:spacing w:line="440" w:lineRule="exact"/>
        <w:rPr>
          <w:rFonts w:ascii="宋体" w:eastAsia="宋体"/>
          <w:color w:val="auto"/>
          <w:sz w:val="28"/>
          <w:szCs w:val="28"/>
        </w:rPr>
      </w:pPr>
      <w:bookmarkStart w:id="63" w:name="_Toc30150"/>
      <w:r>
        <w:rPr>
          <w:rFonts w:hint="eastAsia" w:ascii="宋体" w:eastAsia="宋体"/>
          <w:color w:val="auto"/>
          <w:sz w:val="28"/>
          <w:szCs w:val="28"/>
        </w:rPr>
        <w:t>（非实质性条款）</w:t>
      </w:r>
      <w:bookmarkEnd w:id="63"/>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jc w:val="both"/>
        <w:rPr>
          <w:rFonts w:ascii="宋体" w:eastAsia="宋体"/>
          <w:color w:val="auto"/>
          <w:sz w:val="28"/>
          <w:szCs w:val="28"/>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spacing w:line="440" w:lineRule="exact"/>
        <w:rPr>
          <w:color w:val="auto"/>
        </w:rPr>
      </w:pPr>
    </w:p>
    <w:p>
      <w:pPr>
        <w:pStyle w:val="3"/>
        <w:spacing w:line="440" w:lineRule="exact"/>
        <w:rPr>
          <w:color w:val="auto"/>
        </w:rPr>
      </w:pPr>
    </w:p>
    <w:p>
      <w:pPr>
        <w:pStyle w:val="3"/>
        <w:spacing w:line="440" w:lineRule="exact"/>
        <w:rPr>
          <w:color w:val="auto"/>
        </w:rPr>
      </w:pPr>
    </w:p>
    <w:p>
      <w:pPr>
        <w:pStyle w:val="3"/>
        <w:spacing w:line="440" w:lineRule="exact"/>
        <w:rPr>
          <w:color w:val="auto"/>
        </w:rPr>
      </w:pPr>
    </w:p>
    <w:p>
      <w:pPr>
        <w:pStyle w:val="3"/>
        <w:spacing w:line="440" w:lineRule="exact"/>
        <w:rPr>
          <w:color w:val="auto"/>
        </w:rPr>
      </w:pPr>
    </w:p>
    <w:p>
      <w:pPr>
        <w:pStyle w:val="3"/>
        <w:spacing w:line="440" w:lineRule="exact"/>
        <w:rPr>
          <w:color w:val="auto"/>
        </w:rPr>
      </w:pPr>
    </w:p>
    <w:p>
      <w:pPr>
        <w:pStyle w:val="3"/>
        <w:spacing w:line="440" w:lineRule="exact"/>
        <w:rPr>
          <w:color w:val="auto"/>
        </w:rPr>
      </w:pPr>
    </w:p>
    <w:p>
      <w:pPr>
        <w:pStyle w:val="3"/>
        <w:spacing w:line="440" w:lineRule="exact"/>
        <w:rPr>
          <w:color w:val="auto"/>
        </w:rPr>
      </w:pPr>
    </w:p>
    <w:p>
      <w:pPr>
        <w:pStyle w:val="3"/>
        <w:spacing w:line="440" w:lineRule="exact"/>
        <w:rPr>
          <w:color w:val="auto"/>
        </w:rPr>
      </w:pPr>
    </w:p>
    <w:p>
      <w:pPr>
        <w:pStyle w:val="3"/>
        <w:spacing w:line="440" w:lineRule="exact"/>
        <w:rPr>
          <w:color w:val="auto"/>
        </w:rPr>
      </w:pPr>
      <w:bookmarkStart w:id="64" w:name="_Toc27061"/>
      <w:r>
        <w:rPr>
          <w:rFonts w:hint="eastAsia"/>
          <w:color w:val="auto"/>
        </w:rPr>
        <w:t>十、售后服务承诺及质量保证承诺</w:t>
      </w:r>
      <w:bookmarkEnd w:id="64"/>
    </w:p>
    <w:p>
      <w:pPr>
        <w:spacing w:line="440" w:lineRule="exact"/>
        <w:rPr>
          <w:color w:val="auto"/>
        </w:rPr>
      </w:pPr>
    </w:p>
    <w:p>
      <w:pPr>
        <w:spacing w:line="440" w:lineRule="exact"/>
        <w:rPr>
          <w:rFonts w:ascii="宋体" w:hAnsi="宋体"/>
          <w:color w:val="auto"/>
          <w:szCs w:val="21"/>
        </w:rPr>
      </w:pPr>
      <w:r>
        <w:rPr>
          <w:rFonts w:hint="eastAsia" w:ascii="宋体" w:hAnsi="宋体"/>
          <w:color w:val="auto"/>
          <w:szCs w:val="21"/>
        </w:rPr>
        <w:t>投标人必须提供但不限于提供以下内容：</w:t>
      </w:r>
    </w:p>
    <w:p>
      <w:pPr>
        <w:spacing w:line="440" w:lineRule="exact"/>
        <w:ind w:firstLine="317" w:firstLineChars="150"/>
        <w:rPr>
          <w:rFonts w:ascii="宋体" w:hAnsi="宋体"/>
          <w:color w:val="auto"/>
          <w:szCs w:val="21"/>
        </w:rPr>
      </w:pPr>
      <w:r>
        <w:rPr>
          <w:rFonts w:hint="eastAsia" w:ascii="宋体" w:hAnsi="宋体"/>
          <w:color w:val="auto"/>
          <w:szCs w:val="21"/>
        </w:rPr>
        <w:t>1、详细说明售后服务的内容、形式、含免费维修时间、解决质量或操作问题的响应时间、解决问题实际、维修单位名称、地点。</w:t>
      </w:r>
    </w:p>
    <w:p>
      <w:pPr>
        <w:spacing w:line="440" w:lineRule="exact"/>
        <w:ind w:firstLine="317" w:firstLineChars="150"/>
        <w:rPr>
          <w:rFonts w:ascii="宋体" w:hAnsi="宋体"/>
          <w:color w:val="auto"/>
          <w:szCs w:val="21"/>
        </w:rPr>
      </w:pPr>
      <w:r>
        <w:rPr>
          <w:rFonts w:hint="eastAsia" w:ascii="宋体" w:hAnsi="宋体"/>
          <w:color w:val="auto"/>
          <w:szCs w:val="21"/>
        </w:rPr>
        <w:t>2、该次项目所提供的其他免费物品或服务。</w:t>
      </w:r>
    </w:p>
    <w:p>
      <w:pPr>
        <w:spacing w:line="440" w:lineRule="exact"/>
        <w:ind w:firstLine="1486" w:firstLineChars="700"/>
        <w:outlineLvl w:val="1"/>
        <w:rPr>
          <w:rFonts w:ascii="宋体" w:hAnsi="宋体"/>
          <w:b/>
          <w:color w:val="auto"/>
          <w:szCs w:val="21"/>
        </w:rPr>
      </w:pPr>
    </w:p>
    <w:p>
      <w:pPr>
        <w:spacing w:line="440" w:lineRule="exact"/>
        <w:outlineLvl w:val="1"/>
        <w:rPr>
          <w:rFonts w:ascii="宋体" w:hAnsi="宋体"/>
          <w:b/>
          <w:color w:val="auto"/>
          <w:szCs w:val="21"/>
        </w:rPr>
      </w:pPr>
    </w:p>
    <w:p>
      <w:pPr>
        <w:spacing w:line="440" w:lineRule="exact"/>
        <w:ind w:firstLine="1805" w:firstLineChars="850"/>
        <w:outlineLvl w:val="1"/>
        <w:rPr>
          <w:rFonts w:ascii="宋体" w:hAnsi="宋体"/>
          <w:b/>
          <w:color w:val="auto"/>
          <w:szCs w:val="21"/>
        </w:rPr>
      </w:pPr>
    </w:p>
    <w:p>
      <w:pPr>
        <w:spacing w:line="440" w:lineRule="exact"/>
        <w:ind w:firstLine="1805" w:firstLineChars="850"/>
        <w:outlineLvl w:val="1"/>
        <w:rPr>
          <w:rFonts w:ascii="宋体" w:hAnsi="宋体"/>
          <w:b/>
          <w:color w:val="auto"/>
          <w:szCs w:val="21"/>
        </w:rPr>
      </w:pPr>
    </w:p>
    <w:p>
      <w:pPr>
        <w:spacing w:line="440" w:lineRule="exact"/>
        <w:ind w:firstLine="1805" w:firstLineChars="850"/>
        <w:outlineLvl w:val="1"/>
        <w:rPr>
          <w:rFonts w:ascii="宋体" w:hAnsi="宋体"/>
          <w:b/>
          <w:color w:val="auto"/>
          <w:szCs w:val="21"/>
        </w:rPr>
      </w:pPr>
    </w:p>
    <w:p>
      <w:pPr>
        <w:spacing w:line="440" w:lineRule="exact"/>
        <w:ind w:firstLine="1805" w:firstLineChars="850"/>
        <w:outlineLvl w:val="1"/>
        <w:rPr>
          <w:rFonts w:ascii="宋体" w:hAnsi="宋体"/>
          <w:b/>
          <w:color w:val="auto"/>
          <w:szCs w:val="21"/>
        </w:rPr>
      </w:pPr>
    </w:p>
    <w:p>
      <w:pPr>
        <w:spacing w:line="440" w:lineRule="exact"/>
        <w:ind w:firstLine="1805" w:firstLineChars="850"/>
        <w:outlineLvl w:val="1"/>
        <w:rPr>
          <w:rFonts w:ascii="宋体" w:hAnsi="宋体"/>
          <w:b/>
          <w:color w:val="auto"/>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pStyle w:val="3"/>
        <w:spacing w:line="440" w:lineRule="exact"/>
        <w:rPr>
          <w:rFonts w:ascii="宋体" w:eastAsia="宋体"/>
          <w:color w:val="auto"/>
          <w:sz w:val="21"/>
          <w:szCs w:val="21"/>
        </w:rPr>
      </w:pPr>
    </w:p>
    <w:p>
      <w:pPr>
        <w:spacing w:line="440" w:lineRule="exact"/>
        <w:rPr>
          <w:color w:val="auto"/>
        </w:rPr>
      </w:pPr>
    </w:p>
    <w:p>
      <w:pPr>
        <w:spacing w:line="440" w:lineRule="exact"/>
        <w:rPr>
          <w:color w:val="auto"/>
        </w:rPr>
      </w:pPr>
    </w:p>
    <w:p>
      <w:pPr>
        <w:pStyle w:val="3"/>
        <w:rPr>
          <w:color w:val="auto"/>
        </w:rPr>
      </w:pPr>
      <w:bookmarkStart w:id="65" w:name="_Toc12977"/>
      <w:r>
        <w:rPr>
          <w:rFonts w:hint="eastAsia"/>
          <w:color w:val="auto"/>
        </w:rPr>
        <w:t>十一、反商业贿赂承诺书</w:t>
      </w:r>
      <w:bookmarkEnd w:id="65"/>
    </w:p>
    <w:p>
      <w:pPr>
        <w:spacing w:line="440" w:lineRule="exact"/>
        <w:rPr>
          <w:rFonts w:ascii="宋体" w:hAnsi="宋体"/>
          <w:color w:val="auto"/>
          <w:szCs w:val="21"/>
        </w:rPr>
      </w:pPr>
    </w:p>
    <w:p>
      <w:pPr>
        <w:spacing w:line="440" w:lineRule="exact"/>
        <w:rPr>
          <w:rFonts w:ascii="宋体" w:hAnsi="宋体"/>
          <w:color w:val="auto"/>
          <w:szCs w:val="21"/>
        </w:rPr>
      </w:pPr>
      <w:r>
        <w:rPr>
          <w:rFonts w:hint="eastAsia" w:ascii="宋体" w:hAnsi="宋体"/>
          <w:color w:val="auto"/>
          <w:szCs w:val="21"/>
        </w:rPr>
        <w:t>我公司承诺：</w:t>
      </w:r>
      <w:r>
        <w:rPr>
          <w:rFonts w:hint="eastAsia" w:ascii="宋体" w:hAnsi="宋体"/>
          <w:color w:val="auto"/>
          <w:szCs w:val="21"/>
        </w:rPr>
        <w:tab/>
      </w:r>
    </w:p>
    <w:p>
      <w:pPr>
        <w:spacing w:line="440" w:lineRule="exact"/>
        <w:rPr>
          <w:rFonts w:ascii="宋体" w:hAnsi="宋体"/>
          <w:color w:val="auto"/>
          <w:szCs w:val="21"/>
        </w:rPr>
      </w:pPr>
      <w:r>
        <w:rPr>
          <w:rFonts w:hint="eastAsia" w:ascii="宋体" w:hAnsi="宋体"/>
          <w:color w:val="auto"/>
          <w:szCs w:val="21"/>
        </w:rPr>
        <w:t xml:space="preserve">    在</w:t>
      </w:r>
      <w:r>
        <w:rPr>
          <w:rFonts w:hint="eastAsia" w:ascii="宋体" w:hAnsi="宋体"/>
          <w:color w:val="auto"/>
          <w:szCs w:val="21"/>
          <w:u w:val="single"/>
        </w:rPr>
        <w:t>（投标项目名称）</w:t>
      </w:r>
      <w:r>
        <w:rPr>
          <w:rFonts w:hint="eastAsia" w:ascii="宋体" w:hAnsi="宋体"/>
          <w:color w:val="auto"/>
          <w:szCs w:val="21"/>
        </w:rPr>
        <w:t>投标活动中，我公司保证做到：</w:t>
      </w:r>
    </w:p>
    <w:p>
      <w:pPr>
        <w:spacing w:line="440" w:lineRule="exact"/>
        <w:ind w:firstLine="423" w:firstLineChars="200"/>
        <w:rPr>
          <w:rFonts w:ascii="宋体" w:hAnsi="宋体"/>
          <w:color w:val="auto"/>
          <w:szCs w:val="21"/>
        </w:rPr>
      </w:pPr>
      <w:r>
        <w:rPr>
          <w:rFonts w:hint="eastAsia" w:ascii="宋体" w:hAnsi="宋体"/>
          <w:color w:val="auto"/>
          <w:szCs w:val="21"/>
        </w:rPr>
        <w:t>一、公平参加本次投标活动。</w:t>
      </w:r>
    </w:p>
    <w:p>
      <w:pPr>
        <w:spacing w:line="440" w:lineRule="exact"/>
        <w:ind w:firstLine="423" w:firstLineChars="200"/>
        <w:rPr>
          <w:rFonts w:ascii="宋体" w:hAnsi="宋体"/>
          <w:color w:val="auto"/>
          <w:szCs w:val="21"/>
        </w:rPr>
      </w:pPr>
      <w:r>
        <w:rPr>
          <w:rFonts w:hint="eastAsia" w:ascii="宋体" w:hAnsi="宋体"/>
          <w:color w:val="auto"/>
          <w:szCs w:val="21"/>
        </w:rPr>
        <w:t>二、杜绝任何形式的商业贿赂行为。不向国家工作人员、政府采购代理机构工作人员、评审专家及其亲属提供礼品礼金、回扣、佣金等费用。</w:t>
      </w:r>
    </w:p>
    <w:p>
      <w:pPr>
        <w:spacing w:line="440" w:lineRule="exact"/>
        <w:ind w:firstLine="423" w:firstLineChars="200"/>
        <w:rPr>
          <w:rFonts w:ascii="宋体" w:hAnsi="宋体"/>
          <w:color w:val="auto"/>
          <w:szCs w:val="21"/>
        </w:rPr>
      </w:pPr>
      <w:r>
        <w:rPr>
          <w:rFonts w:hint="eastAsia" w:ascii="宋体" w:hAnsi="宋体"/>
          <w:color w:val="auto"/>
          <w:szCs w:val="21"/>
        </w:rPr>
        <w:t>三、若出现上述行为，我公司及参与投标的工作人员愿意接受按照国家法律法规等有关规定的处罚。</w:t>
      </w:r>
    </w:p>
    <w:p>
      <w:pPr>
        <w:spacing w:line="440" w:lineRule="exact"/>
        <w:rPr>
          <w:rFonts w:ascii="宋体" w:hAnsi="宋体"/>
          <w:color w:val="auto"/>
          <w:szCs w:val="21"/>
        </w:rPr>
      </w:pPr>
    </w:p>
    <w:p>
      <w:pPr>
        <w:spacing w:line="440" w:lineRule="exact"/>
        <w:rPr>
          <w:rFonts w:ascii="宋体" w:hAnsi="宋体"/>
          <w:color w:val="auto"/>
          <w:szCs w:val="21"/>
        </w:rPr>
      </w:pPr>
    </w:p>
    <w:p>
      <w:pPr>
        <w:spacing w:line="440" w:lineRule="exact"/>
        <w:rPr>
          <w:rFonts w:ascii="宋体" w:hAnsi="宋体"/>
          <w:color w:val="auto"/>
          <w:szCs w:val="21"/>
        </w:rPr>
      </w:pPr>
      <w:r>
        <w:rPr>
          <w:rFonts w:ascii="宋体" w:hAnsi="宋体"/>
          <w:color w:val="auto"/>
          <w:szCs w:val="21"/>
        </w:rPr>
        <w:t xml:space="preserve">                                     </w:t>
      </w:r>
    </w:p>
    <w:p>
      <w:pPr>
        <w:spacing w:line="440" w:lineRule="exact"/>
        <w:rPr>
          <w:rFonts w:ascii="宋体" w:hAnsi="宋体"/>
          <w:color w:val="auto"/>
          <w:szCs w:val="21"/>
        </w:rPr>
      </w:pPr>
      <w:r>
        <w:rPr>
          <w:rFonts w:hint="eastAsia" w:ascii="宋体" w:hAnsi="宋体"/>
          <w:color w:val="auto"/>
          <w:szCs w:val="21"/>
        </w:rPr>
        <w:t xml:space="preserve">                            </w:t>
      </w:r>
    </w:p>
    <w:p>
      <w:pPr>
        <w:spacing w:line="440" w:lineRule="exact"/>
        <w:rPr>
          <w:rFonts w:ascii="宋体" w:hAnsi="宋体"/>
          <w:color w:val="auto"/>
          <w:szCs w:val="21"/>
        </w:rPr>
      </w:pPr>
    </w:p>
    <w:p>
      <w:pPr>
        <w:spacing w:line="440" w:lineRule="exact"/>
        <w:ind w:firstLine="2961" w:firstLineChars="1400"/>
        <w:rPr>
          <w:rFonts w:ascii="宋体" w:hAnsi="宋体"/>
          <w:color w:val="auto"/>
          <w:szCs w:val="21"/>
        </w:rPr>
      </w:pPr>
      <w:r>
        <w:rPr>
          <w:rFonts w:hint="eastAsia" w:ascii="宋体" w:hAnsi="宋体"/>
          <w:color w:val="auto"/>
          <w:szCs w:val="21"/>
        </w:rPr>
        <w:t>公司法人代表（签字）</w:t>
      </w:r>
    </w:p>
    <w:p>
      <w:pPr>
        <w:spacing w:line="440" w:lineRule="exact"/>
        <w:rPr>
          <w:rFonts w:ascii="宋体" w:hAnsi="宋体"/>
          <w:color w:val="auto"/>
          <w:szCs w:val="21"/>
        </w:rPr>
      </w:pPr>
      <w:r>
        <w:rPr>
          <w:rFonts w:hint="eastAsia" w:ascii="宋体" w:hAnsi="宋体"/>
          <w:color w:val="auto"/>
          <w:szCs w:val="21"/>
        </w:rPr>
        <w:t xml:space="preserve">                            法人授权代表（签字）</w:t>
      </w:r>
    </w:p>
    <w:p>
      <w:pPr>
        <w:spacing w:line="440" w:lineRule="exact"/>
        <w:ind w:left="4336" w:hanging="4336" w:hangingChars="2050"/>
        <w:rPr>
          <w:rFonts w:ascii="宋体" w:hAnsi="宋体"/>
          <w:color w:val="auto"/>
          <w:szCs w:val="21"/>
        </w:rPr>
      </w:pPr>
      <w:r>
        <w:rPr>
          <w:rFonts w:hint="eastAsia" w:ascii="宋体" w:hAnsi="宋体"/>
          <w:color w:val="auto"/>
          <w:szCs w:val="21"/>
        </w:rPr>
        <w:t xml:space="preserve">                                        （公章）</w:t>
      </w:r>
    </w:p>
    <w:p>
      <w:pPr>
        <w:spacing w:line="440" w:lineRule="exact"/>
        <w:ind w:left="4336" w:hanging="4336" w:hangingChars="2050"/>
        <w:rPr>
          <w:rFonts w:ascii="宋体" w:hAnsi="宋体"/>
          <w:color w:val="auto"/>
          <w:szCs w:val="21"/>
        </w:rPr>
      </w:pPr>
    </w:p>
    <w:p>
      <w:pPr>
        <w:spacing w:line="440" w:lineRule="exact"/>
        <w:rPr>
          <w:rFonts w:ascii="宋体" w:hAnsi="宋体"/>
          <w:color w:val="auto"/>
          <w:szCs w:val="21"/>
        </w:rPr>
      </w:pPr>
      <w:r>
        <w:rPr>
          <w:rFonts w:hint="eastAsia" w:ascii="宋体" w:hAnsi="宋体"/>
          <w:color w:val="auto"/>
          <w:szCs w:val="21"/>
        </w:rPr>
        <w:t xml:space="preserve">                                        年   月  日</w:t>
      </w:r>
    </w:p>
    <w:p>
      <w:pPr>
        <w:spacing w:line="440" w:lineRule="exact"/>
        <w:rPr>
          <w:rFonts w:ascii="宋体" w:hAnsi="宋体"/>
          <w:color w:val="auto"/>
          <w:szCs w:val="21"/>
        </w:rPr>
      </w:pPr>
    </w:p>
    <w:p>
      <w:pPr>
        <w:spacing w:line="440" w:lineRule="exact"/>
        <w:jc w:val="center"/>
        <w:rPr>
          <w:rFonts w:ascii="宋体" w:hAnsi="宋体"/>
          <w:b/>
          <w:color w:val="auto"/>
          <w:szCs w:val="21"/>
        </w:rPr>
      </w:pPr>
    </w:p>
    <w:p>
      <w:pPr>
        <w:spacing w:line="440" w:lineRule="exact"/>
        <w:jc w:val="center"/>
        <w:rPr>
          <w:rFonts w:ascii="宋体" w:hAnsi="宋体"/>
          <w:b/>
          <w:color w:val="auto"/>
          <w:szCs w:val="21"/>
        </w:rPr>
      </w:pPr>
    </w:p>
    <w:p>
      <w:pPr>
        <w:spacing w:line="440" w:lineRule="exact"/>
        <w:jc w:val="center"/>
        <w:rPr>
          <w:rFonts w:ascii="宋体" w:hAnsi="宋体"/>
          <w:b/>
          <w:color w:val="auto"/>
          <w:szCs w:val="21"/>
        </w:rPr>
      </w:pPr>
    </w:p>
    <w:p>
      <w:pPr>
        <w:spacing w:line="440" w:lineRule="exact"/>
        <w:jc w:val="center"/>
        <w:rPr>
          <w:rFonts w:ascii="宋体" w:hAnsi="宋体"/>
          <w:b/>
          <w:color w:val="auto"/>
          <w:szCs w:val="21"/>
        </w:rPr>
      </w:pPr>
    </w:p>
    <w:p>
      <w:pPr>
        <w:spacing w:line="440" w:lineRule="exact"/>
        <w:jc w:val="center"/>
        <w:rPr>
          <w:rFonts w:ascii="宋体" w:hAnsi="宋体"/>
          <w:b/>
          <w:color w:val="auto"/>
          <w:szCs w:val="21"/>
        </w:rPr>
      </w:pPr>
    </w:p>
    <w:p>
      <w:pPr>
        <w:spacing w:line="440" w:lineRule="exact"/>
        <w:jc w:val="center"/>
        <w:rPr>
          <w:rFonts w:ascii="宋体" w:hAnsi="宋体"/>
          <w:b/>
          <w:color w:val="auto"/>
          <w:szCs w:val="21"/>
        </w:rPr>
      </w:pPr>
    </w:p>
    <w:p>
      <w:pPr>
        <w:spacing w:line="440" w:lineRule="exact"/>
        <w:jc w:val="center"/>
        <w:rPr>
          <w:rFonts w:ascii="宋体" w:hAnsi="宋体"/>
          <w:b/>
          <w:color w:val="auto"/>
          <w:szCs w:val="21"/>
        </w:rPr>
      </w:pPr>
    </w:p>
    <w:p>
      <w:pPr>
        <w:spacing w:line="440" w:lineRule="exact"/>
        <w:jc w:val="center"/>
        <w:rPr>
          <w:rFonts w:ascii="宋体" w:hAnsi="宋体"/>
          <w:b/>
          <w:color w:val="auto"/>
          <w:szCs w:val="21"/>
        </w:rPr>
      </w:pPr>
    </w:p>
    <w:p>
      <w:pPr>
        <w:spacing w:line="440" w:lineRule="exact"/>
        <w:rPr>
          <w:rFonts w:ascii="宋体" w:hAnsi="宋体"/>
          <w:b/>
          <w:color w:val="auto"/>
          <w:szCs w:val="21"/>
        </w:rPr>
      </w:pPr>
    </w:p>
    <w:p>
      <w:pPr>
        <w:pStyle w:val="3"/>
        <w:spacing w:line="440" w:lineRule="exact"/>
        <w:jc w:val="both"/>
        <w:rPr>
          <w:rFonts w:ascii="宋体" w:eastAsia="宋体"/>
          <w:color w:val="auto"/>
          <w:sz w:val="21"/>
          <w:szCs w:val="21"/>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bookmarkStart w:id="66" w:name="_Toc3090"/>
      <w:r>
        <w:rPr>
          <w:rFonts w:hint="eastAsia" w:ascii="宋体" w:eastAsia="宋体"/>
          <w:color w:val="auto"/>
          <w:sz w:val="28"/>
          <w:szCs w:val="28"/>
        </w:rPr>
        <w:t>十二、资 格 证 明 文 件</w:t>
      </w:r>
      <w:bookmarkEnd w:id="66"/>
    </w:p>
    <w:p>
      <w:pPr>
        <w:spacing w:line="440" w:lineRule="exact"/>
        <w:rPr>
          <w:color w:val="auto"/>
        </w:rPr>
      </w:pPr>
    </w:p>
    <w:p>
      <w:pPr>
        <w:spacing w:line="440" w:lineRule="exact"/>
        <w:rPr>
          <w:rFonts w:ascii="宋体" w:hAnsi="宋体"/>
          <w:color w:val="auto"/>
          <w:szCs w:val="21"/>
        </w:rPr>
      </w:pPr>
      <w:r>
        <w:rPr>
          <w:rFonts w:hint="eastAsia" w:ascii="宋体" w:hAnsi="宋体"/>
          <w:color w:val="auto"/>
          <w:szCs w:val="21"/>
        </w:rPr>
        <w:t>营业执照或三证合一的营业执照（副本）复印件</w:t>
      </w:r>
    </w:p>
    <w:p>
      <w:pPr>
        <w:spacing w:line="440" w:lineRule="exact"/>
        <w:rPr>
          <w:rFonts w:ascii="宋体" w:hAnsi="宋体"/>
          <w:color w:val="auto"/>
          <w:szCs w:val="21"/>
        </w:rPr>
      </w:pPr>
      <w:r>
        <w:rPr>
          <w:rFonts w:hint="eastAsia" w:ascii="宋体" w:hAnsi="宋体"/>
          <w:color w:val="auto"/>
          <w:szCs w:val="21"/>
        </w:rPr>
        <w:t>税务登记证（副本）复印件</w:t>
      </w:r>
    </w:p>
    <w:p>
      <w:pPr>
        <w:spacing w:line="440" w:lineRule="exact"/>
        <w:rPr>
          <w:rFonts w:ascii="宋体" w:hAnsi="宋体"/>
          <w:color w:val="auto"/>
          <w:szCs w:val="21"/>
        </w:rPr>
      </w:pPr>
      <w:r>
        <w:rPr>
          <w:rFonts w:hint="eastAsia" w:ascii="宋体" w:hAnsi="宋体"/>
          <w:color w:val="auto"/>
          <w:szCs w:val="21"/>
        </w:rPr>
        <w:t>组织机构代码证复印件</w:t>
      </w:r>
    </w:p>
    <w:p>
      <w:pPr>
        <w:spacing w:line="440" w:lineRule="exact"/>
        <w:rPr>
          <w:rFonts w:ascii="宋体" w:hAnsi="宋体"/>
          <w:color w:val="auto"/>
          <w:szCs w:val="21"/>
        </w:rPr>
      </w:pPr>
      <w:r>
        <w:rPr>
          <w:rFonts w:hint="eastAsia" w:ascii="宋体" w:hAnsi="宋体"/>
          <w:color w:val="auto"/>
          <w:szCs w:val="21"/>
        </w:rPr>
        <w:t>公路交通工程专业承包一级资质（公路机电工程专业分项），安全生产许可证有效期内，拟派建造师具有公路工程或机电工程专业二级（含二级）以上注册建造师证书及有效的安全生产考核合格证书；</w:t>
      </w:r>
    </w:p>
    <w:p>
      <w:pPr>
        <w:spacing w:line="440" w:lineRule="exact"/>
        <w:rPr>
          <w:rFonts w:ascii="宋体" w:hAnsi="宋体"/>
          <w:color w:val="auto"/>
          <w:szCs w:val="21"/>
        </w:rPr>
      </w:pPr>
      <w:r>
        <w:rPr>
          <w:rFonts w:hint="eastAsia" w:ascii="宋体" w:hAnsi="宋体"/>
          <w:color w:val="auto"/>
          <w:szCs w:val="21"/>
        </w:rPr>
        <w:t>投标保证金交付凭证复印件</w:t>
      </w:r>
    </w:p>
    <w:p>
      <w:pPr>
        <w:spacing w:line="440" w:lineRule="exact"/>
        <w:rPr>
          <w:rFonts w:ascii="宋体" w:hAnsi="宋体"/>
          <w:color w:val="auto"/>
          <w:szCs w:val="21"/>
        </w:rPr>
      </w:pPr>
      <w:r>
        <w:rPr>
          <w:rFonts w:hint="eastAsia" w:ascii="宋体" w:hAnsi="宋体"/>
          <w:color w:val="auto"/>
          <w:szCs w:val="21"/>
        </w:rPr>
        <w:t>行贿犯罪档案查询结果告知函复印件</w:t>
      </w:r>
    </w:p>
    <w:p>
      <w:pPr>
        <w:spacing w:line="440" w:lineRule="exact"/>
        <w:rPr>
          <w:rFonts w:ascii="宋体" w:hAnsi="宋体"/>
          <w:color w:val="auto"/>
          <w:szCs w:val="21"/>
        </w:rPr>
      </w:pPr>
      <w:r>
        <w:rPr>
          <w:rFonts w:hint="eastAsia" w:ascii="宋体" w:hAnsi="宋体"/>
          <w:color w:val="auto"/>
          <w:szCs w:val="21"/>
        </w:rPr>
        <w:t>业绩复印件</w:t>
      </w:r>
    </w:p>
    <w:p>
      <w:pPr>
        <w:spacing w:line="440" w:lineRule="exact"/>
        <w:rPr>
          <w:rFonts w:ascii="宋体" w:hAnsi="宋体"/>
          <w:color w:val="auto"/>
          <w:szCs w:val="21"/>
        </w:rPr>
      </w:pPr>
      <w:r>
        <w:rPr>
          <w:rFonts w:hint="eastAsia" w:ascii="宋体" w:hAnsi="宋体"/>
          <w:color w:val="auto"/>
          <w:szCs w:val="21"/>
        </w:rPr>
        <w:t>近期依法缴纳社会保障资金的交款凭证复印件</w:t>
      </w:r>
    </w:p>
    <w:p>
      <w:pPr>
        <w:spacing w:line="440" w:lineRule="exact"/>
        <w:rPr>
          <w:rFonts w:ascii="宋体" w:hAnsi="宋体"/>
          <w:color w:val="auto"/>
          <w:szCs w:val="21"/>
        </w:rPr>
      </w:pPr>
      <w:r>
        <w:rPr>
          <w:rFonts w:hint="eastAsia" w:ascii="宋体" w:hAnsi="宋体"/>
          <w:color w:val="auto"/>
          <w:szCs w:val="21"/>
        </w:rPr>
        <w:t>近期依法纳税证明复印件</w:t>
      </w:r>
    </w:p>
    <w:p>
      <w:pPr>
        <w:spacing w:line="440" w:lineRule="exact"/>
        <w:rPr>
          <w:rFonts w:ascii="宋体" w:hAnsi="宋体"/>
          <w:color w:val="auto"/>
          <w:szCs w:val="21"/>
        </w:rPr>
      </w:pPr>
      <w:r>
        <w:rPr>
          <w:rFonts w:hint="eastAsia" w:ascii="宋体" w:hAnsi="宋体"/>
          <w:color w:val="auto"/>
          <w:szCs w:val="21"/>
        </w:rPr>
        <w:t>近三年财务状况复印件</w:t>
      </w:r>
    </w:p>
    <w:p>
      <w:pPr>
        <w:spacing w:line="440" w:lineRule="exact"/>
        <w:rPr>
          <w:rFonts w:ascii="宋体" w:hAnsi="宋体"/>
          <w:color w:val="auto"/>
          <w:szCs w:val="21"/>
        </w:rPr>
      </w:pPr>
      <w:r>
        <w:rPr>
          <w:rFonts w:hint="eastAsia" w:ascii="宋体" w:hAnsi="宋体"/>
          <w:color w:val="auto"/>
          <w:szCs w:val="21"/>
        </w:rPr>
        <w:t>参加政府采购活动前三年内，在经营活动中没有重大违法记录声明函</w:t>
      </w:r>
    </w:p>
    <w:p>
      <w:pPr>
        <w:spacing w:line="440" w:lineRule="exact"/>
        <w:rPr>
          <w:rFonts w:ascii="宋体" w:hAnsi="宋体"/>
          <w:color w:val="auto"/>
          <w:szCs w:val="21"/>
        </w:rPr>
      </w:pPr>
      <w:r>
        <w:rPr>
          <w:rFonts w:hint="eastAsia" w:ascii="宋体" w:hAnsi="宋体"/>
          <w:color w:val="auto"/>
          <w:szCs w:val="21"/>
        </w:rPr>
        <w:t>招标文件中规定的其他资料</w:t>
      </w:r>
    </w:p>
    <w:p>
      <w:pPr>
        <w:spacing w:line="440" w:lineRule="exact"/>
        <w:rPr>
          <w:rFonts w:ascii="宋体" w:hAnsi="宋体"/>
          <w:b/>
          <w:color w:val="auto"/>
          <w:szCs w:val="21"/>
        </w:rPr>
      </w:pPr>
      <w:r>
        <w:rPr>
          <w:rFonts w:hint="eastAsia" w:ascii="宋体" w:hAnsi="宋体"/>
          <w:b/>
          <w:color w:val="auto"/>
          <w:szCs w:val="21"/>
        </w:rPr>
        <w:t xml:space="preserve">    以上复印件必须加盖单位公章</w:t>
      </w:r>
    </w:p>
    <w:p>
      <w:pPr>
        <w:spacing w:line="440" w:lineRule="exact"/>
        <w:rPr>
          <w:rFonts w:ascii="宋体" w:hAnsi="宋体"/>
          <w:b/>
          <w:color w:val="auto"/>
          <w:szCs w:val="21"/>
        </w:rPr>
      </w:pPr>
    </w:p>
    <w:p>
      <w:pPr>
        <w:spacing w:line="440" w:lineRule="exact"/>
        <w:jc w:val="center"/>
        <w:rPr>
          <w:rFonts w:ascii="宋体" w:hAnsi="宋体"/>
          <w:b/>
          <w:color w:val="auto"/>
          <w:szCs w:val="21"/>
        </w:rPr>
      </w:pPr>
    </w:p>
    <w:p>
      <w:pPr>
        <w:spacing w:line="440" w:lineRule="exact"/>
        <w:jc w:val="center"/>
        <w:rPr>
          <w:rFonts w:ascii="宋体" w:hAnsi="宋体"/>
          <w:b/>
          <w:color w:val="auto"/>
          <w:szCs w:val="21"/>
        </w:rPr>
      </w:pPr>
    </w:p>
    <w:p>
      <w:pPr>
        <w:pStyle w:val="3"/>
        <w:spacing w:line="440" w:lineRule="exact"/>
        <w:rPr>
          <w:rFonts w:ascii="宋体" w:eastAsia="宋体"/>
          <w:color w:val="auto"/>
          <w:sz w:val="21"/>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spacing w:line="440" w:lineRule="exact"/>
        <w:rPr>
          <w:rFonts w:ascii="宋体"/>
          <w:color w:val="auto"/>
          <w:szCs w:val="21"/>
        </w:rPr>
      </w:pPr>
    </w:p>
    <w:p>
      <w:pPr>
        <w:rPr>
          <w:rFonts w:ascii="宋体"/>
          <w:color w:val="auto"/>
          <w:sz w:val="28"/>
          <w:szCs w:val="28"/>
        </w:rPr>
      </w:pPr>
      <w:bookmarkStart w:id="67" w:name="_Toc15073"/>
    </w:p>
    <w:p>
      <w:pPr>
        <w:rPr>
          <w:rFonts w:ascii="宋体"/>
          <w:color w:val="auto"/>
          <w:sz w:val="11"/>
          <w:szCs w:val="11"/>
        </w:rPr>
      </w:pPr>
    </w:p>
    <w:bookmarkEnd w:id="67"/>
    <w:p>
      <w:pPr>
        <w:spacing w:line="440" w:lineRule="exact"/>
        <w:rPr>
          <w:rFonts w:ascii="宋体" w:hAnsi="宋体"/>
          <w:b/>
          <w:color w:val="auto"/>
          <w:szCs w:val="21"/>
        </w:rPr>
      </w:pPr>
    </w:p>
    <w:p>
      <w:pPr>
        <w:pStyle w:val="3"/>
        <w:numPr>
          <w:ilvl w:val="0"/>
          <w:numId w:val="13"/>
        </w:numPr>
        <w:spacing w:line="440" w:lineRule="exact"/>
        <w:rPr>
          <w:color w:val="auto"/>
        </w:rPr>
      </w:pPr>
      <w:r>
        <w:rPr>
          <w:rFonts w:hint="eastAsia" w:ascii="宋体" w:eastAsia="宋体"/>
          <w:color w:val="auto"/>
          <w:sz w:val="28"/>
          <w:szCs w:val="28"/>
        </w:rPr>
        <w:t>中小企业声明函</w:t>
      </w:r>
    </w:p>
    <w:p>
      <w:pPr>
        <w:rPr>
          <w:color w:val="auto"/>
          <w:highlight w:val="yellow"/>
        </w:rPr>
      </w:pPr>
    </w:p>
    <w:p>
      <w:pPr>
        <w:spacing w:line="420" w:lineRule="exact"/>
        <w:ind w:firstLine="423" w:firstLineChars="200"/>
        <w:rPr>
          <w:rFonts w:ascii="宋体"/>
          <w:color w:val="auto"/>
          <w:szCs w:val="21"/>
        </w:rPr>
      </w:pPr>
      <w:r>
        <w:rPr>
          <w:rFonts w:hint="eastAsia" w:ascii="宋体"/>
          <w:color w:val="auto"/>
          <w:szCs w:val="21"/>
        </w:rPr>
        <w:t>本公司郑重声明，根据《政府采购促进中小企业发展暂行办法》（财库[2011]181号）的规定，本公司为</w:t>
      </w:r>
      <w:r>
        <w:rPr>
          <w:rFonts w:hint="eastAsia" w:ascii="宋体"/>
          <w:color w:val="auto"/>
          <w:szCs w:val="21"/>
          <w:u w:val="single"/>
        </w:rPr>
        <w:t xml:space="preserve">      </w:t>
      </w:r>
      <w:r>
        <w:rPr>
          <w:rFonts w:hint="eastAsia" w:ascii="宋体"/>
          <w:color w:val="auto"/>
          <w:szCs w:val="21"/>
        </w:rPr>
        <w:t>（请填写：中型、小型、微型）企业。即，本公司同时满足一下条件：</w:t>
      </w:r>
    </w:p>
    <w:p>
      <w:pPr>
        <w:numPr>
          <w:ilvl w:val="0"/>
          <w:numId w:val="14"/>
        </w:numPr>
        <w:spacing w:line="420" w:lineRule="exact"/>
        <w:ind w:firstLine="423" w:firstLineChars="200"/>
        <w:rPr>
          <w:rFonts w:ascii="宋体"/>
          <w:color w:val="auto"/>
          <w:szCs w:val="21"/>
        </w:rPr>
      </w:pPr>
      <w:r>
        <w:rPr>
          <w:rFonts w:hint="eastAsia" w:ascii="宋体"/>
          <w:color w:val="auto"/>
          <w:szCs w:val="21"/>
        </w:rPr>
        <w:t>根据《工业和信息化部、国家统计局、国家发展和改革委员会、财政部关于印发中小企业划型标准规定的通知》（工信部联企业[2011]300号）规定的划分标准，本公司为</w:t>
      </w:r>
      <w:r>
        <w:rPr>
          <w:rFonts w:hint="eastAsia" w:ascii="宋体"/>
          <w:color w:val="auto"/>
          <w:szCs w:val="21"/>
          <w:u w:val="single"/>
        </w:rPr>
        <w:t xml:space="preserve">       </w:t>
      </w:r>
      <w:r>
        <w:rPr>
          <w:rFonts w:hint="eastAsia" w:ascii="宋体"/>
          <w:color w:val="auto"/>
          <w:szCs w:val="21"/>
        </w:rPr>
        <w:t>（请填写：中型、小型、微型）企业。</w:t>
      </w:r>
    </w:p>
    <w:p>
      <w:pPr>
        <w:numPr>
          <w:ilvl w:val="0"/>
          <w:numId w:val="14"/>
        </w:numPr>
        <w:spacing w:line="420" w:lineRule="exact"/>
        <w:ind w:firstLine="423" w:firstLineChars="200"/>
        <w:rPr>
          <w:rFonts w:ascii="宋体"/>
          <w:color w:val="auto"/>
          <w:szCs w:val="21"/>
        </w:rPr>
      </w:pPr>
      <w:r>
        <w:rPr>
          <w:rFonts w:hint="eastAsia" w:ascii="宋体"/>
          <w:color w:val="auto"/>
          <w:szCs w:val="21"/>
        </w:rPr>
        <w:t>本公司参加</w:t>
      </w:r>
      <w:r>
        <w:rPr>
          <w:rFonts w:hint="eastAsia" w:ascii="宋体"/>
          <w:color w:val="auto"/>
          <w:szCs w:val="21"/>
          <w:u w:val="single"/>
        </w:rPr>
        <w:t xml:space="preserve">       </w:t>
      </w:r>
      <w:r>
        <w:rPr>
          <w:rFonts w:hint="eastAsia" w:ascii="宋体"/>
          <w:color w:val="auto"/>
          <w:szCs w:val="21"/>
        </w:rPr>
        <w:t>单位的</w:t>
      </w:r>
      <w:r>
        <w:rPr>
          <w:rFonts w:hint="eastAsia" w:ascii="宋体"/>
          <w:color w:val="auto"/>
          <w:szCs w:val="21"/>
          <w:u w:val="single"/>
        </w:rPr>
        <w:t xml:space="preserve">       </w:t>
      </w:r>
      <w:r>
        <w:rPr>
          <w:rFonts w:hint="eastAsia" w:ascii="宋体"/>
          <w:color w:val="auto"/>
          <w:szCs w:val="21"/>
        </w:rPr>
        <w:t>项目采购活动提供本企业制造的货物，有本企业承担工程、提供服务、或者提供其他</w:t>
      </w:r>
      <w:r>
        <w:rPr>
          <w:rFonts w:hint="eastAsia" w:ascii="宋体"/>
          <w:color w:val="auto"/>
          <w:szCs w:val="21"/>
          <w:u w:val="single"/>
        </w:rPr>
        <w:t xml:space="preserve">       </w:t>
      </w:r>
      <w:r>
        <w:rPr>
          <w:rFonts w:hint="eastAsia" w:ascii="宋体"/>
          <w:color w:val="auto"/>
          <w:szCs w:val="21"/>
        </w:rPr>
        <w:t>（请填写：中型、小型、微型）企业制造的货物。本条所称货物不包括使用大型企业注册商标的货物。</w:t>
      </w:r>
    </w:p>
    <w:p>
      <w:pPr>
        <w:spacing w:line="420" w:lineRule="exact"/>
        <w:ind w:firstLine="423" w:firstLineChars="200"/>
        <w:rPr>
          <w:rFonts w:ascii="宋体"/>
          <w:color w:val="auto"/>
          <w:szCs w:val="21"/>
        </w:rPr>
      </w:pPr>
      <w:r>
        <w:rPr>
          <w:rFonts w:hint="eastAsia" w:ascii="宋体"/>
          <w:color w:val="auto"/>
          <w:szCs w:val="21"/>
        </w:rPr>
        <w:t>本公司对上述声明的真实性负责。如有虚假，将依法承担相应责任。</w:t>
      </w:r>
    </w:p>
    <w:p>
      <w:pPr>
        <w:ind w:firstLine="423" w:firstLineChars="200"/>
        <w:rPr>
          <w:rFonts w:ascii="宋体"/>
          <w:color w:val="auto"/>
          <w:szCs w:val="21"/>
        </w:rPr>
      </w:pPr>
    </w:p>
    <w:p>
      <w:pPr>
        <w:ind w:firstLine="423" w:firstLineChars="200"/>
        <w:rPr>
          <w:rFonts w:ascii="宋体"/>
          <w:color w:val="auto"/>
          <w:szCs w:val="21"/>
        </w:rPr>
      </w:pPr>
    </w:p>
    <w:p>
      <w:pPr>
        <w:rPr>
          <w:rFonts w:ascii="宋体"/>
          <w:color w:val="auto"/>
          <w:szCs w:val="21"/>
        </w:rPr>
      </w:pPr>
      <w:r>
        <w:rPr>
          <w:rFonts w:hint="eastAsia" w:ascii="宋体"/>
          <w:color w:val="auto"/>
          <w:szCs w:val="21"/>
        </w:rPr>
        <w:t>企业名称（盖章）：</w:t>
      </w:r>
    </w:p>
    <w:p>
      <w:pPr>
        <w:rPr>
          <w:rFonts w:ascii="宋体"/>
          <w:color w:val="auto"/>
          <w:szCs w:val="21"/>
        </w:rPr>
      </w:pPr>
    </w:p>
    <w:p>
      <w:pPr>
        <w:rPr>
          <w:rFonts w:ascii="宋体"/>
          <w:color w:val="auto"/>
          <w:szCs w:val="21"/>
        </w:rPr>
      </w:pPr>
      <w:r>
        <w:rPr>
          <w:rFonts w:hint="eastAsia" w:ascii="宋体"/>
          <w:color w:val="auto"/>
          <w:szCs w:val="21"/>
        </w:rPr>
        <w:t>日   期：</w:t>
      </w:r>
    </w:p>
    <w:p>
      <w:pPr>
        <w:rPr>
          <w:rFonts w:ascii="宋体"/>
          <w:color w:val="auto"/>
          <w:szCs w:val="21"/>
        </w:rPr>
      </w:pPr>
    </w:p>
    <w:p>
      <w:pPr>
        <w:rPr>
          <w:rFonts w:ascii="宋体"/>
          <w:color w:val="auto"/>
          <w:szCs w:val="21"/>
        </w:rPr>
      </w:pPr>
    </w:p>
    <w:p>
      <w:pPr>
        <w:rPr>
          <w:rFonts w:ascii="宋体"/>
          <w:color w:val="auto"/>
          <w:szCs w:val="21"/>
        </w:rPr>
      </w:pPr>
      <w:r>
        <w:rPr>
          <w:rFonts w:hint="eastAsia" w:ascii="宋体"/>
          <w:color w:val="auto"/>
          <w:szCs w:val="21"/>
        </w:rPr>
        <w:t>（注：如果投标单位不是中小型及微型企业，该声明函不使用）</w:t>
      </w:r>
    </w:p>
    <w:p>
      <w:pPr>
        <w:spacing w:line="440" w:lineRule="exact"/>
        <w:rPr>
          <w:rFonts w:ascii="宋体"/>
          <w:color w:val="auto"/>
          <w:szCs w:val="21"/>
        </w:rPr>
      </w:pPr>
    </w:p>
    <w:p>
      <w:pPr>
        <w:jc w:val="center"/>
        <w:rPr>
          <w:rFonts w:ascii="宋体" w:hAnsi="宋体"/>
          <w:b/>
          <w:color w:val="auto"/>
          <w:sz w:val="28"/>
          <w:szCs w:val="28"/>
        </w:rPr>
      </w:pPr>
      <w:r>
        <w:rPr>
          <w:rFonts w:hint="eastAsia" w:ascii="宋体" w:hAnsi="宋体"/>
          <w:b/>
          <w:color w:val="auto"/>
          <w:sz w:val="28"/>
          <w:szCs w:val="28"/>
        </w:rPr>
        <w:t>十四、承诺函</w:t>
      </w:r>
    </w:p>
    <w:p>
      <w:pPr>
        <w:spacing w:line="440" w:lineRule="exact"/>
        <w:rPr>
          <w:color w:val="auto"/>
          <w:szCs w:val="21"/>
        </w:rPr>
      </w:pPr>
      <w:r>
        <w:rPr>
          <w:rFonts w:hint="eastAsia"/>
          <w:color w:val="auto"/>
          <w:szCs w:val="21"/>
        </w:rPr>
        <w:t>投标人提供并开具与原有平台互联互通、无缝对接承诺函证明。</w:t>
      </w:r>
    </w:p>
    <w:p>
      <w:pPr>
        <w:spacing w:line="440" w:lineRule="exact"/>
        <w:rPr>
          <w:color w:val="auto"/>
          <w:szCs w:val="21"/>
        </w:rPr>
      </w:pPr>
    </w:p>
    <w:p>
      <w:pPr>
        <w:spacing w:line="440" w:lineRule="exact"/>
        <w:rPr>
          <w:color w:val="auto"/>
          <w:szCs w:val="21"/>
        </w:rPr>
      </w:pPr>
      <w:r>
        <w:rPr>
          <w:rFonts w:hint="eastAsia"/>
          <w:color w:val="auto"/>
          <w:szCs w:val="21"/>
        </w:rPr>
        <w:t xml:space="preserve">                                                                投标单位盖章：</w:t>
      </w:r>
    </w:p>
    <w:p>
      <w:pPr>
        <w:spacing w:line="440" w:lineRule="exact"/>
        <w:jc w:val="right"/>
        <w:rPr>
          <w:color w:val="auto"/>
          <w:szCs w:val="21"/>
        </w:rPr>
      </w:pPr>
      <w:r>
        <w:rPr>
          <w:rFonts w:hint="eastAsia"/>
          <w:color w:val="auto"/>
          <w:szCs w:val="21"/>
        </w:rPr>
        <w:t>法定代表人或授权委托人签字：</w:t>
      </w:r>
    </w:p>
    <w:p>
      <w:pPr>
        <w:spacing w:line="440" w:lineRule="exact"/>
        <w:jc w:val="center"/>
        <w:rPr>
          <w:color w:val="auto"/>
          <w:szCs w:val="21"/>
        </w:rPr>
      </w:pPr>
      <w:r>
        <w:rPr>
          <w:rFonts w:hint="eastAsia"/>
          <w:color w:val="auto"/>
          <w:szCs w:val="21"/>
        </w:rPr>
        <w:t xml:space="preserve">                                           日期：</w:t>
      </w: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eastAsia="宋体"/>
          <w:color w:val="auto"/>
          <w:sz w:val="28"/>
          <w:szCs w:val="28"/>
        </w:rPr>
      </w:pPr>
    </w:p>
    <w:p>
      <w:pPr>
        <w:pStyle w:val="3"/>
        <w:spacing w:line="440" w:lineRule="exact"/>
        <w:rPr>
          <w:rFonts w:ascii="宋体"/>
          <w:color w:val="auto"/>
          <w:spacing w:val="-20"/>
          <w:szCs w:val="21"/>
        </w:rPr>
      </w:pPr>
      <w:r>
        <w:rPr>
          <w:rFonts w:hint="eastAsia" w:ascii="宋体" w:eastAsia="宋体"/>
          <w:color w:val="auto"/>
          <w:sz w:val="28"/>
          <w:szCs w:val="28"/>
        </w:rPr>
        <w:t>十五、投标人认为需要提供的其它材料</w:t>
      </w:r>
    </w:p>
    <w:sectPr>
      <w:pgSz w:w="11907" w:h="16840"/>
      <w:pgMar w:top="1417" w:right="930" w:bottom="1417" w:left="1247" w:header="851" w:footer="992" w:gutter="0"/>
      <w:cols w:space="720" w:num="1"/>
      <w:titlePg/>
      <w:docGrid w:type="linesAndChars" w:linePitch="313" w:charSpace="3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mbria">
    <w:altName w:val="Palatino Linotype"/>
    <w:panose1 w:val="02040503050406030204"/>
    <w:charset w:val="00"/>
    <w:family w:val="auto"/>
    <w:pitch w:val="default"/>
    <w:sig w:usb0="A00002EF" w:usb1="4000004B" w:usb2="00000000" w:usb3="00000000" w:csb0="2000009F" w:csb1="00000000"/>
  </w:font>
  <w:font w:name="Calibri">
    <w:altName w:val="Lucida Sans Unicode"/>
    <w:panose1 w:val="020F0502020204030204"/>
    <w:charset w:val="00"/>
    <w:family w:val="auto"/>
    <w:pitch w:val="default"/>
    <w:sig w:usb0="A00002EF" w:usb1="4000207B" w:usb2="00000000" w:usb3="00000000" w:csb0="2000009F" w:csb1="00000000"/>
  </w:font>
  <w:font w:name="方正小标宋简体">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ÎSå">
    <w:altName w:val="仿宋_GB2312"/>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00000000" w:usb1="00000000" w:usb2="00000016" w:usb3="00000000" w:csb0="00040001" w:csb1="00000000"/>
  </w:font>
  <w:font w:name="方正黑体简体">
    <w:altName w:val="宋体"/>
    <w:panose1 w:val="00000000000000000000"/>
    <w:charset w:val="86"/>
    <w:family w:val="auto"/>
    <w:pitch w:val="default"/>
    <w:sig w:usb0="00000000" w:usb1="00000000" w:usb2="00000000" w:usb3="00000000" w:csb0="00040001" w:csb1="00000000"/>
  </w:font>
  <w:font w:name="方正北魏楷书简体">
    <w:altName w:val="宋体"/>
    <w:panose1 w:val="00000000000000000000"/>
    <w:charset w:val="86"/>
    <w:family w:val="auto"/>
    <w:pitch w:val="default"/>
    <w:sig w:usb0="00000000" w:usb1="00000000" w:usb2="00000000" w:usb3="00000000" w:csb0="00040001" w:csb1="00000000"/>
  </w:font>
  <w:font w:name="新宋体">
    <w:panose1 w:val="02010609030101010101"/>
    <w:charset w:val="86"/>
    <w:family w:val="auto"/>
    <w:pitch w:val="default"/>
    <w:sig w:usb0="00000003" w:usb1="080E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4"/>
      <w:ind w:firstLine="810" w:firstLineChars="450"/>
    </w:pPr>
    <w:r>
      <w:rPr>
        <w:rFonts w:ascii="Times New Roman" w:hAnsi="Times New Roman" w:eastAsia="宋体" w:cs="Times New Roman"/>
        <w:kern w:val="2"/>
        <w:sz w:val="18"/>
        <w:szCs w:val="24"/>
        <w:lang w:val="en-US" w:eastAsia="zh-CN" w:bidi="ar-SA"/>
      </w:rPr>
      <w:pict>
        <v:shape id="_x0000_s2052" o:spid="_x0000_s1025" type="#_x0000_t202" style="position:absolute;left:0;margin-top:0pt;height:144pt;width:144pt;mso-position-horizontal:center;mso-position-horizontal-relative:margin;mso-wrap-style:none;rotation:0f;z-index:25165926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- 1 -</w:t>
                </w:r>
                <w:r>
                  <w:rPr>
                    <w:rFonts w:hint="eastAsia"/>
                    <w:sz w:val="18"/>
                  </w:rPr>
                  <w:fldChar w:fldCharType="end"/>
                </w:r>
              </w:p>
            </w:txbxContent>
          </v:textbox>
        </v:shape>
      </w:pict>
    </w:r>
    <w:r>
      <w:rPr>
        <w:rFonts w:ascii="Times New Roman" w:hAnsi="Times New Roman" w:eastAsia="宋体" w:cs="Times New Roman"/>
        <w:kern w:val="2"/>
        <w:sz w:val="18"/>
        <w:szCs w:val="24"/>
        <w:lang w:val="en-US" w:eastAsia="zh-CN" w:bidi="ar-SA"/>
      </w:rPr>
      <w:pict>
        <v:line id="Line 1" o:spid="_x0000_s1026" style="position:absolute;left:0;margin-left:0pt;margin-top:3.6pt;height:0.05pt;width:441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pStyle w:val="14"/>
      <w:ind w:firstLine="810" w:firstLineChars="450"/>
    </w:pPr>
    <w:r>
      <w:rPr>
        <w:rFonts w:hint="eastAsia"/>
      </w:rPr>
      <w:t>河南方大建设工程管理股份有限公司</w:t>
    </w:r>
  </w:p>
  <w:p>
    <w:pPr>
      <w:pStyle w:val="14"/>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4"/>
    </w:pPr>
    <w:r>
      <w:rPr>
        <w:rFonts w:ascii="Times New Roman" w:hAnsi="Times New Roman" w:eastAsia="宋体" w:cs="Times New Roman"/>
        <w:kern w:val="2"/>
        <w:sz w:val="18"/>
        <w:szCs w:val="24"/>
        <w:lang w:val="en-US" w:eastAsia="zh-CN" w:bidi="ar-SA"/>
      </w:rPr>
      <w:pict>
        <v:shape id="_x0000_s2053" o:spid="_x0000_s1027" type="#_x0000_t202" style="position:absolute;left:0;margin-top:0pt;height:144pt;width:144pt;mso-position-horizontal:center;mso-position-horizontal-relative:margin;mso-wrap-style:none;rotation:0f;z-index:251660288;"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4"/>
      <w:tabs>
        <w:tab w:val="left" w:pos="7752"/>
        <w:tab w:val="clear" w:pos="4153"/>
      </w:tabs>
    </w:pPr>
    <w:r>
      <w:rPr>
        <w:rFonts w:ascii="Times New Roman" w:hAnsi="Times New Roman" w:eastAsia="宋体" w:cs="Times New Roman"/>
        <w:kern w:val="2"/>
        <w:sz w:val="18"/>
        <w:szCs w:val="24"/>
        <w:lang w:val="en-US" w:eastAsia="zh-CN" w:bidi="ar-SA"/>
      </w:rPr>
      <w:pict>
        <v:shape id="_x0000_s2054" o:spid="_x0000_s1028" type="#_x0000_t202" style="position:absolute;left:0;margin-top:0pt;height:144pt;width:144pt;mso-position-horizontal:center;mso-position-horizontal-relative:margin;mso-wrap-style:none;rotation:0f;z-index:251661312;"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27</w:t>
                </w:r>
                <w:r>
                  <w:rPr>
                    <w:rFonts w:hint="eastAsia"/>
                    <w:sz w:val="18"/>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4"/>
    </w:pPr>
    <w:r>
      <w:rPr>
        <w:rFonts w:ascii="Times New Roman" w:hAnsi="Times New Roman" w:eastAsia="宋体" w:cs="Times New Roman"/>
        <w:kern w:val="2"/>
        <w:sz w:val="18"/>
        <w:szCs w:val="24"/>
        <w:lang w:val="en-US" w:eastAsia="zh-CN" w:bidi="ar-SA"/>
      </w:rPr>
      <w:pict>
        <v:shape id="_x0000_s2055" o:spid="_x0000_s1029" type="#_x0000_t202" style="position:absolute;left:0;margin-top:0pt;height:144pt;width:144pt;mso-position-horizontal:center;mso-position-horizontal-relative:margin;mso-wrap-style:none;rotation:0f;z-index:251662336;"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spacing w:line="580" w:lineRule="exact"/>
      <w:rPr>
        <w:rFonts w:ascii="宋体" w:hAnsi="宋体" w:cs="宋体"/>
        <w:b/>
        <w:bCs/>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9969359">
    <w:nsid w:val="58CF20CF"/>
    <w:multiLevelType w:val="singleLevel"/>
    <w:tmpl w:val="58CF20CF"/>
    <w:lvl w:ilvl="0" w:tentative="1">
      <w:start w:val="2"/>
      <w:numFmt w:val="decimal"/>
      <w:suff w:val="nothing"/>
      <w:lvlText w:val="（%1）"/>
      <w:lvlJc w:val="left"/>
    </w:lvl>
  </w:abstractNum>
  <w:abstractNum w:abstractNumId="15">
    <w:nsid w:val="0000000F"/>
    <w:multiLevelType w:val="singleLevel"/>
    <w:tmpl w:val="0000000F"/>
    <w:lvl w:ilvl="0" w:tentative="1">
      <w:start w:val="1"/>
      <w:numFmt w:val="decimal"/>
      <w:suff w:val="nothing"/>
      <w:lvlText w:val="（%1）"/>
      <w:lvlJc w:val="left"/>
    </w:lvl>
  </w:abstractNum>
  <w:abstractNum w:abstractNumId="5">
    <w:nsid w:val="00000005"/>
    <w:multiLevelType w:val="multilevel"/>
    <w:tmpl w:val="00000005"/>
    <w:lvl w:ilvl="0" w:tentative="1">
      <w:start w:val="2"/>
      <w:numFmt w:val="decimal"/>
      <w:suff w:val="nothing"/>
      <w:lvlText w:val="%1."/>
      <w:lvlJc w:val="left"/>
    </w:lvl>
    <w:lvl w:ilvl="1" w:tentative="1">
      <w:start w:val="1"/>
      <w:numFmt w:val="decimal"/>
      <w:isLgl/>
      <w:lvlText w:val="%1.%2"/>
      <w:lvlJc w:val="left"/>
      <w:pPr>
        <w:tabs>
          <w:tab w:val="left" w:pos="1200"/>
        </w:tabs>
        <w:ind w:left="1200" w:hanging="720"/>
      </w:pPr>
      <w:rPr>
        <w:rFonts w:hint="default"/>
      </w:rPr>
    </w:lvl>
    <w:lvl w:ilvl="2" w:tentative="1">
      <w:start w:val="1"/>
      <w:numFmt w:val="decimal"/>
      <w:isLgl/>
      <w:lvlText w:val="%1.%2.%3"/>
      <w:lvlJc w:val="left"/>
      <w:pPr>
        <w:tabs>
          <w:tab w:val="left" w:pos="1680"/>
        </w:tabs>
        <w:ind w:left="1680" w:hanging="720"/>
      </w:pPr>
      <w:rPr>
        <w:rFonts w:hint="default"/>
      </w:rPr>
    </w:lvl>
    <w:lvl w:ilvl="3" w:tentative="1">
      <w:start w:val="1"/>
      <w:numFmt w:val="decimal"/>
      <w:isLgl/>
      <w:lvlText w:val="%1.%2.%3.%4"/>
      <w:lvlJc w:val="left"/>
      <w:pPr>
        <w:tabs>
          <w:tab w:val="left" w:pos="2520"/>
        </w:tabs>
        <w:ind w:left="2520" w:hanging="1080"/>
      </w:pPr>
      <w:rPr>
        <w:rFonts w:hint="default"/>
      </w:rPr>
    </w:lvl>
    <w:lvl w:ilvl="4" w:tentative="1">
      <w:start w:val="1"/>
      <w:numFmt w:val="decimal"/>
      <w:isLgl/>
      <w:lvlText w:val="%1.%2.%3.%4.%5"/>
      <w:lvlJc w:val="left"/>
      <w:pPr>
        <w:tabs>
          <w:tab w:val="left" w:pos="3360"/>
        </w:tabs>
        <w:ind w:left="3360" w:hanging="1440"/>
      </w:pPr>
      <w:rPr>
        <w:rFonts w:hint="default"/>
      </w:rPr>
    </w:lvl>
    <w:lvl w:ilvl="5" w:tentative="1">
      <w:start w:val="1"/>
      <w:numFmt w:val="decimal"/>
      <w:isLgl/>
      <w:lvlText w:val="%1.%2.%3.%4.%5.%6"/>
      <w:lvlJc w:val="left"/>
      <w:pPr>
        <w:tabs>
          <w:tab w:val="left" w:pos="3840"/>
        </w:tabs>
        <w:ind w:left="3840" w:hanging="1440"/>
      </w:pPr>
      <w:rPr>
        <w:rFonts w:hint="default"/>
      </w:rPr>
    </w:lvl>
    <w:lvl w:ilvl="6" w:tentative="1">
      <w:start w:val="1"/>
      <w:numFmt w:val="decimal"/>
      <w:isLgl/>
      <w:lvlText w:val="%1.%2.%3.%4.%5.%6.%7"/>
      <w:lvlJc w:val="left"/>
      <w:pPr>
        <w:tabs>
          <w:tab w:val="left" w:pos="4680"/>
        </w:tabs>
        <w:ind w:left="4680" w:hanging="1800"/>
      </w:pPr>
      <w:rPr>
        <w:rFonts w:hint="default"/>
      </w:rPr>
    </w:lvl>
    <w:lvl w:ilvl="7" w:tentative="1">
      <w:start w:val="1"/>
      <w:numFmt w:val="decimal"/>
      <w:isLgl/>
      <w:lvlText w:val="%1.%2.%3.%4.%5.%6.%7.%8"/>
      <w:lvlJc w:val="left"/>
      <w:pPr>
        <w:tabs>
          <w:tab w:val="left" w:pos="5520"/>
        </w:tabs>
        <w:ind w:left="5520" w:hanging="2160"/>
      </w:pPr>
      <w:rPr>
        <w:rFonts w:hint="default"/>
      </w:rPr>
    </w:lvl>
    <w:lvl w:ilvl="8" w:tentative="1">
      <w:start w:val="1"/>
      <w:numFmt w:val="decimal"/>
      <w:isLgl/>
      <w:lvlText w:val="%1.%2.%3.%4.%5.%6.%7.%8.%9"/>
      <w:lvlJc w:val="left"/>
      <w:pPr>
        <w:tabs>
          <w:tab w:val="left" w:pos="6000"/>
        </w:tabs>
        <w:ind w:left="6000" w:hanging="2160"/>
      </w:pPr>
      <w:rPr>
        <w:rFonts w:hint="default"/>
      </w:rPr>
    </w:lvl>
  </w:abstractNum>
  <w:abstractNum w:abstractNumId="4">
    <w:nsid w:val="00000004"/>
    <w:multiLevelType w:val="singleLevel"/>
    <w:tmpl w:val="00000004"/>
    <w:lvl w:ilvl="0" w:tentative="1">
      <w:start w:val="1"/>
      <w:numFmt w:val="decimal"/>
      <w:suff w:val="nothing"/>
      <w:lvlText w:val="（%1）"/>
      <w:lvlJc w:val="left"/>
    </w:lvl>
  </w:abstractNum>
  <w:abstractNum w:abstractNumId="3">
    <w:nsid w:val="00000003"/>
    <w:multiLevelType w:val="multilevel"/>
    <w:tmpl w:val="00000003"/>
    <w:lvl w:ilvl="0" w:tentative="1">
      <w:start w:val="1"/>
      <w:numFmt w:val="upperLetter"/>
      <w:pStyle w:val="27"/>
      <w:lvlText w:val="%1、"/>
      <w:lvlJc w:val="left"/>
      <w:pPr>
        <w:tabs>
          <w:tab w:val="left" w:pos="720"/>
        </w:tabs>
        <w:ind w:left="720" w:hanging="72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469696158">
    <w:nsid w:val="5799C89E"/>
    <w:multiLevelType w:val="singleLevel"/>
    <w:tmpl w:val="5799C89E"/>
    <w:lvl w:ilvl="0" w:tentative="1">
      <w:start w:val="1"/>
      <w:numFmt w:val="decimal"/>
      <w:suff w:val="nothing"/>
      <w:lvlText w:val="%1."/>
      <w:lvlJc w:val="left"/>
    </w:lvl>
  </w:abstractNum>
  <w:abstractNum w:abstractNumId="1482834929">
    <w:nsid w:val="586243F1"/>
    <w:multiLevelType w:val="singleLevel"/>
    <w:tmpl w:val="586243F1"/>
    <w:lvl w:ilvl="0" w:tentative="1">
      <w:start w:val="13"/>
      <w:numFmt w:val="chineseCounting"/>
      <w:suff w:val="nothing"/>
      <w:lvlText w:val="%1、"/>
      <w:lvlJc w:val="left"/>
    </w:lvl>
  </w:abstractNum>
  <w:abstractNum w:abstractNumId="1469752115">
    <w:nsid w:val="579AA333"/>
    <w:multiLevelType w:val="singleLevel"/>
    <w:tmpl w:val="579AA333"/>
    <w:lvl w:ilvl="0" w:tentative="1">
      <w:start w:val="1"/>
      <w:numFmt w:val="chineseCounting"/>
      <w:suff w:val="space"/>
      <w:lvlText w:val="第%1章"/>
      <w:lvlJc w:val="left"/>
    </w:lvl>
  </w:abstractNum>
  <w:abstractNum w:abstractNumId="19">
    <w:nsid w:val="00000013"/>
    <w:multiLevelType w:val="singleLevel"/>
    <w:tmpl w:val="00000013"/>
    <w:lvl w:ilvl="0" w:tentative="1">
      <w:start w:val="1"/>
      <w:numFmt w:val="decimal"/>
      <w:suff w:val="nothing"/>
      <w:lvlText w:val="（%1）"/>
      <w:lvlJc w:val="left"/>
    </w:lvl>
  </w:abstractNum>
  <w:abstractNum w:abstractNumId="18">
    <w:nsid w:val="00000012"/>
    <w:multiLevelType w:val="singleLevel"/>
    <w:tmpl w:val="00000012"/>
    <w:lvl w:ilvl="0" w:tentative="1">
      <w:start w:val="3"/>
      <w:numFmt w:val="decimal"/>
      <w:suff w:val="nothing"/>
      <w:lvlText w:val="%1."/>
      <w:lvlJc w:val="left"/>
    </w:lvl>
  </w:abstractNum>
  <w:abstractNum w:abstractNumId="1482306089">
    <w:nsid w:val="585A3229"/>
    <w:multiLevelType w:val="singleLevel"/>
    <w:tmpl w:val="585A3229"/>
    <w:lvl w:ilvl="0" w:tentative="1">
      <w:start w:val="5"/>
      <w:numFmt w:val="chineseCounting"/>
      <w:suff w:val="nothing"/>
      <w:lvlText w:val="%1、"/>
      <w:lvlJc w:val="left"/>
    </w:lvl>
  </w:abstractNum>
  <w:abstractNum w:abstractNumId="1482835394">
    <w:nsid w:val="586245C2"/>
    <w:multiLevelType w:val="singleLevel"/>
    <w:tmpl w:val="586245C2"/>
    <w:lvl w:ilvl="0" w:tentative="1">
      <w:start w:val="1"/>
      <w:numFmt w:val="decimal"/>
      <w:suff w:val="nothing"/>
      <w:lvlText w:val="%1."/>
      <w:lvlJc w:val="left"/>
    </w:lvl>
  </w:abstractNum>
  <w:abstractNum w:abstractNumId="6">
    <w:nsid w:val="00000006"/>
    <w:multiLevelType w:val="singleLevel"/>
    <w:tmpl w:val="00000006"/>
    <w:lvl w:ilvl="0" w:tentative="1">
      <w:start w:val="1"/>
      <w:numFmt w:val="decimal"/>
      <w:suff w:val="nothing"/>
      <w:lvlText w:val="（%1）"/>
      <w:lvlJc w:val="left"/>
    </w:lvl>
  </w:abstractNum>
  <w:abstractNum w:abstractNumId="1482833696">
    <w:nsid w:val="58623F20"/>
    <w:multiLevelType w:val="singleLevel"/>
    <w:tmpl w:val="58623F20"/>
    <w:lvl w:ilvl="0" w:tentative="1">
      <w:start w:val="9"/>
      <w:numFmt w:val="decimal"/>
      <w:suff w:val="space"/>
      <w:lvlText w:val="%1."/>
      <w:lvlJc w:val="left"/>
    </w:lvl>
  </w:abstractNum>
  <w:num w:numId="1">
    <w:abstractNumId w:val="3"/>
  </w:num>
  <w:num w:numId="2">
    <w:abstractNumId w:val="1469752115"/>
  </w:num>
  <w:num w:numId="3">
    <w:abstractNumId w:val="1482306089"/>
  </w:num>
  <w:num w:numId="4">
    <w:abstractNumId w:val="1469696158"/>
  </w:num>
  <w:num w:numId="5">
    <w:abstractNumId w:val="6"/>
  </w:num>
  <w:num w:numId="6">
    <w:abstractNumId w:val="15"/>
  </w:num>
  <w:num w:numId="7">
    <w:abstractNumId w:val="4"/>
  </w:num>
  <w:num w:numId="8">
    <w:abstractNumId w:val="5"/>
  </w:num>
  <w:num w:numId="9">
    <w:abstractNumId w:val="1489969359"/>
  </w:num>
  <w:num w:numId="10">
    <w:abstractNumId w:val="18"/>
  </w:num>
  <w:num w:numId="11">
    <w:abstractNumId w:val="19"/>
  </w:num>
  <w:num w:numId="12">
    <w:abstractNumId w:val="1482833696"/>
  </w:num>
  <w:num w:numId="13">
    <w:abstractNumId w:val="1482834929"/>
  </w:num>
  <w:num w:numId="14">
    <w:abstractNumId w:val="148283539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313"/>
  <w:displayHorizontalDrawingGridEvery w:val="2"/>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qFormat="1"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3"/>
    <w:qFormat/>
    <w:uiPriority w:val="0"/>
    <w:pPr>
      <w:spacing w:line="560" w:lineRule="exact"/>
      <w:jc w:val="center"/>
      <w:outlineLvl w:val="0"/>
    </w:pPr>
    <w:rPr>
      <w:rFonts w:ascii="方正小标宋简体" w:hAnsi="宋体" w:eastAsia="方正小标宋简体"/>
      <w:b/>
      <w:kern w:val="0"/>
      <w:sz w:val="36"/>
      <w:szCs w:val="36"/>
    </w:rPr>
  </w:style>
  <w:style w:type="paragraph" w:styleId="3">
    <w:name w:val="heading 2"/>
    <w:basedOn w:val="1"/>
    <w:next w:val="1"/>
    <w:link w:val="41"/>
    <w:qFormat/>
    <w:uiPriority w:val="0"/>
    <w:pPr>
      <w:spacing w:line="560" w:lineRule="exact"/>
      <w:jc w:val="center"/>
      <w:outlineLvl w:val="1"/>
    </w:pPr>
    <w:rPr>
      <w:rFonts w:ascii="方正小标宋简体" w:hAnsi="宋体" w:eastAsia="方正小标宋简体"/>
      <w:b/>
      <w:sz w:val="32"/>
      <w:szCs w:val="32"/>
    </w:rPr>
  </w:style>
  <w:style w:type="paragraph" w:styleId="4">
    <w:name w:val="heading 3"/>
    <w:basedOn w:val="1"/>
    <w:next w:val="1"/>
    <w:link w:val="38"/>
    <w:qFormat/>
    <w:uiPriority w:val="0"/>
    <w:pPr>
      <w:keepNext/>
      <w:keepLines/>
      <w:spacing w:before="260" w:after="260" w:line="413" w:lineRule="auto"/>
      <w:outlineLvl w:val="2"/>
    </w:pPr>
    <w:rPr>
      <w:b/>
      <w:kern w:val="0"/>
      <w:sz w:val="32"/>
      <w:szCs w:val="20"/>
    </w:rPr>
  </w:style>
  <w:style w:type="character" w:default="1" w:styleId="20">
    <w:name w:val="Default Paragraph Font"/>
    <w:unhideWhenUsed/>
    <w:uiPriority w:val="1"/>
  </w:style>
  <w:style w:type="paragraph" w:styleId="5">
    <w:name w:val="table of authorities"/>
    <w:basedOn w:val="1"/>
    <w:next w:val="1"/>
    <w:qFormat/>
    <w:uiPriority w:val="0"/>
    <w:pPr>
      <w:ind w:left="420" w:leftChars="200"/>
    </w:pPr>
  </w:style>
  <w:style w:type="paragraph" w:styleId="6">
    <w:name w:val="Document Map"/>
    <w:basedOn w:val="1"/>
    <w:semiHidden/>
    <w:qFormat/>
    <w:uiPriority w:val="0"/>
    <w:pPr>
      <w:shd w:val="clear" w:color="auto" w:fill="000080"/>
    </w:pPr>
  </w:style>
  <w:style w:type="paragraph" w:styleId="7">
    <w:name w:val="annotation text"/>
    <w:basedOn w:val="1"/>
    <w:qFormat/>
    <w:uiPriority w:val="0"/>
    <w:pPr>
      <w:jc w:val="left"/>
    </w:pPr>
  </w:style>
  <w:style w:type="paragraph" w:styleId="8">
    <w:name w:val="Body Text 3"/>
    <w:basedOn w:val="1"/>
    <w:qFormat/>
    <w:uiPriority w:val="0"/>
    <w:pPr>
      <w:spacing w:line="360" w:lineRule="exact"/>
      <w:jc w:val="center"/>
    </w:pPr>
    <w:rPr>
      <w:rFonts w:ascii="楷体_GB2312" w:eastAsia="楷体_GB2312"/>
      <w:sz w:val="28"/>
    </w:rPr>
  </w:style>
  <w:style w:type="paragraph" w:styleId="9">
    <w:name w:val="Body Text Indent"/>
    <w:basedOn w:val="1"/>
    <w:qFormat/>
    <w:uiPriority w:val="0"/>
    <w:pPr>
      <w:spacing w:after="120"/>
      <w:ind w:left="420" w:leftChars="200"/>
    </w:pPr>
  </w:style>
  <w:style w:type="paragraph" w:styleId="10">
    <w:name w:val="Plain Text"/>
    <w:basedOn w:val="1"/>
    <w:link w:val="32"/>
    <w:qFormat/>
    <w:uiPriority w:val="0"/>
    <w:rPr>
      <w:rFonts w:ascii="宋体" w:hAnsi="Courier New" w:cs="Courier New"/>
      <w:szCs w:val="21"/>
    </w:rPr>
  </w:style>
  <w:style w:type="paragraph" w:styleId="11">
    <w:name w:val="Date"/>
    <w:basedOn w:val="1"/>
    <w:next w:val="1"/>
    <w:link w:val="36"/>
    <w:qFormat/>
    <w:uiPriority w:val="0"/>
    <w:rPr>
      <w:rFonts w:ascii="宋体"/>
      <w:sz w:val="32"/>
      <w:szCs w:val="20"/>
    </w:rPr>
  </w:style>
  <w:style w:type="paragraph" w:styleId="12">
    <w:name w:val="Body Text Indent 2"/>
    <w:basedOn w:val="1"/>
    <w:qFormat/>
    <w:uiPriority w:val="0"/>
    <w:pPr>
      <w:spacing w:after="120" w:line="480" w:lineRule="auto"/>
      <w:ind w:left="420" w:leftChars="200"/>
    </w:pPr>
    <w:rPr>
      <w:szCs w:val="20"/>
    </w:rPr>
  </w:style>
  <w:style w:type="paragraph" w:styleId="13">
    <w:name w:val="Balloon Text"/>
    <w:basedOn w:val="1"/>
    <w:link w:val="42"/>
    <w:qFormat/>
    <w:uiPriority w:val="0"/>
    <w:rPr>
      <w:sz w:val="18"/>
      <w:szCs w:val="18"/>
    </w:rPr>
  </w:style>
  <w:style w:type="paragraph" w:styleId="14">
    <w:name w:val="footer"/>
    <w:basedOn w:val="1"/>
    <w:link w:val="35"/>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uiPriority w:val="0"/>
  </w:style>
  <w:style w:type="paragraph" w:styleId="17">
    <w:name w:val="toc 2"/>
    <w:basedOn w:val="1"/>
    <w:next w:val="1"/>
    <w:uiPriority w:val="0"/>
    <w:pPr>
      <w:ind w:left="420" w:leftChars="200"/>
    </w:pPr>
  </w:style>
  <w:style w:type="paragraph" w:styleId="18">
    <w:name w:val="Body Text 2"/>
    <w:basedOn w:val="1"/>
    <w:uiPriority w:val="0"/>
    <w:pPr>
      <w:spacing w:after="120" w:line="480" w:lineRule="auto"/>
    </w:pPr>
  </w:style>
  <w:style w:type="paragraph" w:styleId="19">
    <w:name w:val="Normal (Web)"/>
    <w:basedOn w:val="1"/>
    <w:uiPriority w:val="0"/>
    <w:pPr>
      <w:widowControl/>
      <w:spacing w:before="100" w:beforeAutospacing="1" w:after="100" w:afterAutospacing="1"/>
      <w:jc w:val="left"/>
    </w:pPr>
    <w:rPr>
      <w:rFonts w:ascii="宋体" w:hAnsi="宋体" w:cs="宋体"/>
      <w:kern w:val="0"/>
      <w:sz w:val="24"/>
    </w:rPr>
  </w:style>
  <w:style w:type="character" w:styleId="21">
    <w:name w:val="page number"/>
    <w:basedOn w:val="20"/>
    <w:uiPriority w:val="0"/>
    <w:rPr/>
  </w:style>
  <w:style w:type="character" w:styleId="22">
    <w:name w:val="Hyperlink"/>
    <w:uiPriority w:val="0"/>
    <w:rPr>
      <w:color w:val="0000FF"/>
      <w:u w:val="single"/>
    </w:rPr>
  </w:style>
  <w:style w:type="paragraph" w:customStyle="1" w:styleId="23">
    <w:name w:val="列出段落1"/>
    <w:basedOn w:val="1"/>
    <w:qFormat/>
    <w:uiPriority w:val="34"/>
    <w:pPr>
      <w:ind w:firstLine="420" w:firstLineChars="200"/>
    </w:pPr>
  </w:style>
  <w:style w:type="paragraph" w:customStyle="1" w:styleId="24">
    <w:name w:val="默认段落字体 Para Char Char Char Char Char Char Char Char Char Char Char Char Char"/>
    <w:basedOn w:val="6"/>
    <w:qFormat/>
    <w:uiPriority w:val="0"/>
    <w:rPr>
      <w:sz w:val="24"/>
      <w:szCs w:val="20"/>
    </w:rPr>
  </w:style>
  <w:style w:type="paragraph" w:customStyle="1" w:styleId="25">
    <w:name w:val="常规"/>
    <w:basedOn w:val="1"/>
    <w:uiPriority w:val="0"/>
    <w:pPr>
      <w:jc w:val="left"/>
    </w:pPr>
    <w:rPr>
      <w:rFonts w:ascii="Arial" w:hAnsi="Arial" w:eastAsia="Arial" w:cs="Arial"/>
      <w:sz w:val="20"/>
      <w:szCs w:val="20"/>
      <w:lang w:val="zh-CN"/>
    </w:rPr>
  </w:style>
  <w:style w:type="paragraph" w:customStyle="1" w:styleId="26">
    <w:name w:val="List Paragraph1"/>
    <w:basedOn w:val="1"/>
    <w:qFormat/>
    <w:uiPriority w:val="34"/>
    <w:pPr>
      <w:ind w:firstLine="420" w:firstLineChars="200"/>
    </w:pPr>
  </w:style>
  <w:style w:type="paragraph" w:customStyle="1" w:styleId="27">
    <w:name w:val="标题 1_0"/>
    <w:basedOn w:val="1"/>
    <w:next w:val="1"/>
    <w:uiPriority w:val="0"/>
    <w:pPr>
      <w:keepNext/>
      <w:numPr>
        <w:ilvl w:val="0"/>
        <w:numId w:val="1"/>
      </w:numPr>
      <w:spacing w:line="520" w:lineRule="exact"/>
      <w:jc w:val="center"/>
      <w:outlineLvl w:val="0"/>
    </w:pPr>
    <w:rPr>
      <w:rFonts w:ascii="黑体" w:eastAsia="黑体" w:cs="宋体"/>
      <w:sz w:val="28"/>
    </w:rPr>
  </w:style>
  <w:style w:type="paragraph" w:customStyle="1" w:styleId="28">
    <w:name w:val="文档正文"/>
    <w:basedOn w:val="1"/>
    <w:uiPriority w:val="0"/>
    <w:pPr>
      <w:adjustRightInd w:val="0"/>
      <w:spacing w:line="480" w:lineRule="atLeast"/>
      <w:ind w:firstLine="567"/>
      <w:textAlignment w:val="baseline"/>
    </w:pPr>
    <w:rPr>
      <w:rFonts w:ascii="仿宋_GB2312" w:eastAsia="仿宋_GB2312"/>
      <w:kern w:val="0"/>
      <w:sz w:val="28"/>
      <w:szCs w:val="20"/>
    </w:rPr>
  </w:style>
  <w:style w:type="paragraph" w:customStyle="1" w:styleId="29">
    <w:name w:val="1 Char Char Char Char"/>
    <w:basedOn w:val="5"/>
    <w:uiPriority w:val="0"/>
  </w:style>
  <w:style w:type="paragraph" w:customStyle="1" w:styleId="30">
    <w:name w:val="正文_0_0"/>
    <w:uiPriority w:val="0"/>
    <w:pPr>
      <w:widowControl w:val="0"/>
      <w:jc w:val="both"/>
    </w:pPr>
    <w:rPr>
      <w:rFonts w:ascii="Calibri" w:hAnsi="Calibri" w:eastAsia="宋体" w:cs="Times New Roman"/>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32">
    <w:name w:val="纯文本 Char Char"/>
    <w:basedOn w:val="20"/>
    <w:link w:val="10"/>
    <w:uiPriority w:val="0"/>
    <w:rPr>
      <w:rFonts w:ascii="宋体" w:hAnsi="Courier New" w:eastAsia="宋体" w:cs="Courier New"/>
      <w:kern w:val="2"/>
      <w:sz w:val="21"/>
      <w:szCs w:val="21"/>
      <w:lang w:val="en-US" w:eastAsia="zh-CN" w:bidi="ar-SA"/>
    </w:rPr>
  </w:style>
  <w:style w:type="character" w:customStyle="1" w:styleId="33">
    <w:name w:val="标题 1 Char Char"/>
    <w:link w:val="2"/>
    <w:uiPriority w:val="0"/>
    <w:rPr>
      <w:rFonts w:ascii="方正小标宋简体" w:hAnsi="宋体" w:eastAsia="方正小标宋简体"/>
      <w:b/>
      <w:sz w:val="36"/>
      <w:szCs w:val="36"/>
    </w:rPr>
  </w:style>
  <w:style w:type="character" w:customStyle="1" w:styleId="34">
    <w:name w:val="font41"/>
    <w:basedOn w:val="20"/>
    <w:uiPriority w:val="0"/>
    <w:rPr>
      <w:rFonts w:hint="eastAsia" w:ascii="宋体" w:hAnsi="宋体" w:eastAsia="宋体" w:cs="宋体"/>
      <w:color w:val="000000"/>
      <w:sz w:val="24"/>
      <w:szCs w:val="24"/>
      <w:u w:val="none"/>
      <w:vertAlign w:val="superscript"/>
    </w:rPr>
  </w:style>
  <w:style w:type="character" w:customStyle="1" w:styleId="35">
    <w:name w:val="页脚 Char Char"/>
    <w:basedOn w:val="20"/>
    <w:link w:val="14"/>
    <w:uiPriority w:val="0"/>
    <w:rPr>
      <w:rFonts w:eastAsia="宋体"/>
      <w:kern w:val="2"/>
      <w:sz w:val="18"/>
      <w:szCs w:val="24"/>
      <w:lang w:val="en-US" w:eastAsia="zh-CN" w:bidi="ar-SA"/>
    </w:rPr>
  </w:style>
  <w:style w:type="character" w:customStyle="1" w:styleId="36">
    <w:name w:val="日期 Char Char"/>
    <w:link w:val="11"/>
    <w:uiPriority w:val="0"/>
    <w:rPr>
      <w:rFonts w:ascii="宋体" w:eastAsia="宋体"/>
      <w:kern w:val="2"/>
      <w:sz w:val="32"/>
      <w:lang w:bidi="ar-SA"/>
    </w:rPr>
  </w:style>
  <w:style w:type="character" w:customStyle="1" w:styleId="37">
    <w:name w:val="Char Char2"/>
    <w:basedOn w:val="20"/>
    <w:uiPriority w:val="0"/>
    <w:rPr>
      <w:rFonts w:ascii="宋体" w:hAnsi="Courier New" w:eastAsia="宋体"/>
      <w:kern w:val="2"/>
      <w:sz w:val="21"/>
      <w:lang w:val="en-US" w:eastAsia="zh-CN" w:bidi="ar-SA"/>
    </w:rPr>
  </w:style>
  <w:style w:type="character" w:customStyle="1" w:styleId="38">
    <w:name w:val="标题 3 Char Char"/>
    <w:link w:val="4"/>
    <w:uiPriority w:val="0"/>
    <w:rPr>
      <w:b/>
      <w:sz w:val="32"/>
    </w:rPr>
  </w:style>
  <w:style w:type="character" w:customStyle="1" w:styleId="39">
    <w:name w:val="font31"/>
    <w:basedOn w:val="20"/>
    <w:qFormat/>
    <w:uiPriority w:val="0"/>
    <w:rPr>
      <w:rFonts w:ascii="‹ÎSå" w:hAnsi="‹ÎSå" w:eastAsia="‹ÎSå" w:cs="‹ÎSå"/>
      <w:color w:val="000000"/>
      <w:sz w:val="22"/>
      <w:szCs w:val="22"/>
      <w:u w:val="none"/>
    </w:rPr>
  </w:style>
  <w:style w:type="character" w:customStyle="1" w:styleId="40">
    <w:name w:val="font21"/>
    <w:basedOn w:val="20"/>
    <w:qFormat/>
    <w:uiPriority w:val="0"/>
    <w:rPr>
      <w:rFonts w:hint="eastAsia" w:ascii="宋体" w:hAnsi="宋体" w:eastAsia="宋体" w:cs="宋体"/>
      <w:color w:val="000000"/>
      <w:sz w:val="22"/>
      <w:szCs w:val="22"/>
      <w:u w:val="none"/>
    </w:rPr>
  </w:style>
  <w:style w:type="character" w:customStyle="1" w:styleId="41">
    <w:name w:val="标题 2 Char Char"/>
    <w:link w:val="3"/>
    <w:uiPriority w:val="0"/>
    <w:rPr>
      <w:rFonts w:ascii="方正小标宋简体" w:hAnsi="宋体" w:eastAsia="方正小标宋简体"/>
      <w:b/>
      <w:kern w:val="2"/>
      <w:sz w:val="32"/>
      <w:szCs w:val="32"/>
      <w:lang w:val="en-US" w:eastAsia="zh-CN" w:bidi="ar-SA"/>
    </w:rPr>
  </w:style>
  <w:style w:type="character" w:customStyle="1" w:styleId="42">
    <w:name w:val="批注框文本 Char Char"/>
    <w:basedOn w:val="20"/>
    <w:link w:val="13"/>
    <w:uiPriority w:val="0"/>
    <w:rPr>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4466</Words>
  <Characters>25460</Characters>
  <Lines>212</Lines>
  <Paragraphs>59</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2017-03-19T11:04:00Z</dcterms:created>
  <dc:creator>Administrator</dc:creator>
  <cp:lastModifiedBy>Guest</cp:lastModifiedBy>
  <cp:lastPrinted>2017-03-20T01:45:00Z</cp:lastPrinted>
  <dcterms:modified xsi:type="dcterms:W3CDTF">2010-10-29T18:37:46Z</dcterms:modified>
  <dc:title>温县幼儿园室内外设施和电器设施采购项目</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