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560" w:lineRule="exact"/>
        <w:jc w:val="center"/>
        <w:rPr>
          <w:rFonts w:hint="eastAsia" w:ascii="仿宋" w:hAnsi="仿宋" w:eastAsia="仿宋"/>
          <w:b/>
          <w:bCs/>
          <w:color w:val="auto"/>
          <w:sz w:val="36"/>
          <w:szCs w:val="36"/>
          <w:highlight w:val="none"/>
        </w:rPr>
      </w:pPr>
      <w:r>
        <w:rPr>
          <w:rFonts w:hint="eastAsia" w:ascii="仿宋" w:hAnsi="仿宋" w:eastAsia="仿宋"/>
          <w:b/>
          <w:bCs/>
          <w:color w:val="auto"/>
          <w:sz w:val="36"/>
          <w:szCs w:val="36"/>
          <w:highlight w:val="none"/>
        </w:rPr>
        <w:t>温县公共资源交易监控对讲系统联网设备采购项目</w:t>
      </w:r>
    </w:p>
    <w:p>
      <w:pPr>
        <w:spacing w:line="560" w:lineRule="exact"/>
        <w:jc w:val="center"/>
        <w:rPr>
          <w:rFonts w:hint="eastAsia" w:ascii="仿宋" w:hAnsi="仿宋" w:eastAsia="仿宋"/>
          <w:b/>
          <w:bCs/>
          <w:color w:val="auto"/>
          <w:sz w:val="36"/>
          <w:szCs w:val="36"/>
          <w:highlight w:val="none"/>
        </w:rPr>
      </w:pPr>
    </w:p>
    <w:p>
      <w:pPr>
        <w:spacing w:line="560" w:lineRule="exact"/>
        <w:jc w:val="center"/>
        <w:rPr>
          <w:rFonts w:hint="eastAsia" w:ascii="仿宋" w:hAnsi="仿宋" w:eastAsia="仿宋"/>
          <w:b/>
          <w:bCs/>
          <w:color w:val="auto"/>
          <w:sz w:val="32"/>
          <w:szCs w:val="32"/>
          <w:highlight w:val="none"/>
        </w:rPr>
      </w:pPr>
      <w:r>
        <w:rPr>
          <w:rFonts w:hint="eastAsia" w:ascii="仿宋" w:hAnsi="仿宋" w:eastAsia="仿宋"/>
          <w:b/>
          <w:bCs/>
          <w:color w:val="auto"/>
          <w:sz w:val="32"/>
          <w:szCs w:val="32"/>
          <w:highlight w:val="none"/>
        </w:rPr>
        <w:t>项目编号：温交易[2016]198-5号</w:t>
      </w:r>
    </w:p>
    <w:p>
      <w:pPr>
        <w:spacing w:line="560" w:lineRule="exact"/>
        <w:jc w:val="center"/>
        <w:rPr>
          <w:rFonts w:hint="eastAsia" w:ascii="仿宋" w:hAnsi="仿宋" w:eastAsia="仿宋"/>
          <w:b/>
          <w:bCs/>
          <w:color w:val="auto"/>
          <w:sz w:val="32"/>
          <w:szCs w:val="32"/>
          <w:highlight w:val="none"/>
        </w:rPr>
      </w:pPr>
    </w:p>
    <w:p>
      <w:pPr>
        <w:spacing w:line="560" w:lineRule="exact"/>
        <w:jc w:val="center"/>
        <w:rPr>
          <w:rFonts w:hint="eastAsia" w:ascii="仿宋" w:hAnsi="仿宋" w:eastAsia="仿宋"/>
          <w:b/>
          <w:bCs/>
          <w:color w:val="auto"/>
          <w:sz w:val="32"/>
          <w:szCs w:val="32"/>
          <w:highlight w:val="none"/>
        </w:rPr>
      </w:pPr>
    </w:p>
    <w:p>
      <w:pPr>
        <w:spacing w:line="560" w:lineRule="exact"/>
        <w:jc w:val="center"/>
        <w:rPr>
          <w:rFonts w:hint="eastAsia" w:ascii="仿宋" w:hAnsi="仿宋" w:eastAsia="仿宋"/>
          <w:b/>
          <w:bCs/>
          <w:color w:val="auto"/>
          <w:sz w:val="36"/>
          <w:szCs w:val="36"/>
          <w:highlight w:val="none"/>
        </w:rPr>
      </w:pPr>
    </w:p>
    <w:p>
      <w:pPr>
        <w:spacing w:line="560" w:lineRule="exact"/>
        <w:jc w:val="center"/>
        <w:rPr>
          <w:rFonts w:hint="eastAsia" w:ascii="仿宋" w:hAnsi="仿宋" w:eastAsia="仿宋"/>
          <w:b/>
          <w:bCs/>
          <w:color w:val="auto"/>
          <w:sz w:val="52"/>
          <w:szCs w:val="52"/>
          <w:highlight w:val="none"/>
          <w:lang w:eastAsia="zh-CN"/>
        </w:rPr>
      </w:pPr>
      <w:r>
        <w:rPr>
          <w:rFonts w:hint="eastAsia" w:ascii="仿宋" w:hAnsi="仿宋" w:eastAsia="仿宋"/>
          <w:b/>
          <w:bCs/>
          <w:color w:val="auto"/>
          <w:sz w:val="52"/>
          <w:szCs w:val="52"/>
          <w:highlight w:val="none"/>
          <w:lang w:eastAsia="zh-CN"/>
        </w:rPr>
        <w:t>单一来源文件</w:t>
      </w:r>
    </w:p>
    <w:p>
      <w:pPr>
        <w:spacing w:line="560" w:lineRule="exact"/>
        <w:jc w:val="center"/>
        <w:rPr>
          <w:rFonts w:hint="eastAsia" w:ascii="仿宋" w:hAnsi="仿宋" w:eastAsia="仿宋"/>
          <w:b/>
          <w:bCs/>
          <w:color w:val="auto"/>
          <w:sz w:val="36"/>
          <w:szCs w:val="36"/>
          <w:highlight w:val="none"/>
          <w:lang w:eastAsia="zh-CN"/>
        </w:rPr>
      </w:pPr>
    </w:p>
    <w:p>
      <w:pPr>
        <w:spacing w:line="560" w:lineRule="exact"/>
        <w:jc w:val="center"/>
        <w:rPr>
          <w:rFonts w:ascii="宋体" w:hAnsi="宋体"/>
        </w:rPr>
      </w:pPr>
    </w:p>
    <w:p>
      <w:pPr>
        <w:rPr>
          <w:rFonts w:hint="eastAsia" w:ascii="宋体" w:hAnsi="宋体" w:eastAsia="仿宋_GB2312" w:cs="Times New Roman"/>
          <w:kern w:val="2"/>
          <w:sz w:val="32"/>
          <w:szCs w:val="24"/>
          <w:lang w:val="en-US" w:eastAsia="zh-CN" w:bidi="ar-SA"/>
        </w:rPr>
      </w:pPr>
    </w:p>
    <w:p>
      <w:pPr>
        <w:rPr>
          <w:rFonts w:hint="eastAsia" w:ascii="宋体" w:hAnsi="宋体" w:eastAsia="仿宋_GB2312" w:cs="Times New Roman"/>
          <w:kern w:val="2"/>
          <w:sz w:val="32"/>
          <w:szCs w:val="24"/>
          <w:lang w:val="en-US" w:eastAsia="zh-CN" w:bidi="ar-SA"/>
        </w:rPr>
      </w:pPr>
      <w:r>
        <w:rPr>
          <w:rFonts w:ascii="宋体" w:hAnsi="宋体"/>
        </w:rPr>
        <w:drawing>
          <wp:anchor distT="0" distB="0" distL="114300" distR="114300" simplePos="0" relativeHeight="251658240" behindDoc="1" locked="0" layoutInCell="1" allowOverlap="1">
            <wp:simplePos x="0" y="0"/>
            <wp:positionH relativeFrom="column">
              <wp:posOffset>1845945</wp:posOffset>
            </wp:positionH>
            <wp:positionV relativeFrom="paragraph">
              <wp:posOffset>149860</wp:posOffset>
            </wp:positionV>
            <wp:extent cx="1942465" cy="1142365"/>
            <wp:effectExtent l="0" t="0" r="635" b="635"/>
            <wp:wrapTight wrapText="bothSides">
              <wp:wrapPolygon>
                <wp:start x="0" y="0"/>
                <wp:lineTo x="0" y="21252"/>
                <wp:lineTo x="21395" y="21252"/>
                <wp:lineTo x="21395" y="0"/>
                <wp:lineTo x="0" y="0"/>
              </wp:wrapPolygon>
            </wp:wrapTight>
            <wp:docPr id="1" name="图片 1" descr="0000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000_副本"/>
                    <pic:cNvPicPr>
                      <a:picLocks noChangeAspect="1"/>
                    </pic:cNvPicPr>
                  </pic:nvPicPr>
                  <pic:blipFill>
                    <a:blip r:embed="rId6">
                      <a:biLevel thresh="50000"/>
                      <a:grayscl/>
                    </a:blip>
                    <a:stretch>
                      <a:fillRect/>
                    </a:stretch>
                  </pic:blipFill>
                  <pic:spPr>
                    <a:xfrm>
                      <a:off x="0" y="0"/>
                      <a:ext cx="1942465" cy="1142365"/>
                    </a:xfrm>
                    <a:prstGeom prst="rect">
                      <a:avLst/>
                    </a:prstGeom>
                    <a:noFill/>
                    <a:ln w="9525">
                      <a:noFill/>
                    </a:ln>
                  </pic:spPr>
                </pic:pic>
              </a:graphicData>
            </a:graphic>
          </wp:anchor>
        </w:drawing>
      </w:r>
    </w:p>
    <w:p>
      <w:pPr>
        <w:rPr>
          <w:rFonts w:hint="eastAsia" w:ascii="宋体" w:hAnsi="宋体" w:eastAsia="仿宋_GB2312" w:cs="Times New Roman"/>
          <w:kern w:val="2"/>
          <w:sz w:val="32"/>
          <w:szCs w:val="24"/>
          <w:lang w:val="en-US" w:eastAsia="zh-CN" w:bidi="ar-SA"/>
        </w:rPr>
      </w:pPr>
    </w:p>
    <w:p>
      <w:pPr>
        <w:rPr>
          <w:rFonts w:hint="eastAsia" w:ascii="宋体" w:hAnsi="宋体" w:eastAsia="仿宋_GB2312" w:cs="Times New Roman"/>
          <w:kern w:val="2"/>
          <w:sz w:val="32"/>
          <w:szCs w:val="24"/>
          <w:lang w:val="en-US" w:eastAsia="zh-CN" w:bidi="ar-SA"/>
        </w:rPr>
      </w:pPr>
    </w:p>
    <w:p>
      <w:pPr>
        <w:rPr>
          <w:rFonts w:hint="eastAsia" w:ascii="宋体" w:hAnsi="宋体" w:eastAsia="仿宋_GB2312" w:cs="Times New Roman"/>
          <w:kern w:val="2"/>
          <w:sz w:val="32"/>
          <w:szCs w:val="24"/>
          <w:lang w:val="en-US" w:eastAsia="zh-CN" w:bidi="ar-SA"/>
        </w:rPr>
      </w:pPr>
    </w:p>
    <w:p>
      <w:pPr>
        <w:rPr>
          <w:rFonts w:hint="eastAsia" w:ascii="宋体" w:hAnsi="宋体" w:eastAsia="仿宋_GB2312" w:cs="Times New Roman"/>
          <w:kern w:val="2"/>
          <w:sz w:val="32"/>
          <w:szCs w:val="24"/>
          <w:lang w:val="en-US" w:eastAsia="zh-CN" w:bidi="ar-SA"/>
        </w:rPr>
      </w:pPr>
    </w:p>
    <w:p>
      <w:pPr>
        <w:rPr>
          <w:rFonts w:hint="eastAsia" w:ascii="宋体" w:hAnsi="宋体" w:eastAsia="仿宋_GB2312" w:cs="Times New Roman"/>
          <w:kern w:val="2"/>
          <w:sz w:val="32"/>
          <w:szCs w:val="24"/>
          <w:lang w:val="en-US" w:eastAsia="zh-CN" w:bidi="ar-SA"/>
        </w:rPr>
      </w:pPr>
    </w:p>
    <w:p>
      <w:pPr>
        <w:rPr>
          <w:rFonts w:hint="eastAsia" w:ascii="宋体" w:hAnsi="宋体" w:eastAsia="仿宋_GB2312" w:cs="Times New Roman"/>
          <w:kern w:val="2"/>
          <w:sz w:val="32"/>
          <w:szCs w:val="24"/>
          <w:lang w:val="en-US" w:eastAsia="zh-CN" w:bidi="ar-SA"/>
        </w:rPr>
      </w:pPr>
    </w:p>
    <w:p>
      <w:pPr>
        <w:rPr>
          <w:rFonts w:hint="eastAsia" w:ascii="宋体" w:hAnsi="宋体" w:eastAsia="仿宋_GB2312" w:cs="Times New Roman"/>
          <w:kern w:val="2"/>
          <w:sz w:val="32"/>
          <w:szCs w:val="24"/>
          <w:lang w:val="en-US" w:eastAsia="zh-CN" w:bidi="ar-SA"/>
        </w:rPr>
      </w:pPr>
    </w:p>
    <w:p>
      <w:pPr>
        <w:spacing w:line="560" w:lineRule="exact"/>
        <w:jc w:val="center"/>
        <w:rPr>
          <w:rFonts w:hint="eastAsia" w:ascii="仿宋" w:hAnsi="仿宋" w:eastAsia="仿宋"/>
          <w:b/>
          <w:bCs/>
          <w:color w:val="auto"/>
          <w:sz w:val="36"/>
          <w:szCs w:val="36"/>
          <w:highlight w:val="none"/>
          <w:lang w:eastAsia="zh-CN"/>
        </w:rPr>
      </w:pPr>
      <w:r>
        <w:rPr>
          <w:rFonts w:hint="eastAsia" w:ascii="仿宋" w:hAnsi="仿宋" w:eastAsia="仿宋"/>
          <w:b/>
          <w:bCs/>
          <w:color w:val="auto"/>
          <w:sz w:val="36"/>
          <w:szCs w:val="36"/>
          <w:highlight w:val="none"/>
          <w:lang w:val="en-US" w:eastAsia="zh-CN"/>
        </w:rPr>
        <w:t>采 购</w:t>
      </w:r>
      <w:r>
        <w:rPr>
          <w:rFonts w:hint="eastAsia" w:ascii="仿宋" w:hAnsi="仿宋" w:eastAsia="仿宋"/>
          <w:b/>
          <w:bCs/>
          <w:color w:val="auto"/>
          <w:sz w:val="36"/>
          <w:szCs w:val="36"/>
          <w:highlight w:val="none"/>
          <w:lang w:eastAsia="zh-CN"/>
        </w:rPr>
        <w:t xml:space="preserve"> 人：温县公共资源交易中心</w:t>
      </w:r>
      <w:r>
        <w:rPr>
          <w:rFonts w:hint="eastAsia" w:ascii="仿宋" w:hAnsi="仿宋" w:eastAsia="仿宋"/>
          <w:b/>
          <w:bCs/>
          <w:color w:val="auto"/>
          <w:sz w:val="36"/>
          <w:szCs w:val="36"/>
          <w:highlight w:val="none"/>
          <w:lang w:val="en-US" w:eastAsia="zh-CN"/>
        </w:rPr>
        <w:t xml:space="preserve"> </w:t>
      </w:r>
    </w:p>
    <w:p>
      <w:pPr>
        <w:spacing w:line="560" w:lineRule="exact"/>
        <w:jc w:val="center"/>
        <w:rPr>
          <w:rFonts w:hint="eastAsia" w:ascii="仿宋" w:hAnsi="仿宋" w:eastAsia="仿宋"/>
          <w:b/>
          <w:bCs/>
          <w:color w:val="auto"/>
          <w:sz w:val="36"/>
          <w:szCs w:val="36"/>
          <w:highlight w:val="none"/>
          <w:lang w:eastAsia="zh-CN"/>
        </w:rPr>
      </w:pPr>
      <w:r>
        <w:rPr>
          <w:rFonts w:hint="eastAsia" w:ascii="仿宋" w:hAnsi="仿宋" w:eastAsia="仿宋"/>
          <w:b/>
          <w:bCs/>
          <w:color w:val="auto"/>
          <w:sz w:val="36"/>
          <w:szCs w:val="36"/>
          <w:highlight w:val="none"/>
          <w:lang w:eastAsia="zh-CN"/>
        </w:rPr>
        <w:t>代理机构：中科高盛咨询集团有限公司</w:t>
      </w:r>
    </w:p>
    <w:p>
      <w:pPr>
        <w:spacing w:line="560" w:lineRule="exact"/>
        <w:jc w:val="center"/>
        <w:rPr>
          <w:rFonts w:hint="eastAsia" w:ascii="仿宋" w:hAnsi="仿宋" w:eastAsia="仿宋"/>
          <w:b/>
          <w:bCs/>
          <w:color w:val="auto"/>
          <w:sz w:val="36"/>
          <w:szCs w:val="36"/>
          <w:highlight w:val="none"/>
          <w:lang w:eastAsia="zh-CN"/>
        </w:rPr>
      </w:pPr>
      <w:r>
        <w:rPr>
          <w:rFonts w:hint="eastAsia" w:ascii="仿宋" w:hAnsi="仿宋" w:eastAsia="仿宋"/>
          <w:b/>
          <w:bCs/>
          <w:color w:val="auto"/>
          <w:sz w:val="36"/>
          <w:szCs w:val="36"/>
          <w:highlight w:val="none"/>
          <w:lang w:eastAsia="zh-CN"/>
        </w:rPr>
        <w:t>日   期：二〇一六年九月</w:t>
      </w:r>
    </w:p>
    <w:p>
      <w:pPr>
        <w:spacing w:line="560" w:lineRule="exact"/>
        <w:jc w:val="both"/>
        <w:rPr>
          <w:rFonts w:ascii="仿宋" w:hAnsi="仿宋" w:eastAsia="仿宋"/>
          <w:bCs/>
          <w:color w:val="auto"/>
          <w:sz w:val="44"/>
          <w:szCs w:val="44"/>
          <w:highlight w:val="none"/>
        </w:rPr>
        <w:sectPr>
          <w:footerReference r:id="rId3" w:type="default"/>
          <w:pgSz w:w="11906" w:h="16838"/>
          <w:pgMar w:top="2155" w:right="1418" w:bottom="1560" w:left="1531" w:header="851" w:footer="992" w:gutter="0"/>
          <w:cols w:space="720" w:num="1"/>
          <w:docGrid w:type="linesAndChars" w:linePitch="582" w:charSpace="-849"/>
        </w:sectPr>
      </w:pPr>
    </w:p>
    <w:p>
      <w:pPr>
        <w:spacing w:line="560" w:lineRule="exact"/>
        <w:jc w:val="center"/>
        <w:rPr>
          <w:rFonts w:ascii="仿宋" w:hAnsi="仿宋" w:eastAsia="仿宋"/>
          <w:bCs/>
          <w:color w:val="auto"/>
          <w:sz w:val="44"/>
          <w:szCs w:val="44"/>
          <w:highlight w:val="none"/>
        </w:rPr>
      </w:pPr>
    </w:p>
    <w:p>
      <w:pPr>
        <w:spacing w:line="560" w:lineRule="exact"/>
        <w:jc w:val="center"/>
        <w:rPr>
          <w:rFonts w:ascii="仿宋" w:hAnsi="仿宋" w:eastAsia="仿宋"/>
          <w:bCs/>
          <w:color w:val="auto"/>
          <w:sz w:val="44"/>
          <w:szCs w:val="44"/>
          <w:highlight w:val="none"/>
        </w:rPr>
      </w:pPr>
    </w:p>
    <w:p>
      <w:pPr>
        <w:spacing w:line="560" w:lineRule="exact"/>
        <w:jc w:val="center"/>
        <w:rPr>
          <w:rFonts w:ascii="仿宋" w:hAnsi="仿宋" w:eastAsia="仿宋"/>
          <w:bCs/>
          <w:color w:val="auto"/>
          <w:sz w:val="44"/>
          <w:szCs w:val="44"/>
          <w:highlight w:val="none"/>
        </w:rPr>
      </w:pPr>
    </w:p>
    <w:p>
      <w:pPr>
        <w:spacing w:line="560" w:lineRule="exact"/>
        <w:jc w:val="center"/>
        <w:rPr>
          <w:rFonts w:ascii="仿宋" w:hAnsi="仿宋" w:eastAsia="仿宋"/>
          <w:bCs/>
          <w:color w:val="auto"/>
          <w:sz w:val="44"/>
          <w:szCs w:val="44"/>
          <w:highlight w:val="none"/>
        </w:rPr>
      </w:pPr>
    </w:p>
    <w:p>
      <w:pPr>
        <w:spacing w:line="560" w:lineRule="exact"/>
        <w:jc w:val="center"/>
        <w:rPr>
          <w:rFonts w:ascii="仿宋" w:hAnsi="仿宋" w:eastAsia="仿宋"/>
          <w:bCs/>
          <w:color w:val="auto"/>
          <w:sz w:val="44"/>
          <w:szCs w:val="44"/>
          <w:highlight w:val="none"/>
        </w:rPr>
      </w:pPr>
      <w:r>
        <w:rPr>
          <w:rFonts w:hint="eastAsia" w:ascii="仿宋" w:hAnsi="仿宋" w:eastAsia="仿宋"/>
          <w:bCs/>
          <w:color w:val="auto"/>
          <w:sz w:val="44"/>
          <w:szCs w:val="44"/>
          <w:highlight w:val="none"/>
        </w:rPr>
        <w:t>目     录</w:t>
      </w:r>
    </w:p>
    <w:p>
      <w:pPr>
        <w:ind w:firstLine="2940"/>
        <w:rPr>
          <w:rFonts w:ascii="仿宋" w:hAnsi="仿宋" w:eastAsia="仿宋"/>
          <w:bCs/>
          <w:color w:val="auto"/>
          <w:sz w:val="44"/>
          <w:highlight w:val="none"/>
        </w:rPr>
      </w:pPr>
      <w:bookmarkStart w:id="1" w:name="_GoBack"/>
      <w:bookmarkEnd w:id="1"/>
    </w:p>
    <w:p>
      <w:pPr>
        <w:ind w:firstLine="2940"/>
        <w:rPr>
          <w:rFonts w:ascii="仿宋" w:hAnsi="仿宋" w:eastAsia="仿宋"/>
          <w:bCs/>
          <w:color w:val="auto"/>
          <w:sz w:val="44"/>
          <w:highlight w:val="none"/>
        </w:rPr>
      </w:pPr>
    </w:p>
    <w:p>
      <w:pPr>
        <w:spacing w:line="360" w:lineRule="auto"/>
        <w:jc w:val="center"/>
        <w:rPr>
          <w:rFonts w:ascii="仿宋" w:hAnsi="仿宋" w:eastAsia="仿宋" w:cs="黑体"/>
          <w:bCs/>
          <w:color w:val="auto"/>
          <w:sz w:val="28"/>
          <w:szCs w:val="28"/>
          <w:highlight w:val="none"/>
        </w:rPr>
      </w:pPr>
      <w:r>
        <w:rPr>
          <w:rFonts w:hint="eastAsia" w:ascii="仿宋" w:hAnsi="仿宋" w:eastAsia="仿宋" w:cs="黑体"/>
          <w:bCs/>
          <w:color w:val="auto"/>
          <w:sz w:val="28"/>
          <w:szCs w:val="28"/>
          <w:highlight w:val="none"/>
        </w:rPr>
        <w:t>第一部分：单一来源采购邀请函…………第2页</w:t>
      </w:r>
    </w:p>
    <w:p>
      <w:pPr>
        <w:spacing w:line="360" w:lineRule="auto"/>
        <w:jc w:val="center"/>
        <w:rPr>
          <w:rFonts w:ascii="仿宋" w:hAnsi="仿宋" w:eastAsia="仿宋" w:cs="黑体"/>
          <w:bCs/>
          <w:color w:val="auto"/>
          <w:sz w:val="28"/>
          <w:szCs w:val="28"/>
          <w:highlight w:val="none"/>
        </w:rPr>
      </w:pPr>
      <w:r>
        <w:rPr>
          <w:rFonts w:hint="eastAsia" w:ascii="仿宋" w:hAnsi="仿宋" w:eastAsia="仿宋" w:cs="黑体"/>
          <w:bCs/>
          <w:color w:val="auto"/>
          <w:sz w:val="28"/>
          <w:szCs w:val="28"/>
          <w:highlight w:val="none"/>
        </w:rPr>
        <w:t>第二部分：单一来源采购须知……………第4页</w:t>
      </w:r>
    </w:p>
    <w:p>
      <w:pPr>
        <w:spacing w:line="360" w:lineRule="auto"/>
        <w:jc w:val="center"/>
        <w:rPr>
          <w:rFonts w:ascii="仿宋" w:hAnsi="仿宋" w:eastAsia="仿宋" w:cs="黑体"/>
          <w:bCs/>
          <w:color w:val="auto"/>
          <w:sz w:val="28"/>
          <w:szCs w:val="28"/>
          <w:highlight w:val="none"/>
        </w:rPr>
      </w:pPr>
      <w:r>
        <w:rPr>
          <w:rFonts w:hint="eastAsia" w:ascii="仿宋" w:hAnsi="仿宋" w:eastAsia="仿宋" w:cs="黑体"/>
          <w:bCs/>
          <w:color w:val="auto"/>
          <w:sz w:val="28"/>
          <w:szCs w:val="28"/>
          <w:highlight w:val="none"/>
        </w:rPr>
        <w:t>第三部分：采购需求………………………第</w:t>
      </w:r>
      <w:r>
        <w:rPr>
          <w:rFonts w:hint="eastAsia" w:ascii="仿宋" w:hAnsi="仿宋" w:eastAsia="仿宋" w:cs="黑体"/>
          <w:bCs/>
          <w:color w:val="auto"/>
          <w:sz w:val="28"/>
          <w:szCs w:val="28"/>
          <w:highlight w:val="none"/>
          <w:lang w:val="en-US" w:eastAsia="zh-CN"/>
        </w:rPr>
        <w:t>8</w:t>
      </w:r>
      <w:r>
        <w:rPr>
          <w:rFonts w:hint="eastAsia" w:ascii="仿宋" w:hAnsi="仿宋" w:eastAsia="仿宋" w:cs="黑体"/>
          <w:bCs/>
          <w:color w:val="auto"/>
          <w:sz w:val="28"/>
          <w:szCs w:val="28"/>
          <w:highlight w:val="none"/>
        </w:rPr>
        <w:t>页</w:t>
      </w:r>
    </w:p>
    <w:p>
      <w:pPr>
        <w:spacing w:line="360" w:lineRule="auto"/>
        <w:jc w:val="center"/>
        <w:rPr>
          <w:rFonts w:ascii="仿宋" w:hAnsi="仿宋" w:eastAsia="仿宋" w:cs="黑体"/>
          <w:bCs/>
          <w:color w:val="auto"/>
          <w:sz w:val="28"/>
          <w:szCs w:val="28"/>
          <w:highlight w:val="none"/>
        </w:rPr>
      </w:pPr>
      <w:r>
        <w:rPr>
          <w:rFonts w:hint="eastAsia" w:ascii="仿宋" w:hAnsi="仿宋" w:eastAsia="仿宋" w:cs="黑体"/>
          <w:bCs/>
          <w:color w:val="auto"/>
          <w:sz w:val="28"/>
          <w:szCs w:val="28"/>
          <w:highlight w:val="none"/>
        </w:rPr>
        <w:t>第四部分：附件—响应性文件格式………第</w:t>
      </w:r>
      <w:r>
        <w:rPr>
          <w:rFonts w:hint="eastAsia" w:ascii="仿宋" w:hAnsi="仿宋" w:eastAsia="仿宋" w:cs="黑体"/>
          <w:bCs/>
          <w:color w:val="auto"/>
          <w:sz w:val="28"/>
          <w:szCs w:val="28"/>
          <w:highlight w:val="none"/>
          <w:lang w:val="en-US" w:eastAsia="zh-CN"/>
        </w:rPr>
        <w:t>14</w:t>
      </w:r>
      <w:r>
        <w:rPr>
          <w:rFonts w:hint="eastAsia" w:ascii="仿宋" w:hAnsi="仿宋" w:eastAsia="仿宋" w:cs="黑体"/>
          <w:bCs/>
          <w:color w:val="auto"/>
          <w:sz w:val="28"/>
          <w:szCs w:val="28"/>
          <w:highlight w:val="none"/>
        </w:rPr>
        <w:t>页</w:t>
      </w:r>
    </w:p>
    <w:p>
      <w:pPr>
        <w:tabs>
          <w:tab w:val="left" w:pos="8820"/>
        </w:tabs>
        <w:jc w:val="left"/>
        <w:rPr>
          <w:rFonts w:ascii="仿宋" w:hAnsi="仿宋" w:eastAsia="仿宋"/>
          <w:color w:val="auto"/>
          <w:highlight w:val="none"/>
        </w:rPr>
      </w:pPr>
    </w:p>
    <w:p>
      <w:pPr>
        <w:tabs>
          <w:tab w:val="left" w:pos="8820"/>
        </w:tabs>
        <w:spacing w:afterLines="50" w:line="1000" w:lineRule="exact"/>
        <w:rPr>
          <w:rFonts w:ascii="仿宋" w:hAnsi="仿宋" w:eastAsia="仿宋"/>
          <w:color w:val="auto"/>
          <w:highlight w:val="none"/>
        </w:rPr>
      </w:pPr>
    </w:p>
    <w:p>
      <w:pPr>
        <w:tabs>
          <w:tab w:val="left" w:pos="8820"/>
        </w:tabs>
        <w:spacing w:afterLines="50" w:line="1000" w:lineRule="exact"/>
        <w:jc w:val="center"/>
        <w:rPr>
          <w:rFonts w:ascii="仿宋" w:hAnsi="仿宋" w:eastAsia="仿宋"/>
          <w:bCs/>
          <w:color w:val="auto"/>
          <w:sz w:val="36"/>
          <w:highlight w:val="none"/>
        </w:rPr>
      </w:pPr>
    </w:p>
    <w:p>
      <w:pPr>
        <w:spacing w:line="14" w:lineRule="atLeast"/>
        <w:jc w:val="center"/>
        <w:rPr>
          <w:rFonts w:ascii="仿宋" w:hAnsi="仿宋" w:eastAsia="仿宋"/>
          <w:color w:val="auto"/>
          <w:sz w:val="28"/>
          <w:szCs w:val="32"/>
          <w:highlight w:val="none"/>
        </w:rPr>
      </w:pPr>
      <w:r>
        <w:rPr>
          <w:rFonts w:ascii="仿宋" w:hAnsi="仿宋" w:eastAsia="仿宋"/>
          <w:bCs/>
          <w:color w:val="auto"/>
          <w:szCs w:val="32"/>
          <w:highlight w:val="none"/>
        </w:rPr>
        <w:br w:type="page"/>
      </w:r>
      <w:r>
        <w:rPr>
          <w:rFonts w:hint="eastAsia" w:ascii="仿宋" w:hAnsi="仿宋" w:eastAsia="仿宋"/>
          <w:bCs/>
          <w:color w:val="auto"/>
          <w:szCs w:val="32"/>
          <w:highlight w:val="none"/>
        </w:rPr>
        <w:t>第一部分   单一来源采购邀请函</w:t>
      </w:r>
    </w:p>
    <w:p>
      <w:pPr>
        <w:spacing w:line="14" w:lineRule="atLeas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中科高盛咨询集团有限公司受温县公共资源交易中心委托就温县公共资源交易监控对讲系统联网设备采购项目进行单一来源采购，兹邀请相关供应商参加。</w:t>
      </w:r>
    </w:p>
    <w:p>
      <w:pPr>
        <w:ind w:firstLine="552" w:firstLineChars="200"/>
        <w:rPr>
          <w:rFonts w:ascii="仿宋" w:hAnsi="仿宋" w:eastAsia="仿宋"/>
          <w:color w:val="auto"/>
          <w:sz w:val="28"/>
          <w:szCs w:val="32"/>
          <w:highlight w:val="none"/>
        </w:rPr>
      </w:pPr>
      <w:r>
        <w:rPr>
          <w:rFonts w:hint="eastAsia" w:ascii="仿宋" w:hAnsi="仿宋" w:eastAsia="仿宋" w:cs="仿宋_GB2312"/>
          <w:color w:val="auto"/>
          <w:sz w:val="28"/>
          <w:szCs w:val="28"/>
          <w:highlight w:val="none"/>
        </w:rPr>
        <w:t>一、项目名称：</w:t>
      </w:r>
      <w:r>
        <w:rPr>
          <w:rFonts w:hint="eastAsia" w:ascii="仿宋" w:hAnsi="仿宋" w:eastAsia="仿宋"/>
          <w:color w:val="auto"/>
          <w:sz w:val="28"/>
          <w:szCs w:val="32"/>
          <w:highlight w:val="none"/>
        </w:rPr>
        <w:t>温县公共资源交易监控对讲系统联网设备采购项目</w:t>
      </w:r>
    </w:p>
    <w:p>
      <w:pPr>
        <w:spacing w:line="560" w:lineRule="exact"/>
        <w:ind w:firstLine="552" w:firstLineChars="200"/>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二、项目编号：温交易[2016]198-5号</w:t>
      </w:r>
    </w:p>
    <w:p>
      <w:pPr>
        <w:spacing w:line="14" w:lineRule="atLeast"/>
        <w:ind w:firstLine="552" w:firstLineChars="200"/>
        <w:rPr>
          <w:rFonts w:ascii="仿宋" w:hAnsi="仿宋" w:eastAsia="仿宋"/>
          <w:color w:val="auto"/>
          <w:sz w:val="28"/>
          <w:szCs w:val="32"/>
          <w:highlight w:val="none"/>
        </w:rPr>
      </w:pPr>
      <w:r>
        <w:rPr>
          <w:rFonts w:hint="eastAsia" w:ascii="仿宋" w:hAnsi="仿宋" w:eastAsia="仿宋" w:cs="仿宋_GB2312"/>
          <w:color w:val="auto"/>
          <w:sz w:val="28"/>
          <w:szCs w:val="28"/>
          <w:highlight w:val="none"/>
        </w:rPr>
        <w:t>三、采购项目简要说明：</w:t>
      </w:r>
      <w:r>
        <w:rPr>
          <w:rFonts w:hint="eastAsia" w:ascii="仿宋" w:hAnsi="仿宋" w:eastAsia="仿宋"/>
          <w:color w:val="auto"/>
          <w:sz w:val="28"/>
          <w:szCs w:val="32"/>
          <w:highlight w:val="none"/>
        </w:rPr>
        <w:t>在温县公共资源交易中心现有场所和网络条件的基础上，通过添置设备和网络改造的方式，在温县公共资源交易中心建成1个远程</w:t>
      </w:r>
      <w:r>
        <w:rPr>
          <w:rFonts w:ascii="仿宋" w:hAnsi="仿宋" w:eastAsia="仿宋"/>
          <w:color w:val="auto"/>
          <w:sz w:val="28"/>
          <w:szCs w:val="32"/>
          <w:highlight w:val="none"/>
        </w:rPr>
        <w:t>开标室</w:t>
      </w:r>
      <w:r>
        <w:rPr>
          <w:rFonts w:hint="eastAsia" w:ascii="仿宋" w:hAnsi="仿宋" w:eastAsia="仿宋"/>
          <w:color w:val="auto"/>
          <w:sz w:val="28"/>
          <w:szCs w:val="32"/>
          <w:highlight w:val="none"/>
        </w:rPr>
        <w:t>、1个远程</w:t>
      </w:r>
      <w:r>
        <w:rPr>
          <w:rFonts w:ascii="仿宋" w:hAnsi="仿宋" w:eastAsia="仿宋"/>
          <w:color w:val="auto"/>
          <w:sz w:val="28"/>
          <w:szCs w:val="32"/>
          <w:highlight w:val="none"/>
        </w:rPr>
        <w:t>评标</w:t>
      </w:r>
      <w:r>
        <w:rPr>
          <w:rFonts w:hint="eastAsia" w:ascii="仿宋" w:hAnsi="仿宋" w:eastAsia="仿宋"/>
          <w:color w:val="auto"/>
          <w:sz w:val="28"/>
          <w:szCs w:val="32"/>
          <w:highlight w:val="none"/>
        </w:rPr>
        <w:t>室、1个</w:t>
      </w:r>
      <w:r>
        <w:rPr>
          <w:rFonts w:ascii="仿宋" w:hAnsi="仿宋" w:eastAsia="仿宋"/>
          <w:color w:val="auto"/>
          <w:sz w:val="28"/>
          <w:szCs w:val="32"/>
          <w:highlight w:val="none"/>
        </w:rPr>
        <w:t>监控室</w:t>
      </w:r>
      <w:r>
        <w:rPr>
          <w:rFonts w:hint="eastAsia" w:ascii="仿宋" w:hAnsi="仿宋" w:eastAsia="仿宋"/>
          <w:color w:val="auto"/>
          <w:sz w:val="28"/>
          <w:szCs w:val="32"/>
          <w:highlight w:val="none"/>
        </w:rPr>
        <w:t>，与焦作市公共资源交易中心监控对讲云平台联网对接，为公共资源交易项目跨区域开评标提供实时的视频监控和语音对讲服务，实现开评标过程电子监督和集中监管。（详见第三部分）</w:t>
      </w:r>
    </w:p>
    <w:p>
      <w:pPr>
        <w:widowControl/>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四、项目预算金额：135400元（大写：壹拾叁万伍仟肆佰元）。</w:t>
      </w:r>
    </w:p>
    <w:p>
      <w:pPr>
        <w:ind w:firstLine="552" w:firstLineChars="200"/>
        <w:rPr>
          <w:rFonts w:ascii="仿宋" w:hAnsi="仿宋" w:eastAsia="仿宋"/>
          <w:color w:val="auto"/>
          <w:highlight w:val="none"/>
        </w:rPr>
      </w:pPr>
      <w:r>
        <w:rPr>
          <w:rFonts w:hint="eastAsia" w:ascii="仿宋" w:hAnsi="仿宋" w:eastAsia="仿宋"/>
          <w:color w:val="auto"/>
          <w:sz w:val="28"/>
          <w:szCs w:val="32"/>
          <w:highlight w:val="none"/>
        </w:rPr>
        <w:t>五、供应商资格要求：</w:t>
      </w:r>
    </w:p>
    <w:p>
      <w:pPr>
        <w:ind w:firstLine="552" w:firstLineChars="200"/>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1、具有独立承担民事责任的能力；</w:t>
      </w:r>
    </w:p>
    <w:p>
      <w:pPr>
        <w:ind w:firstLine="552" w:firstLineChars="200"/>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2、营业执照具有该项目经营范围；</w:t>
      </w:r>
    </w:p>
    <w:p>
      <w:pPr>
        <w:ind w:firstLine="552" w:firstLineChars="200"/>
        <w:rPr>
          <w:rFonts w:ascii="仿宋" w:hAnsi="仿宋" w:eastAsia="仿宋" w:cs="仿宋_GB2312"/>
          <w:color w:val="auto"/>
          <w:sz w:val="28"/>
          <w:szCs w:val="28"/>
          <w:highlight w:val="none"/>
        </w:rPr>
      </w:pPr>
      <w:r>
        <w:rPr>
          <w:rFonts w:hint="eastAsia" w:ascii="仿宋" w:hAnsi="仿宋" w:eastAsia="仿宋" w:cs="仿宋_GB2312"/>
          <w:color w:val="auto"/>
          <w:sz w:val="28"/>
          <w:szCs w:val="28"/>
          <w:highlight w:val="none"/>
        </w:rPr>
        <w:t>3、符合《政府采购法》第二十二条规定的条件。</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六、采购文件出售信息:</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1、采购文件出售时间：2016年9月9日上午8：30—11：00，下午15：00-17：30</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2、采购文件出售地点：温县公共资源交易中心三楼报名室</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3、采购文件售价：人民币300元/份（售后不退）</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七、响应性文件接收截止时间：2016年9月13日上午9时30分</w:t>
      </w:r>
    </w:p>
    <w:p>
      <w:pPr>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八、响应性文件接收地点：温县公共资源交易中心开标厅</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九、评审时间：2016年9月13日上午9 时30分</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十、评审地点：温县公共资源交易中心评标厅</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十一、采购人：温县公共资源交易中心</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联系人：陈先生           电话：0391-6135062</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采购代理机构：中科高盛咨询集团有限公司 </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联系人：陈尚楠          电话：15978786479 </w:t>
      </w:r>
    </w:p>
    <w:p>
      <w:pPr>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十二、监督单位：温县财政局</w:t>
      </w:r>
    </w:p>
    <w:p>
      <w:pPr>
        <w:ind w:firstLine="552" w:firstLineChars="200"/>
        <w:rPr>
          <w:rFonts w:ascii="仿宋" w:hAnsi="仿宋" w:eastAsia="仿宋"/>
          <w:color w:val="auto"/>
          <w:sz w:val="21"/>
          <w:szCs w:val="21"/>
          <w:highlight w:val="none"/>
          <w:shd w:val="clear" w:color="auto" w:fill="FFFFFF"/>
        </w:rPr>
      </w:pPr>
      <w:r>
        <w:rPr>
          <w:rFonts w:hint="eastAsia" w:ascii="仿宋" w:hAnsi="仿宋" w:eastAsia="仿宋"/>
          <w:color w:val="auto"/>
          <w:sz w:val="28"/>
          <w:szCs w:val="32"/>
          <w:highlight w:val="none"/>
        </w:rPr>
        <w:t xml:space="preserve">      </w:t>
      </w:r>
      <w:r>
        <w:rPr>
          <w:rFonts w:hint="eastAsia" w:ascii="仿宋" w:eastAsia="仿宋"/>
          <w:color w:val="auto"/>
          <w:sz w:val="28"/>
          <w:szCs w:val="32"/>
          <w:highlight w:val="none"/>
        </w:rPr>
        <w:t> </w:t>
      </w:r>
      <w:r>
        <w:rPr>
          <w:rFonts w:hint="eastAsia" w:ascii="仿宋" w:hAnsi="仿宋" w:eastAsia="仿宋"/>
          <w:color w:val="auto"/>
          <w:sz w:val="28"/>
          <w:szCs w:val="32"/>
          <w:highlight w:val="none"/>
        </w:rPr>
        <w:t>监督电话：0391－6197778</w:t>
      </w:r>
      <w:r>
        <w:rPr>
          <w:rFonts w:hint="eastAsia" w:eastAsia="仿宋"/>
          <w:color w:val="auto"/>
          <w:sz w:val="21"/>
          <w:szCs w:val="21"/>
          <w:highlight w:val="none"/>
          <w:shd w:val="clear" w:color="auto" w:fill="FFFFFF"/>
        </w:rPr>
        <w:t>  </w:t>
      </w:r>
    </w:p>
    <w:p>
      <w:pPr>
        <w:ind w:firstLine="690" w:firstLineChars="250"/>
        <w:rPr>
          <w:rFonts w:ascii="仿宋" w:hAnsi="仿宋" w:eastAsia="仿宋"/>
          <w:color w:val="auto"/>
          <w:sz w:val="28"/>
          <w:szCs w:val="32"/>
          <w:highlight w:val="none"/>
        </w:rPr>
      </w:pPr>
      <w:r>
        <w:rPr>
          <w:rFonts w:hint="eastAsia" w:ascii="仿宋" w:hAnsi="仿宋" w:eastAsia="仿宋"/>
          <w:color w:val="auto"/>
          <w:sz w:val="28"/>
          <w:szCs w:val="32"/>
          <w:highlight w:val="none"/>
        </w:rPr>
        <w:t>十三、购买采购文件需携带：</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（1）营业执照副本原件；</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（2）授权委托书及委托代理人身份证原件（如有委托代理人）；</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注意事项：以上材料需提供加盖单位公章的与原件核对无异的复印件一套留存。</w:t>
      </w:r>
    </w:p>
    <w:p>
      <w:pPr>
        <w:spacing w:line="14" w:lineRule="atLeast"/>
        <w:ind w:firstLine="552" w:firstLineChars="200"/>
        <w:rPr>
          <w:rFonts w:ascii="仿宋" w:hAnsi="仿宋" w:eastAsia="仿宋"/>
          <w:color w:val="auto"/>
          <w:sz w:val="28"/>
          <w:szCs w:val="32"/>
          <w:highlight w:val="none"/>
        </w:rPr>
      </w:pPr>
    </w:p>
    <w:p>
      <w:pPr>
        <w:spacing w:line="14" w:lineRule="atLeast"/>
        <w:ind w:firstLine="552" w:firstLineChars="200"/>
        <w:rPr>
          <w:rFonts w:ascii="仿宋" w:hAnsi="仿宋" w:eastAsia="仿宋"/>
          <w:color w:val="auto"/>
          <w:sz w:val="28"/>
          <w:szCs w:val="32"/>
          <w:highlight w:val="none"/>
        </w:rPr>
      </w:pPr>
    </w:p>
    <w:p>
      <w:pPr>
        <w:spacing w:line="14" w:lineRule="atLeast"/>
        <w:rPr>
          <w:rFonts w:ascii="仿宋" w:hAnsi="仿宋" w:eastAsia="仿宋"/>
          <w:bCs/>
          <w:color w:val="auto"/>
          <w:szCs w:val="32"/>
          <w:highlight w:val="none"/>
        </w:rPr>
      </w:pPr>
    </w:p>
    <w:p>
      <w:pPr>
        <w:spacing w:line="14" w:lineRule="atLeast"/>
        <w:rPr>
          <w:rFonts w:ascii="仿宋" w:hAnsi="仿宋" w:eastAsia="仿宋"/>
          <w:bCs/>
          <w:color w:val="auto"/>
          <w:szCs w:val="32"/>
          <w:highlight w:val="none"/>
        </w:rPr>
      </w:pPr>
    </w:p>
    <w:p>
      <w:pPr>
        <w:spacing w:line="14" w:lineRule="atLeast"/>
        <w:rPr>
          <w:rFonts w:ascii="仿宋" w:hAnsi="仿宋" w:eastAsia="仿宋"/>
          <w:bCs/>
          <w:color w:val="auto"/>
          <w:szCs w:val="32"/>
          <w:highlight w:val="none"/>
        </w:rPr>
      </w:pPr>
    </w:p>
    <w:p>
      <w:pPr>
        <w:spacing w:line="14" w:lineRule="atLeast"/>
        <w:ind w:firstLine="632" w:firstLineChars="200"/>
        <w:rPr>
          <w:rFonts w:ascii="仿宋" w:hAnsi="仿宋" w:eastAsia="仿宋"/>
          <w:color w:val="auto"/>
          <w:sz w:val="28"/>
          <w:szCs w:val="32"/>
          <w:highlight w:val="none"/>
        </w:rPr>
      </w:pPr>
      <w:r>
        <w:rPr>
          <w:rFonts w:hint="eastAsia" w:ascii="仿宋" w:hAnsi="仿宋" w:eastAsia="仿宋"/>
          <w:bCs/>
          <w:color w:val="auto"/>
          <w:szCs w:val="32"/>
          <w:highlight w:val="none"/>
        </w:rPr>
        <w:t xml:space="preserve">                             </w:t>
      </w:r>
      <w:r>
        <w:rPr>
          <w:rFonts w:hint="eastAsia" w:ascii="仿宋" w:hAnsi="仿宋" w:eastAsia="仿宋"/>
          <w:color w:val="auto"/>
          <w:sz w:val="28"/>
          <w:szCs w:val="32"/>
          <w:highlight w:val="none"/>
        </w:rPr>
        <w:t>温县公共资源交易中心</w:t>
      </w:r>
    </w:p>
    <w:p>
      <w:pPr>
        <w:spacing w:line="14" w:lineRule="atLeas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2016年9月9日</w:t>
      </w:r>
    </w:p>
    <w:p>
      <w:pPr>
        <w:spacing w:line="14" w:lineRule="atLeast"/>
        <w:ind w:firstLine="552" w:firstLineChars="200"/>
        <w:rPr>
          <w:rFonts w:ascii="仿宋" w:hAnsi="仿宋" w:eastAsia="仿宋"/>
          <w:bCs/>
          <w:color w:val="auto"/>
          <w:szCs w:val="32"/>
          <w:highlight w:val="none"/>
        </w:rPr>
      </w:pPr>
      <w:r>
        <w:rPr>
          <w:rFonts w:ascii="仿宋" w:hAnsi="仿宋" w:eastAsia="仿宋"/>
          <w:color w:val="auto"/>
          <w:sz w:val="28"/>
          <w:szCs w:val="32"/>
          <w:highlight w:val="none"/>
        </w:rPr>
        <w:br w:type="page"/>
      </w:r>
      <w:r>
        <w:rPr>
          <w:rFonts w:hint="eastAsia" w:ascii="仿宋" w:hAnsi="仿宋" w:eastAsia="仿宋"/>
          <w:bCs/>
          <w:color w:val="auto"/>
          <w:szCs w:val="32"/>
          <w:highlight w:val="none"/>
        </w:rPr>
        <w:t xml:space="preserve">               第二部分    单一来源采购须知</w:t>
      </w:r>
    </w:p>
    <w:p>
      <w:pPr>
        <w:ind w:firstLine="552" w:firstLineChars="200"/>
        <w:rPr>
          <w:rFonts w:ascii="仿宋" w:hAnsi="仿宋" w:eastAsia="仿宋"/>
          <w:color w:val="auto"/>
          <w:sz w:val="28"/>
          <w:highlight w:val="none"/>
        </w:rPr>
      </w:pPr>
      <w:bookmarkStart w:id="0" w:name="_Toc239675049"/>
      <w:r>
        <w:rPr>
          <w:rFonts w:hint="eastAsia" w:ascii="仿宋" w:hAnsi="仿宋" w:eastAsia="仿宋"/>
          <w:color w:val="auto"/>
          <w:sz w:val="28"/>
          <w:highlight w:val="none"/>
        </w:rPr>
        <w:t>一、时间安排</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在单一来源采购文件规定的响应性文件递交截止时间后，温县公共资源交易中心组织采购小组与供应商就采购项目的技术性能、配置、价格和售后服务等进行商谈。</w:t>
      </w:r>
    </w:p>
    <w:p>
      <w:pPr>
        <w:numPr>
          <w:ilvl w:val="0"/>
          <w:numId w:val="1"/>
        </w:numPr>
        <w:ind w:firstLine="552" w:firstLineChars="200"/>
        <w:rPr>
          <w:rFonts w:ascii="仿宋" w:hAnsi="仿宋" w:eastAsia="仿宋"/>
          <w:color w:val="auto"/>
          <w:sz w:val="28"/>
          <w:highlight w:val="none"/>
        </w:rPr>
      </w:pPr>
      <w:r>
        <w:rPr>
          <w:rFonts w:hint="eastAsia" w:ascii="仿宋" w:hAnsi="仿宋" w:eastAsia="仿宋"/>
          <w:color w:val="auto"/>
          <w:sz w:val="28"/>
          <w:highlight w:val="none"/>
        </w:rPr>
        <w:t>响应性文件组成</w:t>
      </w:r>
    </w:p>
    <w:p>
      <w:p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响应性文件至少应包括以下部分但不限于：</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法定代表人授权委托书原件、单一来源谈判代表身份证复印件；</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报价一览表、服务承诺；</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bCs/>
          <w:color w:val="auto"/>
          <w:sz w:val="28"/>
          <w:szCs w:val="30"/>
          <w:highlight w:val="none"/>
        </w:rPr>
        <w:t>营业执照、税务登记证、组织机构代码证或三证合一的营业执照，</w:t>
      </w:r>
      <w:r>
        <w:rPr>
          <w:rFonts w:hint="eastAsia" w:ascii="仿宋" w:hAnsi="仿宋" w:eastAsia="仿宋"/>
          <w:bCs/>
          <w:color w:val="auto"/>
          <w:sz w:val="28"/>
          <w:szCs w:val="32"/>
          <w:highlight w:val="none"/>
        </w:rPr>
        <w:t>依法缴纳的税收证明（或完税证明）、依法缴纳社会保障资金的证明、财务报告或财务报表等加盖公章的复印件；</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参加政府采购活动前三年内无重大违法记录的书面声明原件；</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反商业贿赂承诺书原件；</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cs="仿宋_GB2312"/>
          <w:color w:val="auto"/>
          <w:kern w:val="1"/>
          <w:sz w:val="28"/>
          <w:highlight w:val="none"/>
        </w:rPr>
        <w:t>保证金交纳凭证复印件；</w:t>
      </w:r>
    </w:p>
    <w:p>
      <w:pPr>
        <w:numPr>
          <w:ilvl w:val="0"/>
          <w:numId w:val="2"/>
        </w:numPr>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供应商认为有必要提供的其他资料。</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三、供应商的报价</w:t>
      </w:r>
    </w:p>
    <w:p>
      <w:pPr>
        <w:ind w:firstLine="690" w:firstLineChars="250"/>
        <w:rPr>
          <w:rFonts w:ascii="仿宋" w:hAnsi="仿宋" w:eastAsia="仿宋"/>
          <w:color w:val="auto"/>
          <w:sz w:val="28"/>
          <w:highlight w:val="none"/>
        </w:rPr>
      </w:pPr>
      <w:r>
        <w:rPr>
          <w:rFonts w:hint="eastAsia" w:ascii="仿宋" w:hAnsi="仿宋" w:eastAsia="仿宋"/>
          <w:color w:val="auto"/>
          <w:sz w:val="28"/>
          <w:highlight w:val="none"/>
        </w:rPr>
        <w:t>1.报价包括单一来源采购文件要求的全部服务的价格及相关税费等其他有关的所有费用。</w:t>
      </w:r>
    </w:p>
    <w:p>
      <w:pPr>
        <w:ind w:firstLine="690" w:firstLineChars="250"/>
        <w:rPr>
          <w:rFonts w:ascii="仿宋" w:hAnsi="仿宋" w:eastAsia="仿宋"/>
          <w:color w:val="auto"/>
          <w:sz w:val="28"/>
          <w:highlight w:val="none"/>
        </w:rPr>
      </w:pPr>
      <w:r>
        <w:rPr>
          <w:rFonts w:hint="eastAsia" w:ascii="仿宋" w:hAnsi="仿宋" w:eastAsia="仿宋"/>
          <w:color w:val="auto"/>
          <w:sz w:val="28"/>
          <w:highlight w:val="none"/>
        </w:rPr>
        <w:t>2. 供应商的投标报价应根据服务范围和市场行情结合本项目实际情况和自身实力，进行报价。报价不得高于采购预算。</w:t>
      </w:r>
    </w:p>
    <w:p>
      <w:pPr>
        <w:numPr>
          <w:ilvl w:val="0"/>
          <w:numId w:val="3"/>
        </w:numPr>
        <w:ind w:firstLine="552"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保证金</w:t>
      </w:r>
    </w:p>
    <w:p>
      <w:pPr>
        <w:ind w:firstLine="552" w:firstLineChars="200"/>
        <w:rPr>
          <w:rFonts w:ascii="仿宋" w:hAnsi="仿宋" w:eastAsia="仿宋" w:cs="宋体"/>
          <w:color w:val="auto"/>
          <w:kern w:val="0"/>
          <w:sz w:val="28"/>
          <w:szCs w:val="28"/>
          <w:highlight w:val="none"/>
        </w:rPr>
      </w:pPr>
      <w:r>
        <w:rPr>
          <w:rFonts w:hint="eastAsia" w:ascii="仿宋" w:hAnsi="仿宋" w:eastAsia="仿宋" w:cs="宋体"/>
          <w:bCs/>
          <w:color w:val="auto"/>
          <w:kern w:val="0"/>
          <w:sz w:val="28"/>
          <w:szCs w:val="28"/>
          <w:highlight w:val="none"/>
        </w:rPr>
        <w:t>保证金的金额：1300元整；保证金的形式：企业账户转帐。</w:t>
      </w:r>
      <w:r>
        <w:rPr>
          <w:rFonts w:ascii="仿宋" w:hAnsi="仿宋" w:eastAsia="仿宋" w:cs="宋体"/>
          <w:color w:val="auto"/>
          <w:kern w:val="0"/>
          <w:sz w:val="28"/>
          <w:szCs w:val="28"/>
          <w:highlight w:val="none"/>
        </w:rPr>
        <w:t xml:space="preserve"> </w:t>
      </w:r>
    </w:p>
    <w:p>
      <w:pPr>
        <w:ind w:firstLine="552" w:firstLineChars="200"/>
        <w:rPr>
          <w:rFonts w:ascii="仿宋" w:hAnsi="仿宋" w:eastAsia="仿宋" w:cs="宋体"/>
          <w:color w:val="auto"/>
          <w:kern w:val="0"/>
          <w:sz w:val="28"/>
          <w:szCs w:val="28"/>
          <w:highlight w:val="none"/>
        </w:rPr>
      </w:pPr>
      <w:r>
        <w:rPr>
          <w:rFonts w:hint="eastAsia" w:ascii="仿宋" w:hAnsi="仿宋" w:eastAsia="仿宋" w:cs="宋体"/>
          <w:bCs/>
          <w:color w:val="auto"/>
          <w:kern w:val="0"/>
          <w:sz w:val="28"/>
          <w:szCs w:val="28"/>
          <w:highlight w:val="none"/>
        </w:rPr>
        <w:t>开</w:t>
      </w:r>
      <w:r>
        <w:rPr>
          <w:rFonts w:hint="eastAsia" w:ascii="仿宋" w:hAnsi="宋体" w:eastAsia="仿宋" w:cs="宋体"/>
          <w:bCs/>
          <w:color w:val="auto"/>
          <w:kern w:val="0"/>
          <w:sz w:val="28"/>
          <w:szCs w:val="28"/>
          <w:highlight w:val="none"/>
        </w:rPr>
        <w:t> </w:t>
      </w:r>
      <w:r>
        <w:rPr>
          <w:rFonts w:hint="eastAsia" w:ascii="仿宋" w:hAnsi="仿宋" w:eastAsia="仿宋" w:cs="宋体"/>
          <w:bCs/>
          <w:color w:val="auto"/>
          <w:kern w:val="0"/>
          <w:sz w:val="28"/>
          <w:szCs w:val="28"/>
          <w:highlight w:val="none"/>
        </w:rPr>
        <w:t>户：中国邮政储蓄银行有限责任公司温县温泉路支行</w:t>
      </w:r>
      <w:r>
        <w:rPr>
          <w:rFonts w:ascii="仿宋" w:hAnsi="仿宋" w:eastAsia="仿宋" w:cs="宋体"/>
          <w:color w:val="auto"/>
          <w:kern w:val="0"/>
          <w:sz w:val="28"/>
          <w:szCs w:val="28"/>
          <w:highlight w:val="none"/>
        </w:rPr>
        <w:t xml:space="preserve"> </w:t>
      </w:r>
    </w:p>
    <w:p>
      <w:pPr>
        <w:ind w:firstLine="552" w:firstLineChars="200"/>
        <w:rPr>
          <w:rFonts w:ascii="仿宋" w:hAnsi="仿宋" w:eastAsia="仿宋" w:cs="宋体"/>
          <w:color w:val="auto"/>
          <w:kern w:val="0"/>
          <w:sz w:val="28"/>
          <w:szCs w:val="28"/>
          <w:highlight w:val="none"/>
        </w:rPr>
      </w:pPr>
      <w:r>
        <w:rPr>
          <w:rFonts w:hint="eastAsia" w:ascii="仿宋" w:hAnsi="仿宋" w:eastAsia="仿宋" w:cs="宋体"/>
          <w:bCs/>
          <w:color w:val="auto"/>
          <w:kern w:val="0"/>
          <w:sz w:val="28"/>
          <w:szCs w:val="28"/>
          <w:highlight w:val="none"/>
        </w:rPr>
        <w:t>开户单位：温县财政国库支付中心公共资源交易专户</w:t>
      </w:r>
      <w:r>
        <w:rPr>
          <w:rFonts w:hint="eastAsia" w:ascii="仿宋" w:hAnsi="宋体" w:eastAsia="仿宋" w:cs="宋体"/>
          <w:bCs/>
          <w:color w:val="auto"/>
          <w:kern w:val="0"/>
          <w:sz w:val="28"/>
          <w:szCs w:val="28"/>
          <w:highlight w:val="none"/>
        </w:rPr>
        <w:t>  </w:t>
      </w:r>
      <w:r>
        <w:rPr>
          <w:rFonts w:ascii="仿宋" w:hAnsi="仿宋" w:eastAsia="仿宋" w:cs="宋体"/>
          <w:color w:val="auto"/>
          <w:kern w:val="0"/>
          <w:sz w:val="28"/>
          <w:szCs w:val="28"/>
          <w:highlight w:val="none"/>
        </w:rPr>
        <w:t xml:space="preserve"> </w:t>
      </w:r>
    </w:p>
    <w:p>
      <w:pPr>
        <w:ind w:firstLine="552" w:firstLineChars="200"/>
        <w:rPr>
          <w:rFonts w:ascii="仿宋" w:hAnsi="仿宋" w:eastAsia="仿宋" w:cs="宋体"/>
          <w:color w:val="auto"/>
          <w:kern w:val="0"/>
          <w:sz w:val="28"/>
          <w:szCs w:val="28"/>
          <w:highlight w:val="none"/>
        </w:rPr>
      </w:pPr>
      <w:r>
        <w:rPr>
          <w:rFonts w:hint="eastAsia" w:ascii="仿宋" w:hAnsi="仿宋" w:eastAsia="仿宋" w:cs="宋体"/>
          <w:bCs/>
          <w:color w:val="auto"/>
          <w:kern w:val="0"/>
          <w:sz w:val="28"/>
          <w:szCs w:val="28"/>
          <w:highlight w:val="none"/>
        </w:rPr>
        <w:t>账</w:t>
      </w:r>
      <w:r>
        <w:rPr>
          <w:rFonts w:hint="eastAsia" w:ascii="仿宋" w:hAnsi="宋体" w:eastAsia="仿宋" w:cs="宋体"/>
          <w:bCs/>
          <w:color w:val="auto"/>
          <w:kern w:val="0"/>
          <w:sz w:val="28"/>
          <w:szCs w:val="28"/>
          <w:highlight w:val="none"/>
        </w:rPr>
        <w:t> </w:t>
      </w:r>
      <w:r>
        <w:rPr>
          <w:rFonts w:hint="eastAsia" w:ascii="仿宋" w:hAnsi="仿宋" w:eastAsia="仿宋" w:cs="宋体"/>
          <w:bCs/>
          <w:color w:val="auto"/>
          <w:kern w:val="0"/>
          <w:sz w:val="28"/>
          <w:szCs w:val="28"/>
          <w:highlight w:val="none"/>
        </w:rPr>
        <w:t>号：100435110440010001</w:t>
      </w:r>
      <w:r>
        <w:rPr>
          <w:rFonts w:ascii="仿宋" w:hAnsi="仿宋" w:eastAsia="仿宋" w:cs="宋体"/>
          <w:color w:val="auto"/>
          <w:kern w:val="0"/>
          <w:sz w:val="28"/>
          <w:szCs w:val="28"/>
          <w:highlight w:val="none"/>
        </w:rPr>
        <w:t xml:space="preserve"> </w:t>
      </w:r>
    </w:p>
    <w:p>
      <w:pPr>
        <w:ind w:firstLine="552" w:firstLineChars="200"/>
        <w:rPr>
          <w:rFonts w:ascii="仿宋" w:hAnsi="仿宋" w:eastAsia="仿宋" w:cs="宋体"/>
          <w:color w:val="auto"/>
          <w:kern w:val="0"/>
          <w:sz w:val="28"/>
          <w:szCs w:val="28"/>
          <w:highlight w:val="none"/>
        </w:rPr>
      </w:pPr>
      <w:r>
        <w:rPr>
          <w:rFonts w:hint="eastAsia" w:ascii="仿宋" w:hAnsi="仿宋" w:eastAsia="仿宋" w:cs="宋体"/>
          <w:bCs/>
          <w:color w:val="auto"/>
          <w:kern w:val="0"/>
          <w:sz w:val="28"/>
          <w:szCs w:val="28"/>
          <w:highlight w:val="none"/>
        </w:rPr>
        <w:t>递交时间：响应人必须于2016年9月12日16时前，交至指定账户，以实际到账时间为准（注意1、附言请写清项目名称、项目编号2、请选择适当汇划方式，注意到账时间）。</w:t>
      </w:r>
      <w:r>
        <w:rPr>
          <w:rFonts w:ascii="仿宋" w:hAnsi="仿宋" w:eastAsia="仿宋" w:cs="宋体"/>
          <w:color w:val="auto"/>
          <w:kern w:val="0"/>
          <w:sz w:val="28"/>
          <w:szCs w:val="28"/>
          <w:highlight w:val="none"/>
        </w:rPr>
        <w:t xml:space="preserve"> </w:t>
      </w:r>
    </w:p>
    <w:p>
      <w:pPr>
        <w:ind w:firstLine="552" w:firstLineChars="200"/>
        <w:rPr>
          <w:rFonts w:ascii="仿宋" w:hAnsi="仿宋" w:eastAsia="仿宋" w:cs="宋体"/>
          <w:color w:val="auto"/>
          <w:kern w:val="0"/>
          <w:sz w:val="28"/>
          <w:szCs w:val="28"/>
          <w:highlight w:val="none"/>
        </w:rPr>
      </w:pPr>
      <w:r>
        <w:rPr>
          <w:rFonts w:ascii="仿宋" w:hAnsi="仿宋" w:eastAsia="仿宋" w:cs="宋体"/>
          <w:color w:val="auto"/>
          <w:kern w:val="0"/>
          <w:sz w:val="28"/>
          <w:szCs w:val="28"/>
          <w:highlight w:val="none"/>
        </w:rPr>
        <w:t>五、响应性文件递交</w:t>
      </w:r>
    </w:p>
    <w:p>
      <w:pPr>
        <w:ind w:firstLine="552" w:firstLineChars="200"/>
        <w:rPr>
          <w:rFonts w:ascii="仿宋" w:hAnsi="仿宋" w:eastAsia="仿宋" w:cs="宋体"/>
          <w:color w:val="auto"/>
          <w:kern w:val="0"/>
          <w:sz w:val="28"/>
          <w:szCs w:val="28"/>
          <w:highlight w:val="none"/>
        </w:rPr>
      </w:pPr>
      <w:r>
        <w:rPr>
          <w:rFonts w:ascii="仿宋" w:hAnsi="仿宋" w:eastAsia="仿宋" w:cs="宋体"/>
          <w:color w:val="auto"/>
          <w:kern w:val="0"/>
          <w:sz w:val="28"/>
          <w:szCs w:val="28"/>
          <w:highlight w:val="none"/>
        </w:rPr>
        <w:t>1、响应性文件应于单一来源采购邀请函规定的响应性文件接收截止时间之前递交至指定的地点。</w:t>
      </w:r>
    </w:p>
    <w:p>
      <w:pPr>
        <w:ind w:firstLine="552" w:firstLineChars="200"/>
        <w:rPr>
          <w:rFonts w:ascii="仿宋" w:hAnsi="仿宋" w:eastAsia="仿宋" w:cs="宋体"/>
          <w:color w:val="auto"/>
          <w:kern w:val="0"/>
          <w:sz w:val="28"/>
          <w:szCs w:val="28"/>
          <w:highlight w:val="none"/>
        </w:rPr>
      </w:pPr>
      <w:r>
        <w:rPr>
          <w:rFonts w:ascii="仿宋" w:hAnsi="仿宋" w:eastAsia="仿宋" w:cs="宋体"/>
          <w:color w:val="auto"/>
          <w:kern w:val="0"/>
          <w:sz w:val="28"/>
          <w:szCs w:val="28"/>
          <w:highlight w:val="none"/>
        </w:rPr>
        <w:t>2、响应性文件须提供1份正本，</w:t>
      </w:r>
      <w:r>
        <w:rPr>
          <w:rFonts w:hint="eastAsia" w:ascii="仿宋" w:hAnsi="仿宋" w:eastAsia="仿宋" w:cs="宋体"/>
          <w:color w:val="auto"/>
          <w:kern w:val="0"/>
          <w:sz w:val="28"/>
          <w:szCs w:val="28"/>
          <w:highlight w:val="none"/>
        </w:rPr>
        <w:t>4</w:t>
      </w:r>
      <w:r>
        <w:rPr>
          <w:rFonts w:ascii="仿宋" w:hAnsi="仿宋" w:eastAsia="仿宋" w:cs="宋体"/>
          <w:color w:val="auto"/>
          <w:kern w:val="0"/>
          <w:sz w:val="28"/>
          <w:szCs w:val="28"/>
          <w:highlight w:val="none"/>
        </w:rPr>
        <w:t>份副本，并由法定代表人或其授权代表签署。</w:t>
      </w:r>
    </w:p>
    <w:p>
      <w:pPr>
        <w:ind w:firstLine="552" w:firstLineChars="200"/>
        <w:rPr>
          <w:rFonts w:ascii="仿宋" w:hAnsi="仿宋" w:eastAsia="仿宋" w:cs="宋体"/>
          <w:color w:val="auto"/>
          <w:kern w:val="0"/>
          <w:sz w:val="28"/>
          <w:szCs w:val="28"/>
          <w:highlight w:val="none"/>
        </w:rPr>
      </w:pPr>
      <w:r>
        <w:rPr>
          <w:rFonts w:hint="eastAsia" w:ascii="仿宋" w:hAnsi="仿宋" w:eastAsia="仿宋" w:cs="宋体"/>
          <w:color w:val="auto"/>
          <w:kern w:val="0"/>
          <w:sz w:val="28"/>
          <w:szCs w:val="28"/>
          <w:highlight w:val="none"/>
        </w:rPr>
        <w:t>3、响应性文件应装订成册，装入密封袋，密封袋外需注明：项目名称、项目编号、供应商名称，封口处加盖供应商公章。</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六、单一来源采购程序</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1、采购小组：采购小组由相关专家（专业人员）2人和采购人代表1人共3人组成。</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2、评审程序：</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（1）采购小组审阅供应商所递交的响应性文件；</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（2）采购小组所有成员集中与单一供应商进行洽谈；</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（3）供应商做出最终报价；</w:t>
      </w:r>
    </w:p>
    <w:p>
      <w:pPr>
        <w:ind w:firstLine="552" w:firstLineChars="200"/>
        <w:rPr>
          <w:rFonts w:ascii="仿宋" w:hAnsi="仿宋" w:eastAsia="仿宋"/>
          <w:bCs/>
          <w:i/>
          <w:color w:val="auto"/>
          <w:sz w:val="28"/>
          <w:highlight w:val="none"/>
        </w:rPr>
      </w:pPr>
      <w:r>
        <w:rPr>
          <w:rFonts w:hint="eastAsia" w:ascii="仿宋" w:hAnsi="仿宋" w:eastAsia="仿宋"/>
          <w:color w:val="auto"/>
          <w:sz w:val="28"/>
          <w:highlight w:val="none"/>
        </w:rPr>
        <w:t>（4）采购小组填写</w:t>
      </w:r>
      <w:r>
        <w:rPr>
          <w:rFonts w:hint="eastAsia" w:ascii="仿宋" w:hAnsi="仿宋" w:eastAsia="仿宋"/>
          <w:bCs/>
          <w:color w:val="auto"/>
          <w:sz w:val="28"/>
          <w:highlight w:val="none"/>
        </w:rPr>
        <w:t>单一来源采购协商情况记录表。</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注意事项：如认为供应商报价或其他要求无法接受，采购小组可以拒绝其报价。</w:t>
      </w:r>
    </w:p>
    <w:p>
      <w:pPr>
        <w:numPr>
          <w:ilvl w:val="0"/>
          <w:numId w:val="4"/>
        </w:numPr>
        <w:ind w:firstLine="552" w:firstLineChars="200"/>
        <w:rPr>
          <w:rFonts w:ascii="仿宋" w:hAnsi="仿宋" w:eastAsia="仿宋"/>
          <w:color w:val="auto"/>
          <w:sz w:val="28"/>
          <w:highlight w:val="none"/>
        </w:rPr>
      </w:pPr>
      <w:r>
        <w:rPr>
          <w:rFonts w:hint="eastAsia" w:ascii="仿宋" w:hAnsi="仿宋" w:eastAsia="仿宋"/>
          <w:color w:val="auto"/>
          <w:sz w:val="28"/>
          <w:highlight w:val="none"/>
        </w:rPr>
        <w:t>出现下列情形之一的，采购人应当终止采购活动，发布项目终止公告并说明原因，重新开展采购活动：</w:t>
      </w:r>
    </w:p>
    <w:p>
      <w:pPr>
        <w:rPr>
          <w:rFonts w:ascii="仿宋" w:hAnsi="仿宋" w:eastAsia="仿宋"/>
          <w:color w:val="auto"/>
          <w:sz w:val="28"/>
          <w:highlight w:val="none"/>
        </w:rPr>
      </w:pPr>
      <w:r>
        <w:rPr>
          <w:rFonts w:hint="eastAsia" w:ascii="仿宋" w:hAnsi="仿宋" w:eastAsia="仿宋"/>
          <w:color w:val="auto"/>
          <w:sz w:val="28"/>
          <w:highlight w:val="none"/>
        </w:rPr>
        <w:t xml:space="preserve">  （1）因情况变化，不再符合规定的单一来源采购方式适用情形的；</w:t>
      </w:r>
    </w:p>
    <w:p>
      <w:pPr>
        <w:rPr>
          <w:rFonts w:ascii="仿宋" w:hAnsi="仿宋" w:eastAsia="仿宋"/>
          <w:color w:val="auto"/>
          <w:sz w:val="28"/>
          <w:highlight w:val="none"/>
        </w:rPr>
      </w:pPr>
      <w:r>
        <w:rPr>
          <w:rFonts w:hint="eastAsia" w:ascii="仿宋" w:hAnsi="仿宋" w:eastAsia="仿宋"/>
          <w:color w:val="auto"/>
          <w:sz w:val="28"/>
          <w:highlight w:val="none"/>
        </w:rPr>
        <w:t xml:space="preserve">  （2）出现影响采购公正的违法、违规行为的；</w:t>
      </w:r>
    </w:p>
    <w:p>
      <w:pPr>
        <w:rPr>
          <w:rFonts w:ascii="仿宋" w:hAnsi="仿宋" w:eastAsia="仿宋"/>
          <w:color w:val="auto"/>
          <w:sz w:val="28"/>
          <w:highlight w:val="none"/>
        </w:rPr>
      </w:pPr>
      <w:r>
        <w:rPr>
          <w:rFonts w:hint="eastAsia" w:ascii="仿宋" w:hAnsi="仿宋" w:eastAsia="仿宋"/>
          <w:color w:val="auto"/>
          <w:sz w:val="28"/>
          <w:highlight w:val="none"/>
        </w:rPr>
        <w:t xml:space="preserve">  （3）报价超过采购预算的。</w:t>
      </w:r>
    </w:p>
    <w:p>
      <w:pPr>
        <w:rPr>
          <w:rFonts w:ascii="仿宋" w:hAnsi="仿宋" w:eastAsia="仿宋"/>
          <w:color w:val="auto"/>
          <w:sz w:val="28"/>
          <w:highlight w:val="none"/>
        </w:rPr>
      </w:pPr>
      <w:r>
        <w:rPr>
          <w:rFonts w:hint="eastAsia" w:ascii="仿宋" w:hAnsi="仿宋" w:eastAsia="仿宋"/>
          <w:color w:val="auto"/>
          <w:sz w:val="28"/>
          <w:highlight w:val="none"/>
        </w:rPr>
        <w:t xml:space="preserve">   八、成交原则</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采购人与供应商应当遵循政府采购法规定的原则，在保证采购项目质量和双方商定合理价格的基础上进行采购。</w:t>
      </w:r>
    </w:p>
    <w:bookmarkEnd w:id="0"/>
    <w:p>
      <w:pPr>
        <w:ind w:left="276" w:hanging="276" w:hangingChars="100"/>
        <w:rPr>
          <w:rFonts w:ascii="仿宋" w:hAnsi="仿宋" w:eastAsia="仿宋"/>
          <w:color w:val="auto"/>
          <w:sz w:val="28"/>
          <w:highlight w:val="none"/>
        </w:rPr>
      </w:pPr>
      <w:r>
        <w:rPr>
          <w:rFonts w:hint="eastAsia" w:ascii="仿宋" w:hAnsi="仿宋" w:eastAsia="仿宋"/>
          <w:color w:val="auto"/>
          <w:sz w:val="28"/>
          <w:highlight w:val="none"/>
        </w:rPr>
        <w:t xml:space="preserve">   九、成交通知</w:t>
      </w:r>
    </w:p>
    <w:p>
      <w:pPr>
        <w:ind w:firstLine="552" w:firstLineChars="200"/>
        <w:jc w:val="left"/>
        <w:rPr>
          <w:rFonts w:ascii="仿宋" w:hAnsi="仿宋" w:eastAsia="仿宋"/>
          <w:color w:val="auto"/>
          <w:sz w:val="28"/>
          <w:highlight w:val="none"/>
        </w:rPr>
      </w:pPr>
      <w:r>
        <w:rPr>
          <w:rFonts w:hint="eastAsia" w:ascii="仿宋" w:hAnsi="仿宋" w:eastAsia="仿宋"/>
          <w:color w:val="auto"/>
          <w:sz w:val="28"/>
          <w:highlight w:val="none"/>
        </w:rPr>
        <w:t>1、采购人在评审结束后，向成交供应商发出成交通知书，成交通知书将作为签订合同的依据，成交结果将在河南省政府采购网、温县公共资源交易中心网或以其他方式公布。</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2、供应商对结果公告有异议的应当在结果公告之日起七个工作日内以书面形式向采购人提出质疑，逾期不再受理。</w:t>
      </w:r>
    </w:p>
    <w:p>
      <w:pPr>
        <w:rPr>
          <w:rFonts w:ascii="仿宋" w:hAnsi="仿宋" w:eastAsia="仿宋"/>
          <w:color w:val="auto"/>
          <w:sz w:val="28"/>
          <w:highlight w:val="none"/>
        </w:rPr>
      </w:pPr>
      <w:r>
        <w:rPr>
          <w:rFonts w:hint="eastAsia" w:ascii="仿宋" w:hAnsi="仿宋" w:eastAsia="仿宋"/>
          <w:color w:val="auto"/>
          <w:sz w:val="28"/>
          <w:highlight w:val="none"/>
        </w:rPr>
        <w:t xml:space="preserve">   十、签订合同及合同的执行</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1、在约定的时间、地点，采购人与成交供应商根据有关评审结果签订合同。合同签订一式4份，采购人和供应商各一份，另两份合同分别由温县政府采购管理办公室备案、</w:t>
      </w:r>
      <w:r>
        <w:rPr>
          <w:rFonts w:hint="eastAsia" w:ascii="仿宋" w:hAnsi="仿宋" w:eastAsia="仿宋"/>
          <w:color w:val="auto"/>
          <w:sz w:val="28"/>
          <w:highlight w:val="none"/>
          <w:lang w:eastAsia="zh-CN"/>
        </w:rPr>
        <w:t>代理</w:t>
      </w:r>
      <w:r>
        <w:rPr>
          <w:rFonts w:hint="eastAsia" w:ascii="仿宋" w:hAnsi="仿宋" w:eastAsia="仿宋"/>
          <w:color w:val="auto"/>
          <w:sz w:val="28"/>
          <w:highlight w:val="none"/>
        </w:rPr>
        <w:t>机构存档。</w:t>
      </w:r>
    </w:p>
    <w:p>
      <w:pPr>
        <w:ind w:firstLine="552" w:firstLineChars="200"/>
        <w:rPr>
          <w:rFonts w:ascii="仿宋" w:hAnsi="仿宋" w:eastAsia="仿宋"/>
          <w:color w:val="auto"/>
          <w:sz w:val="28"/>
          <w:highlight w:val="none"/>
        </w:rPr>
      </w:pPr>
      <w:r>
        <w:rPr>
          <w:rFonts w:hint="eastAsia" w:ascii="仿宋" w:hAnsi="仿宋" w:eastAsia="仿宋"/>
          <w:color w:val="auto"/>
          <w:sz w:val="28"/>
          <w:highlight w:val="none"/>
        </w:rPr>
        <w:t>2、单一来源采购文件、成交供应商的响应性文件及其澄清文件等均为签订合同的依据。</w:t>
      </w:r>
    </w:p>
    <w:p>
      <w:pPr>
        <w:spacing w:line="560" w:lineRule="exact"/>
        <w:ind w:left="720"/>
        <w:rPr>
          <w:rFonts w:ascii="仿宋" w:hAnsi="仿宋" w:eastAsia="仿宋"/>
          <w:bCs/>
          <w:color w:val="auto"/>
          <w:kern w:val="0"/>
          <w:sz w:val="28"/>
          <w:szCs w:val="28"/>
          <w:highlight w:val="none"/>
        </w:rPr>
      </w:pPr>
      <w:r>
        <w:rPr>
          <w:rFonts w:ascii="仿宋" w:hAnsi="仿宋" w:eastAsia="仿宋"/>
          <w:color w:val="auto"/>
          <w:sz w:val="28"/>
          <w:highlight w:val="none"/>
        </w:rPr>
        <w:br w:type="page"/>
      </w:r>
      <w:r>
        <w:rPr>
          <w:rFonts w:hint="eastAsia" w:ascii="仿宋" w:hAnsi="仿宋" w:eastAsia="仿宋"/>
          <w:bCs/>
          <w:color w:val="auto"/>
          <w:szCs w:val="32"/>
          <w:highlight w:val="none"/>
        </w:rPr>
        <w:t xml:space="preserve">         第三部分  采购需求</w:t>
      </w:r>
    </w:p>
    <w:p>
      <w:pPr>
        <w:spacing w:line="560" w:lineRule="exact"/>
        <w:ind w:left="720"/>
        <w:rPr>
          <w:rFonts w:ascii="仿宋" w:hAnsi="仿宋" w:eastAsia="仿宋"/>
          <w:bCs/>
          <w:color w:val="auto"/>
          <w:kern w:val="0"/>
          <w:sz w:val="28"/>
          <w:szCs w:val="28"/>
          <w:highlight w:val="none"/>
        </w:rPr>
      </w:pPr>
      <w:r>
        <w:rPr>
          <w:rFonts w:hint="eastAsia" w:ascii="仿宋" w:hAnsi="仿宋" w:eastAsia="仿宋"/>
          <w:bCs/>
          <w:color w:val="auto"/>
          <w:szCs w:val="32"/>
          <w:highlight w:val="none"/>
        </w:rPr>
        <w:t>一、</w:t>
      </w:r>
      <w:r>
        <w:rPr>
          <w:rFonts w:hint="eastAsia" w:ascii="仿宋" w:hAnsi="仿宋" w:eastAsia="仿宋"/>
          <w:bCs/>
          <w:color w:val="auto"/>
          <w:kern w:val="0"/>
          <w:sz w:val="28"/>
          <w:szCs w:val="28"/>
          <w:highlight w:val="none"/>
        </w:rPr>
        <w:t>项目技术要求：</w:t>
      </w:r>
    </w:p>
    <w:p>
      <w:pPr>
        <w:spacing w:line="560" w:lineRule="exact"/>
        <w:ind w:firstLine="552"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在温县公共资源交易中心现有场所和网络条件的基础上，通过添置设备和网络改造的方式，在温县公共资源交易中心建成1个远程开标室、1个远程评标室、1个监控室，与焦作市公共资源交易中心监控对讲云平台联网对接，为公共资源交易项目跨区域开评标提供实时的视频监控和语音对讲服务，实现开评标过程电子监督和集中监管。</w:t>
      </w:r>
    </w:p>
    <w:p>
      <w:pPr>
        <w:ind w:left="632" w:leftChars="200"/>
        <w:rPr>
          <w:rFonts w:ascii="仿宋" w:hAnsi="仿宋" w:eastAsia="仿宋"/>
          <w:color w:val="auto"/>
          <w:sz w:val="28"/>
          <w:szCs w:val="28"/>
          <w:highlight w:val="none"/>
        </w:rPr>
      </w:pPr>
      <w:r>
        <w:rPr>
          <w:rFonts w:hint="eastAsia" w:ascii="仿宋" w:hAnsi="仿宋" w:eastAsia="仿宋"/>
          <w:color w:val="auto"/>
          <w:sz w:val="28"/>
          <w:szCs w:val="28"/>
          <w:highlight w:val="none"/>
        </w:rPr>
        <w:t>（二）功能要求</w:t>
      </w:r>
    </w:p>
    <w:p>
      <w:pPr>
        <w:ind w:firstLine="552"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为保证市区、温县跨区域开评标工作顺利开展、交易活动正常进行，保证网络稳定、传输顺畅、数据保密、交易安全，经与焦作联通公司、市政府电子政务管理中心、浪潮焦作云计算中心协调，监控对讲平台集中部署在浪潮焦作云计算中心，联通公司提供光纤数据电路连接浪潮焦作云计算中心、温县公共资源交易中心，共同搭建一个局域网，所有交易活动在局域网内运行，与外界网络隔离。</w:t>
      </w:r>
    </w:p>
    <w:p>
      <w:pPr>
        <w:ind w:firstLine="552"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2、温县中心添置的监控、对讲等设备纳入焦作市公共资源交易中心监控对讲平台集中管理。</w:t>
      </w:r>
    </w:p>
    <w:p>
      <w:pPr>
        <w:ind w:firstLine="552"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3、异地开评标过程中，两地视频监控画面远程共享，数据远程同步，两地监控室均可调取视频监控画面，对监控球机进行各项云台操作。</w:t>
      </w:r>
    </w:p>
    <w:p>
      <w:pPr>
        <w:ind w:firstLine="552"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4、对讲系统呼叫策略可调配。可以实现一键呼叫、自动接听、免提通话；两台主机之间、主机与分机之间随时可以互相呼叫通话；各分机之间不可以呼叫通话；评标室的分机可以随时呼叫答疑室通话。</w:t>
      </w:r>
    </w:p>
    <w:p>
      <w:pPr>
        <w:spacing w:line="480" w:lineRule="exact"/>
        <w:ind w:firstLine="552" w:firstLineChars="200"/>
        <w:rPr>
          <w:rFonts w:hint="eastAsia" w:ascii="仿宋" w:hAnsi="仿宋" w:eastAsia="仿宋"/>
          <w:color w:val="auto"/>
          <w:sz w:val="28"/>
          <w:szCs w:val="28"/>
          <w:highlight w:val="none"/>
        </w:rPr>
      </w:pPr>
    </w:p>
    <w:p>
      <w:pPr>
        <w:spacing w:line="480" w:lineRule="exact"/>
        <w:rPr>
          <w:rFonts w:ascii="仿宋" w:hAnsi="仿宋" w:eastAsia="仿宋"/>
          <w:color w:val="auto"/>
          <w:sz w:val="28"/>
          <w:szCs w:val="28"/>
          <w:highlight w:val="none"/>
        </w:rPr>
      </w:pPr>
    </w:p>
    <w:p>
      <w:pPr>
        <w:spacing w:line="360" w:lineRule="auto"/>
        <w:ind w:firstLine="552" w:firstLineChars="200"/>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（三）设备技术参数</w:t>
      </w:r>
    </w:p>
    <w:tbl>
      <w:tblPr>
        <w:tblStyle w:val="15"/>
        <w:tblW w:w="9358" w:type="dxa"/>
        <w:tblInd w:w="0" w:type="dxa"/>
        <w:tblLayout w:type="fixed"/>
        <w:tblCellMar>
          <w:top w:w="0" w:type="dxa"/>
          <w:left w:w="108" w:type="dxa"/>
          <w:bottom w:w="0" w:type="dxa"/>
          <w:right w:w="108" w:type="dxa"/>
        </w:tblCellMar>
      </w:tblPr>
      <w:tblGrid>
        <w:gridCol w:w="571"/>
        <w:gridCol w:w="864"/>
        <w:gridCol w:w="1337"/>
        <w:gridCol w:w="3857"/>
        <w:gridCol w:w="166"/>
        <w:gridCol w:w="554"/>
        <w:gridCol w:w="444"/>
        <w:gridCol w:w="666"/>
        <w:gridCol w:w="899"/>
      </w:tblGrid>
      <w:tr>
        <w:tblPrEx>
          <w:tblLayout w:type="fixed"/>
          <w:tblCellMar>
            <w:top w:w="0" w:type="dxa"/>
            <w:left w:w="108" w:type="dxa"/>
            <w:bottom w:w="0" w:type="dxa"/>
            <w:right w:w="108" w:type="dxa"/>
          </w:tblCellMar>
        </w:tblPrEx>
        <w:trPr>
          <w:trHeight w:val="272" w:hRule="atLeast"/>
        </w:trPr>
        <w:tc>
          <w:tcPr>
            <w:tcW w:w="9358" w:type="dxa"/>
            <w:gridSpan w:val="9"/>
            <w:tcBorders>
              <w:top w:val="single" w:color="auto" w:sz="4" w:space="0"/>
              <w:left w:val="single" w:color="auto" w:sz="4" w:space="0"/>
              <w:bottom w:val="single" w:color="auto" w:sz="4" w:space="0"/>
              <w:right w:val="single" w:color="auto" w:sz="4" w:space="0"/>
            </w:tcBorders>
            <w:shd w:val="clear" w:color="000000" w:fill="FFFFFF"/>
            <w:vAlign w:val="center"/>
          </w:tcPr>
          <w:p>
            <w:pPr>
              <w:widowControl/>
              <w:ind w:left="-382" w:leftChars="-121"/>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一、视频监控系统</w:t>
            </w:r>
          </w:p>
        </w:tc>
      </w:tr>
      <w:tr>
        <w:tblPrEx>
          <w:tblLayout w:type="fixed"/>
          <w:tblCellMar>
            <w:top w:w="0" w:type="dxa"/>
            <w:left w:w="108" w:type="dxa"/>
            <w:bottom w:w="0" w:type="dxa"/>
            <w:right w:w="108" w:type="dxa"/>
          </w:tblCellMar>
        </w:tblPrEx>
        <w:trPr>
          <w:trHeight w:val="1095" w:hRule="atLeast"/>
        </w:trPr>
        <w:tc>
          <w:tcPr>
            <w:tcW w:w="571" w:type="dxa"/>
            <w:tcBorders>
              <w:top w:val="nil"/>
              <w:left w:val="single" w:color="auto" w:sz="4" w:space="0"/>
              <w:bottom w:val="nil"/>
              <w:right w:val="single" w:color="auto" w:sz="4" w:space="0"/>
            </w:tcBorders>
            <w:shd w:val="clear" w:color="000000" w:fill="FFFFFF"/>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序号</w:t>
            </w:r>
          </w:p>
        </w:tc>
        <w:tc>
          <w:tcPr>
            <w:tcW w:w="86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货物名称</w:t>
            </w:r>
          </w:p>
        </w:tc>
        <w:tc>
          <w:tcPr>
            <w:tcW w:w="133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品牌型号</w:t>
            </w:r>
          </w:p>
        </w:tc>
        <w:tc>
          <w:tcPr>
            <w:tcW w:w="385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参数</w:t>
            </w:r>
          </w:p>
        </w:tc>
        <w:tc>
          <w:tcPr>
            <w:tcW w:w="720" w:type="dxa"/>
            <w:gridSpan w:val="2"/>
            <w:tcBorders>
              <w:top w:val="nil"/>
              <w:left w:val="nil"/>
              <w:bottom w:val="nil"/>
              <w:right w:val="single" w:color="auto" w:sz="4" w:space="0"/>
            </w:tcBorders>
            <w:shd w:val="clear" w:color="000000" w:fill="FFFFFF"/>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数量</w:t>
            </w:r>
          </w:p>
        </w:tc>
        <w:tc>
          <w:tcPr>
            <w:tcW w:w="444" w:type="dxa"/>
            <w:tcBorders>
              <w:top w:val="nil"/>
              <w:left w:val="nil"/>
              <w:bottom w:val="nil"/>
              <w:right w:val="single" w:color="auto" w:sz="4" w:space="0"/>
            </w:tcBorders>
            <w:shd w:val="clear" w:color="000000" w:fill="FFFFFF"/>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单位</w:t>
            </w:r>
          </w:p>
        </w:tc>
        <w:tc>
          <w:tcPr>
            <w:tcW w:w="666" w:type="dxa"/>
            <w:tcBorders>
              <w:top w:val="nil"/>
              <w:left w:val="nil"/>
              <w:bottom w:val="nil"/>
              <w:right w:val="single" w:color="auto" w:sz="4" w:space="0"/>
            </w:tcBorders>
            <w:shd w:val="clear" w:color="000000" w:fill="FFFFFF"/>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单价</w:t>
            </w:r>
          </w:p>
        </w:tc>
        <w:tc>
          <w:tcPr>
            <w:tcW w:w="899" w:type="dxa"/>
            <w:tcBorders>
              <w:top w:val="nil"/>
              <w:left w:val="nil"/>
              <w:bottom w:val="nil"/>
              <w:right w:val="single" w:color="auto" w:sz="4" w:space="0"/>
            </w:tcBorders>
            <w:shd w:val="clear" w:color="000000" w:fill="FFFFFF"/>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合计</w:t>
            </w:r>
          </w:p>
        </w:tc>
      </w:tr>
      <w:tr>
        <w:tblPrEx>
          <w:tblLayout w:type="fixed"/>
          <w:tblCellMar>
            <w:top w:w="0" w:type="dxa"/>
            <w:left w:w="108" w:type="dxa"/>
            <w:bottom w:w="0" w:type="dxa"/>
            <w:right w:w="108" w:type="dxa"/>
          </w:tblCellMar>
        </w:tblPrEx>
        <w:trPr>
          <w:trHeight w:val="983" w:hRule="atLeast"/>
        </w:trPr>
        <w:tc>
          <w:tcPr>
            <w:tcW w:w="57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1</w:t>
            </w:r>
          </w:p>
        </w:tc>
        <w:tc>
          <w:tcPr>
            <w:tcW w:w="86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高清红外半球</w:t>
            </w:r>
          </w:p>
        </w:tc>
        <w:tc>
          <w:tcPr>
            <w:tcW w:w="133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p>
        </w:tc>
        <w:tc>
          <w:tcPr>
            <w:tcW w:w="3857"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auto"/>
                <w:kern w:val="0"/>
                <w:sz w:val="22"/>
                <w:highlight w:val="none"/>
              </w:rPr>
            </w:pPr>
            <w:r>
              <w:rPr>
                <w:rFonts w:hint="eastAsia" w:ascii="宋体" w:hAnsi="宋体" w:eastAsia="宋体" w:cs="宋体"/>
                <w:color w:val="auto"/>
                <w:kern w:val="0"/>
                <w:sz w:val="22"/>
                <w:highlight w:val="none"/>
              </w:rPr>
              <w:t>300万1/3”CMOS ICR日夜型半球型网络摄像机；传感器类型：1/3” Progressive Scan CMOS；最小照度：0.07Lux @(F1.2,AGC ON) ,0 Lux with IR；0.19 Lux @(F2.0,AGC ON), 0 Lux with IR；镜头：4mm, 水平视场角60.5°，(2.8mm,6mm,8mm,12mm可选)；调整角度：水平:0°~355°,垂直:0°~75°,旋转0°~355°；支持H.264、H.265和MJPEG视频编码格式；帧率：50Hz:25fps(2048×1536，1920×1080，1280×720)；具备越界侦测,区域入侵侦测,场景变更侦测,人脸侦测,虚焦侦测，音频侦测等功能；支持本地SD卡存储，最大支持128G；工作温度和湿度：-30℃~60℃,湿度小于95%(无凝结)；DC12V±25% / PoE(802.3af)；；功耗：5W MAX；红外补光距离不小于30米；防护等级：IP67。</w:t>
            </w:r>
          </w:p>
        </w:tc>
        <w:tc>
          <w:tcPr>
            <w:tcW w:w="720" w:type="dxa"/>
            <w:gridSpan w:val="2"/>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28</w:t>
            </w:r>
          </w:p>
        </w:tc>
        <w:tc>
          <w:tcPr>
            <w:tcW w:w="444"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台</w:t>
            </w:r>
          </w:p>
        </w:tc>
        <w:tc>
          <w:tcPr>
            <w:tcW w:w="666"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p>
        </w:tc>
        <w:tc>
          <w:tcPr>
            <w:tcW w:w="899"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p>
        </w:tc>
      </w:tr>
      <w:tr>
        <w:tblPrEx>
          <w:tblLayout w:type="fixed"/>
          <w:tblCellMar>
            <w:top w:w="0" w:type="dxa"/>
            <w:left w:w="108" w:type="dxa"/>
            <w:bottom w:w="0" w:type="dxa"/>
            <w:right w:w="108" w:type="dxa"/>
          </w:tblCellMar>
        </w:tblPrEx>
        <w:trPr>
          <w:trHeight w:val="1089" w:hRule="atLeast"/>
        </w:trPr>
        <w:tc>
          <w:tcPr>
            <w:tcW w:w="571"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2</w:t>
            </w:r>
          </w:p>
        </w:tc>
        <w:tc>
          <w:tcPr>
            <w:tcW w:w="86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拾音器</w:t>
            </w:r>
          </w:p>
        </w:tc>
        <w:tc>
          <w:tcPr>
            <w:tcW w:w="133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p>
        </w:tc>
        <w:tc>
          <w:tcPr>
            <w:tcW w:w="3857"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auto"/>
                <w:kern w:val="0"/>
                <w:sz w:val="22"/>
                <w:highlight w:val="none"/>
              </w:rPr>
            </w:pPr>
            <w:r>
              <w:rPr>
                <w:rFonts w:hint="eastAsia" w:ascii="宋体" w:hAnsi="宋体" w:eastAsia="宋体" w:cs="宋体"/>
                <w:color w:val="auto"/>
                <w:kern w:val="0"/>
                <w:sz w:val="22"/>
                <w:highlight w:val="none"/>
              </w:rPr>
              <w:t>采用高灵敏度低噪声全指向驻极体电容型咪头，声学及电场环境噪声抑制、话音清晰度增强设计。低噪声高增益放大器，灵敏度调节范围宽，输出信号幅度与后端监控设备良好匹配。声音清晰自然；</w:t>
            </w:r>
          </w:p>
        </w:tc>
        <w:tc>
          <w:tcPr>
            <w:tcW w:w="720" w:type="dxa"/>
            <w:gridSpan w:val="2"/>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14</w:t>
            </w:r>
          </w:p>
        </w:tc>
        <w:tc>
          <w:tcPr>
            <w:tcW w:w="44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台</w:t>
            </w:r>
          </w:p>
        </w:tc>
        <w:tc>
          <w:tcPr>
            <w:tcW w:w="66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p>
        </w:tc>
        <w:tc>
          <w:tcPr>
            <w:tcW w:w="899"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p>
        </w:tc>
      </w:tr>
      <w:tr>
        <w:tblPrEx>
          <w:tblLayout w:type="fixed"/>
          <w:tblCellMar>
            <w:top w:w="0" w:type="dxa"/>
            <w:left w:w="108" w:type="dxa"/>
            <w:bottom w:w="0" w:type="dxa"/>
            <w:right w:w="108" w:type="dxa"/>
          </w:tblCellMar>
        </w:tblPrEx>
        <w:trPr>
          <w:trHeight w:val="2994" w:hRule="atLeast"/>
        </w:trPr>
        <w:tc>
          <w:tcPr>
            <w:tcW w:w="571"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3</w:t>
            </w:r>
          </w:p>
        </w:tc>
        <w:tc>
          <w:tcPr>
            <w:tcW w:w="864" w:type="dxa"/>
            <w:tcBorders>
              <w:top w:val="nil"/>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高速球机</w:t>
            </w:r>
          </w:p>
        </w:tc>
        <w:tc>
          <w:tcPr>
            <w:tcW w:w="1337" w:type="dxa"/>
            <w:tcBorders>
              <w:top w:val="nil"/>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p>
        </w:tc>
        <w:tc>
          <w:tcPr>
            <w:tcW w:w="3857" w:type="dxa"/>
            <w:tcBorders>
              <w:top w:val="nil"/>
              <w:left w:val="nil"/>
              <w:bottom w:val="nil"/>
              <w:right w:val="single" w:color="auto" w:sz="4" w:space="0"/>
            </w:tcBorders>
            <w:shd w:val="clear" w:color="000000" w:fill="FFFFFF"/>
            <w:vAlign w:val="center"/>
          </w:tcPr>
          <w:p>
            <w:pPr>
              <w:widowControl/>
              <w:jc w:val="left"/>
              <w:rPr>
                <w:rFonts w:ascii="宋体" w:hAnsi="宋体" w:cs="宋体"/>
                <w:color w:val="auto"/>
                <w:kern w:val="0"/>
                <w:sz w:val="22"/>
                <w:highlight w:val="none"/>
              </w:rPr>
            </w:pPr>
            <w:r>
              <w:rPr>
                <w:rFonts w:hint="eastAsia" w:ascii="宋体" w:hAnsi="宋体" w:eastAsia="宋体" w:cs="宋体"/>
                <w:color w:val="auto"/>
                <w:kern w:val="0"/>
                <w:sz w:val="22"/>
                <w:highlight w:val="none"/>
              </w:rPr>
              <w:t>300万7寸红外；2048×1536@30fps；0.05Lux/F1.6(彩色),0.01Lux/F1.6(黑白) ,0 Lux with IR；150米红外照射距离；焦距：4.5-135mm, 30倍光学；支持音频、报警；支持宽动态、透雾、强光抑制、Smart IR、3D数字降噪 ；区域入侵侦测、越界侦测、音频异常侦测、移动侦测；水平键控速度最大160°/s，垂直键控速度最大120°/s，垂直范围-15°~90°；H.265/H.264/MJPEG；最大支持128GB Micro SD卡；电源：AC24V，30W max；支持IP66；工作温度：-30℃-65℃。</w:t>
            </w:r>
          </w:p>
        </w:tc>
        <w:tc>
          <w:tcPr>
            <w:tcW w:w="720" w:type="dxa"/>
            <w:gridSpan w:val="2"/>
            <w:tcBorders>
              <w:top w:val="nil"/>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7</w:t>
            </w:r>
          </w:p>
        </w:tc>
        <w:tc>
          <w:tcPr>
            <w:tcW w:w="444" w:type="dxa"/>
            <w:tcBorders>
              <w:top w:val="nil"/>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台</w:t>
            </w:r>
          </w:p>
        </w:tc>
        <w:tc>
          <w:tcPr>
            <w:tcW w:w="666"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22"/>
                <w:highlight w:val="none"/>
              </w:rPr>
            </w:pPr>
          </w:p>
        </w:tc>
        <w:tc>
          <w:tcPr>
            <w:tcW w:w="899"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p>
        </w:tc>
      </w:tr>
      <w:tr>
        <w:tblPrEx>
          <w:tblLayout w:type="fixed"/>
          <w:tblCellMar>
            <w:top w:w="0" w:type="dxa"/>
            <w:left w:w="108" w:type="dxa"/>
            <w:bottom w:w="0" w:type="dxa"/>
            <w:right w:w="108" w:type="dxa"/>
          </w:tblCellMar>
        </w:tblPrEx>
        <w:trPr>
          <w:trHeight w:val="4628" w:hRule="atLeast"/>
        </w:trPr>
        <w:tc>
          <w:tcPr>
            <w:tcW w:w="571"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4</w:t>
            </w:r>
          </w:p>
        </w:tc>
        <w:tc>
          <w:tcPr>
            <w:tcW w:w="864"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高清红外枪机</w:t>
            </w:r>
          </w:p>
        </w:tc>
        <w:tc>
          <w:tcPr>
            <w:tcW w:w="1337"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p>
        </w:tc>
        <w:tc>
          <w:tcPr>
            <w:tcW w:w="3857" w:type="dxa"/>
            <w:tcBorders>
              <w:top w:val="single" w:color="auto" w:sz="4" w:space="0"/>
              <w:left w:val="nil"/>
              <w:bottom w:val="nil"/>
              <w:right w:val="single" w:color="auto" w:sz="4" w:space="0"/>
            </w:tcBorders>
            <w:shd w:val="clear" w:color="000000" w:fill="FFFFFF"/>
            <w:vAlign w:val="center"/>
          </w:tcPr>
          <w:p>
            <w:pPr>
              <w:widowControl/>
              <w:jc w:val="left"/>
              <w:rPr>
                <w:rFonts w:ascii="宋体" w:hAnsi="宋体" w:cs="宋体"/>
                <w:color w:val="auto"/>
                <w:kern w:val="0"/>
                <w:sz w:val="22"/>
                <w:highlight w:val="none"/>
              </w:rPr>
            </w:pPr>
            <w:r>
              <w:rPr>
                <w:rFonts w:hint="eastAsia" w:ascii="宋体" w:hAnsi="宋体" w:eastAsia="宋体" w:cs="宋体"/>
                <w:color w:val="auto"/>
                <w:kern w:val="0"/>
                <w:sz w:val="22"/>
                <w:highlight w:val="none"/>
              </w:rPr>
              <w:t>300万1/3”CMOS ICR红外阵列筒型网络摄像机；支持H.265及H.264编码；最小照度 0.07Lux @(F1.2,AGC ON) ,0 Lux with IR；0.1 Lux @(F1.4,AGC ON), 0 Lux with IR；镜头 4mm, 水平视场角:60.5°(6mm,8mm,12mm，16mm可选)</w:t>
            </w:r>
            <w:r>
              <w:rPr>
                <w:rFonts w:hint="eastAsia" w:ascii="宋体" w:hAnsi="宋体" w:eastAsia="宋体" w:cs="宋体"/>
                <w:color w:val="auto"/>
                <w:kern w:val="0"/>
                <w:sz w:val="22"/>
                <w:highlight w:val="none"/>
              </w:rPr>
              <w:br w:type="textWrapping"/>
            </w:r>
            <w:r>
              <w:rPr>
                <w:rFonts w:hint="eastAsia" w:ascii="宋体" w:hAnsi="宋体" w:eastAsia="宋体" w:cs="宋体"/>
                <w:color w:val="auto"/>
                <w:kern w:val="0"/>
                <w:sz w:val="22"/>
                <w:highlight w:val="none"/>
              </w:rPr>
              <w:t>快门 1/3秒至1/100,000秒；支持数字宽动态；帧率 50Hz: 25fps(2048 × 1536, 1920 × 1080, 1280 × 720)；感兴趣区域 ROI支持三码流分别设置1个固定区域；存储功能 NAS(NFS,SMB/CIFS均支持) ；智能报警 越界侦测,区域入侵侦测,场景变更侦测,人脸侦测,虚焦侦测，物品遗留侦测,物品拾取侦测,非法停车侦测,人员聚集侦测,逆行侦测,徘徊侦测,快速移动侦测,进入区域侦测,离开区域侦测；支持智能后检索，配合NVR支持事件的二次检索分析；工作温度和湿度 -30℃~60℃,湿度小于95%(无凝结)；电源供应 DC12V±25% ；功耗：7.5W MAX；红外照射距离：50米；防护等级 IP67</w:t>
            </w:r>
          </w:p>
        </w:tc>
        <w:tc>
          <w:tcPr>
            <w:tcW w:w="720" w:type="dxa"/>
            <w:gridSpan w:val="2"/>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2</w:t>
            </w:r>
          </w:p>
        </w:tc>
        <w:tc>
          <w:tcPr>
            <w:tcW w:w="444"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台</w:t>
            </w:r>
          </w:p>
        </w:tc>
        <w:tc>
          <w:tcPr>
            <w:tcW w:w="666"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22"/>
                <w:highlight w:val="none"/>
              </w:rPr>
            </w:pPr>
          </w:p>
        </w:tc>
        <w:tc>
          <w:tcPr>
            <w:tcW w:w="899"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p>
        </w:tc>
      </w:tr>
      <w:tr>
        <w:tblPrEx>
          <w:tblLayout w:type="fixed"/>
          <w:tblCellMar>
            <w:top w:w="0" w:type="dxa"/>
            <w:left w:w="108" w:type="dxa"/>
            <w:bottom w:w="0" w:type="dxa"/>
            <w:right w:w="108" w:type="dxa"/>
          </w:tblCellMar>
        </w:tblPrEx>
        <w:trPr>
          <w:trHeight w:val="544" w:hRule="atLeast"/>
        </w:trPr>
        <w:tc>
          <w:tcPr>
            <w:tcW w:w="571"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5</w:t>
            </w:r>
          </w:p>
        </w:tc>
        <w:tc>
          <w:tcPr>
            <w:tcW w:w="864"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焦作、温县远程开评标视频通道授权</w:t>
            </w:r>
          </w:p>
        </w:tc>
        <w:tc>
          <w:tcPr>
            <w:tcW w:w="1337"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p>
        </w:tc>
        <w:tc>
          <w:tcPr>
            <w:tcW w:w="3857"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50路</w:t>
            </w:r>
          </w:p>
        </w:tc>
        <w:tc>
          <w:tcPr>
            <w:tcW w:w="720" w:type="dxa"/>
            <w:gridSpan w:val="2"/>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1</w:t>
            </w:r>
          </w:p>
        </w:tc>
        <w:tc>
          <w:tcPr>
            <w:tcW w:w="444"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套</w:t>
            </w:r>
          </w:p>
        </w:tc>
        <w:tc>
          <w:tcPr>
            <w:tcW w:w="666"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color w:val="auto"/>
                <w:kern w:val="0"/>
                <w:sz w:val="22"/>
                <w:highlight w:val="none"/>
              </w:rPr>
            </w:pPr>
          </w:p>
        </w:tc>
        <w:tc>
          <w:tcPr>
            <w:tcW w:w="899"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p>
        </w:tc>
      </w:tr>
      <w:tr>
        <w:tblPrEx>
          <w:tblLayout w:type="fixed"/>
          <w:tblCellMar>
            <w:top w:w="0" w:type="dxa"/>
            <w:left w:w="108" w:type="dxa"/>
            <w:bottom w:w="0" w:type="dxa"/>
            <w:right w:w="108" w:type="dxa"/>
          </w:tblCellMar>
        </w:tblPrEx>
        <w:trPr>
          <w:trHeight w:val="544" w:hRule="atLeast"/>
        </w:trPr>
        <w:tc>
          <w:tcPr>
            <w:tcW w:w="571"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6</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交换机</w:t>
            </w:r>
          </w:p>
        </w:tc>
        <w:tc>
          <w:tcPr>
            <w:tcW w:w="13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p>
        </w:tc>
        <w:tc>
          <w:tcPr>
            <w:tcW w:w="3857" w:type="dxa"/>
            <w:tcBorders>
              <w:top w:val="nil"/>
              <w:left w:val="nil"/>
              <w:bottom w:val="single" w:color="auto" w:sz="4" w:space="0"/>
              <w:right w:val="single" w:color="auto" w:sz="4" w:space="0"/>
            </w:tcBorders>
            <w:shd w:val="clear" w:color="auto" w:fill="auto"/>
            <w:vAlign w:val="bottom"/>
          </w:tcPr>
          <w:p>
            <w:pPr>
              <w:widowControl/>
              <w:jc w:val="left"/>
              <w:rPr>
                <w:rFonts w:ascii="宋体" w:hAnsi="宋体" w:cs="宋体"/>
                <w:color w:val="auto"/>
                <w:kern w:val="0"/>
                <w:sz w:val="22"/>
                <w:highlight w:val="none"/>
              </w:rPr>
            </w:pPr>
            <w:r>
              <w:rPr>
                <w:rFonts w:hint="eastAsia" w:ascii="宋体" w:hAnsi="宋体" w:eastAsia="宋体" w:cs="宋体"/>
                <w:color w:val="auto"/>
                <w:kern w:val="0"/>
                <w:sz w:val="22"/>
                <w:highlight w:val="none"/>
              </w:rPr>
              <w:t>全千兆交换机，24个10/100/1000Base-T以太网端口</w:t>
            </w:r>
          </w:p>
        </w:tc>
        <w:tc>
          <w:tcPr>
            <w:tcW w:w="72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2</w:t>
            </w:r>
          </w:p>
        </w:tc>
        <w:tc>
          <w:tcPr>
            <w:tcW w:w="44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台</w:t>
            </w:r>
          </w:p>
        </w:tc>
        <w:tc>
          <w:tcPr>
            <w:tcW w:w="66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p>
        </w:tc>
        <w:tc>
          <w:tcPr>
            <w:tcW w:w="899"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p>
        </w:tc>
      </w:tr>
      <w:tr>
        <w:tblPrEx>
          <w:tblLayout w:type="fixed"/>
          <w:tblCellMar>
            <w:top w:w="0" w:type="dxa"/>
            <w:left w:w="108" w:type="dxa"/>
            <w:bottom w:w="0" w:type="dxa"/>
            <w:right w:w="108" w:type="dxa"/>
          </w:tblCellMar>
        </w:tblPrEx>
        <w:trPr>
          <w:trHeight w:val="544" w:hRule="atLeast"/>
        </w:trPr>
        <w:tc>
          <w:tcPr>
            <w:tcW w:w="571"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7</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浪潮中心专用光模块</w:t>
            </w:r>
          </w:p>
        </w:tc>
        <w:tc>
          <w:tcPr>
            <w:tcW w:w="13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p>
        </w:tc>
        <w:tc>
          <w:tcPr>
            <w:tcW w:w="385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单模模块,40KM</w:t>
            </w:r>
          </w:p>
        </w:tc>
        <w:tc>
          <w:tcPr>
            <w:tcW w:w="72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2</w:t>
            </w:r>
          </w:p>
        </w:tc>
        <w:tc>
          <w:tcPr>
            <w:tcW w:w="4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个</w:t>
            </w:r>
          </w:p>
        </w:tc>
        <w:tc>
          <w:tcPr>
            <w:tcW w:w="66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p>
        </w:tc>
        <w:tc>
          <w:tcPr>
            <w:tcW w:w="899"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p>
        </w:tc>
      </w:tr>
      <w:tr>
        <w:tblPrEx>
          <w:tblLayout w:type="fixed"/>
          <w:tblCellMar>
            <w:top w:w="0" w:type="dxa"/>
            <w:left w:w="108" w:type="dxa"/>
            <w:bottom w:w="0" w:type="dxa"/>
            <w:right w:w="108" w:type="dxa"/>
          </w:tblCellMar>
        </w:tblPrEx>
        <w:trPr>
          <w:trHeight w:val="272" w:hRule="atLeast"/>
        </w:trPr>
        <w:tc>
          <w:tcPr>
            <w:tcW w:w="571"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8</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网线</w:t>
            </w:r>
          </w:p>
        </w:tc>
        <w:tc>
          <w:tcPr>
            <w:tcW w:w="13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p>
        </w:tc>
        <w:tc>
          <w:tcPr>
            <w:tcW w:w="3857" w:type="dxa"/>
            <w:tcBorders>
              <w:top w:val="nil"/>
              <w:left w:val="nil"/>
              <w:bottom w:val="nil"/>
              <w:right w:val="nil"/>
            </w:tcBorders>
            <w:shd w:val="clear" w:color="auto" w:fill="auto"/>
            <w:vAlign w:val="bottom"/>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六类非屏蔽双绞线</w:t>
            </w:r>
          </w:p>
        </w:tc>
        <w:tc>
          <w:tcPr>
            <w:tcW w:w="720" w:type="dxa"/>
            <w:gridSpan w:val="2"/>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6</w:t>
            </w:r>
          </w:p>
        </w:tc>
        <w:tc>
          <w:tcPr>
            <w:tcW w:w="4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箱</w:t>
            </w:r>
          </w:p>
        </w:tc>
        <w:tc>
          <w:tcPr>
            <w:tcW w:w="66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p>
        </w:tc>
        <w:tc>
          <w:tcPr>
            <w:tcW w:w="899"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p>
        </w:tc>
      </w:tr>
      <w:tr>
        <w:tblPrEx>
          <w:tblLayout w:type="fixed"/>
          <w:tblCellMar>
            <w:top w:w="0" w:type="dxa"/>
            <w:left w:w="108" w:type="dxa"/>
            <w:bottom w:w="0" w:type="dxa"/>
            <w:right w:w="108" w:type="dxa"/>
          </w:tblCellMar>
        </w:tblPrEx>
        <w:trPr>
          <w:trHeight w:val="272" w:hRule="atLeast"/>
        </w:trPr>
        <w:tc>
          <w:tcPr>
            <w:tcW w:w="571"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9</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PVC管线</w:t>
            </w:r>
          </w:p>
        </w:tc>
        <w:tc>
          <w:tcPr>
            <w:tcW w:w="13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p>
        </w:tc>
        <w:tc>
          <w:tcPr>
            <w:tcW w:w="385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￠20</w:t>
            </w:r>
          </w:p>
        </w:tc>
        <w:tc>
          <w:tcPr>
            <w:tcW w:w="72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2000</w:t>
            </w:r>
          </w:p>
        </w:tc>
        <w:tc>
          <w:tcPr>
            <w:tcW w:w="4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米</w:t>
            </w:r>
          </w:p>
        </w:tc>
        <w:tc>
          <w:tcPr>
            <w:tcW w:w="66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p>
        </w:tc>
        <w:tc>
          <w:tcPr>
            <w:tcW w:w="899"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p>
        </w:tc>
      </w:tr>
      <w:tr>
        <w:tblPrEx>
          <w:tblLayout w:type="fixed"/>
          <w:tblCellMar>
            <w:top w:w="0" w:type="dxa"/>
            <w:left w:w="108" w:type="dxa"/>
            <w:bottom w:w="0" w:type="dxa"/>
            <w:right w:w="108" w:type="dxa"/>
          </w:tblCellMar>
        </w:tblPrEx>
        <w:trPr>
          <w:trHeight w:val="544" w:hRule="atLeast"/>
        </w:trPr>
        <w:tc>
          <w:tcPr>
            <w:tcW w:w="571"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10</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辅材</w:t>
            </w:r>
          </w:p>
        </w:tc>
        <w:tc>
          <w:tcPr>
            <w:tcW w:w="13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p>
        </w:tc>
        <w:tc>
          <w:tcPr>
            <w:tcW w:w="385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22"/>
                <w:highlight w:val="none"/>
              </w:rPr>
            </w:pPr>
            <w:r>
              <w:rPr>
                <w:rFonts w:hint="eastAsia" w:ascii="宋体" w:hAnsi="宋体" w:eastAsia="宋体" w:cs="宋体"/>
                <w:color w:val="auto"/>
                <w:kern w:val="0"/>
                <w:sz w:val="22"/>
                <w:highlight w:val="none"/>
              </w:rPr>
              <w:t>球机支架、音频线、枪机支架、摄像头适配器、水晶头、标签等</w:t>
            </w:r>
          </w:p>
        </w:tc>
        <w:tc>
          <w:tcPr>
            <w:tcW w:w="720"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1</w:t>
            </w:r>
          </w:p>
        </w:tc>
        <w:tc>
          <w:tcPr>
            <w:tcW w:w="44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项</w:t>
            </w:r>
          </w:p>
        </w:tc>
        <w:tc>
          <w:tcPr>
            <w:tcW w:w="66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p>
        </w:tc>
        <w:tc>
          <w:tcPr>
            <w:tcW w:w="899" w:type="dxa"/>
            <w:tcBorders>
              <w:top w:val="single" w:color="auto" w:sz="4" w:space="0"/>
              <w:left w:val="nil"/>
              <w:bottom w:val="nil"/>
              <w:right w:val="single" w:color="auto" w:sz="4" w:space="0"/>
            </w:tcBorders>
            <w:shd w:val="clear" w:color="000000" w:fill="FFFFFF"/>
            <w:vAlign w:val="center"/>
          </w:tcPr>
          <w:p>
            <w:pPr>
              <w:widowControl/>
              <w:jc w:val="center"/>
              <w:rPr>
                <w:rFonts w:ascii="宋体" w:hAnsi="宋体" w:cs="宋体"/>
                <w:color w:val="auto"/>
                <w:kern w:val="0"/>
                <w:sz w:val="22"/>
                <w:highlight w:val="none"/>
              </w:rPr>
            </w:pPr>
          </w:p>
        </w:tc>
      </w:tr>
      <w:tr>
        <w:tblPrEx>
          <w:tblLayout w:type="fixed"/>
          <w:tblCellMar>
            <w:top w:w="0" w:type="dxa"/>
            <w:left w:w="108" w:type="dxa"/>
            <w:bottom w:w="0" w:type="dxa"/>
            <w:right w:w="108" w:type="dxa"/>
          </w:tblCellMar>
        </w:tblPrEx>
        <w:trPr>
          <w:trHeight w:val="272" w:hRule="atLeast"/>
        </w:trPr>
        <w:tc>
          <w:tcPr>
            <w:tcW w:w="571" w:type="dxa"/>
            <w:tcBorders>
              <w:top w:val="nil"/>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22"/>
                <w:highlight w:val="none"/>
              </w:rPr>
            </w:pPr>
            <w:r>
              <w:rPr>
                <w:rFonts w:hint="eastAsia" w:ascii="宋体" w:hAnsi="宋体" w:eastAsia="宋体" w:cs="宋体"/>
                <w:color w:val="auto"/>
                <w:kern w:val="0"/>
                <w:sz w:val="22"/>
                <w:highlight w:val="none"/>
              </w:rPr>
              <w:t>　</w:t>
            </w:r>
          </w:p>
        </w:tc>
        <w:tc>
          <w:tcPr>
            <w:tcW w:w="864" w:type="dxa"/>
            <w:tcBorders>
              <w:top w:val="nil"/>
              <w:left w:val="nil"/>
              <w:bottom w:val="single" w:color="auto" w:sz="4" w:space="0"/>
              <w:right w:val="single" w:color="auto" w:sz="4" w:space="0"/>
            </w:tcBorders>
            <w:vAlign w:val="bottom"/>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小计</w:t>
            </w:r>
          </w:p>
        </w:tc>
        <w:tc>
          <w:tcPr>
            <w:tcW w:w="133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　</w:t>
            </w:r>
          </w:p>
        </w:tc>
        <w:tc>
          <w:tcPr>
            <w:tcW w:w="3857" w:type="dxa"/>
            <w:tcBorders>
              <w:top w:val="nil"/>
              <w:left w:val="nil"/>
              <w:bottom w:val="single" w:color="auto" w:sz="4" w:space="0"/>
              <w:right w:val="single" w:color="auto" w:sz="4" w:space="0"/>
            </w:tcBorders>
            <w:vAlign w:val="bottom"/>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　</w:t>
            </w:r>
          </w:p>
        </w:tc>
        <w:tc>
          <w:tcPr>
            <w:tcW w:w="720" w:type="dxa"/>
            <w:gridSpan w:val="2"/>
            <w:tcBorders>
              <w:top w:val="nil"/>
              <w:left w:val="nil"/>
              <w:bottom w:val="single" w:color="auto" w:sz="4" w:space="0"/>
              <w:right w:val="single" w:color="auto" w:sz="4" w:space="0"/>
            </w:tcBorders>
            <w:vAlign w:val="bottom"/>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　</w:t>
            </w:r>
          </w:p>
        </w:tc>
        <w:tc>
          <w:tcPr>
            <w:tcW w:w="444" w:type="dxa"/>
            <w:tcBorders>
              <w:top w:val="nil"/>
              <w:left w:val="nil"/>
              <w:bottom w:val="single" w:color="auto" w:sz="4" w:space="0"/>
              <w:right w:val="single" w:color="auto" w:sz="4" w:space="0"/>
            </w:tcBorders>
            <w:vAlign w:val="bottom"/>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　</w:t>
            </w:r>
          </w:p>
        </w:tc>
        <w:tc>
          <w:tcPr>
            <w:tcW w:w="666" w:type="dxa"/>
            <w:tcBorders>
              <w:top w:val="nil"/>
              <w:left w:val="nil"/>
              <w:bottom w:val="single" w:color="auto" w:sz="4" w:space="0"/>
              <w:right w:val="single" w:color="auto" w:sz="4" w:space="0"/>
            </w:tcBorders>
            <w:vAlign w:val="bottom"/>
          </w:tcPr>
          <w:p>
            <w:pPr>
              <w:widowControl/>
              <w:jc w:val="center"/>
              <w:rPr>
                <w:rFonts w:ascii="宋体" w:hAnsi="宋体" w:cs="宋体"/>
                <w:color w:val="auto"/>
                <w:kern w:val="0"/>
                <w:sz w:val="22"/>
                <w:highlight w:val="none"/>
              </w:rPr>
            </w:pPr>
          </w:p>
        </w:tc>
        <w:tc>
          <w:tcPr>
            <w:tcW w:w="899" w:type="dxa"/>
            <w:tcBorders>
              <w:top w:val="single" w:color="auto" w:sz="4" w:space="0"/>
              <w:left w:val="nil"/>
              <w:bottom w:val="single" w:color="auto" w:sz="4" w:space="0"/>
              <w:right w:val="single" w:color="auto" w:sz="4" w:space="0"/>
            </w:tcBorders>
            <w:vAlign w:val="bottom"/>
          </w:tcPr>
          <w:p>
            <w:pPr>
              <w:widowControl/>
              <w:jc w:val="center"/>
              <w:rPr>
                <w:rFonts w:ascii="宋体" w:hAnsi="宋体" w:cs="宋体"/>
                <w:b/>
                <w:bCs/>
                <w:color w:val="auto"/>
                <w:kern w:val="0"/>
                <w:sz w:val="22"/>
                <w:highlight w:val="none"/>
              </w:rPr>
            </w:pPr>
          </w:p>
        </w:tc>
      </w:tr>
      <w:tr>
        <w:tblPrEx>
          <w:tblLayout w:type="fixed"/>
          <w:tblCellMar>
            <w:top w:w="0" w:type="dxa"/>
            <w:left w:w="108" w:type="dxa"/>
            <w:bottom w:w="0" w:type="dxa"/>
            <w:right w:w="108" w:type="dxa"/>
          </w:tblCellMar>
        </w:tblPrEx>
        <w:trPr>
          <w:trHeight w:val="272" w:hRule="atLeast"/>
        </w:trPr>
        <w:tc>
          <w:tcPr>
            <w:tcW w:w="9358" w:type="dxa"/>
            <w:gridSpan w:val="9"/>
            <w:tcBorders>
              <w:top w:val="single" w:color="auto" w:sz="4" w:space="0"/>
              <w:left w:val="single" w:color="auto" w:sz="4" w:space="0"/>
              <w:bottom w:val="single" w:color="auto" w:sz="4" w:space="0"/>
              <w:right w:val="single" w:color="auto" w:sz="4" w:space="0"/>
            </w:tcBorders>
            <w:shd w:val="clear" w:color="000000" w:fill="FFFFFF"/>
            <w:vAlign w:val="bottom"/>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二、办公呼叫系统</w:t>
            </w:r>
          </w:p>
        </w:tc>
      </w:tr>
      <w:tr>
        <w:tblPrEx>
          <w:tblLayout w:type="fixed"/>
          <w:tblCellMar>
            <w:top w:w="0" w:type="dxa"/>
            <w:left w:w="108" w:type="dxa"/>
            <w:bottom w:w="0" w:type="dxa"/>
            <w:right w:w="108" w:type="dxa"/>
          </w:tblCellMar>
        </w:tblPrEx>
        <w:trPr>
          <w:trHeight w:val="544" w:hRule="atLeast"/>
        </w:trPr>
        <w:tc>
          <w:tcPr>
            <w:tcW w:w="571"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序号</w:t>
            </w:r>
          </w:p>
        </w:tc>
        <w:tc>
          <w:tcPr>
            <w:tcW w:w="86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设备名称</w:t>
            </w:r>
          </w:p>
        </w:tc>
        <w:tc>
          <w:tcPr>
            <w:tcW w:w="1337"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品牌</w:t>
            </w:r>
          </w:p>
        </w:tc>
        <w:tc>
          <w:tcPr>
            <w:tcW w:w="4023" w:type="dxa"/>
            <w:gridSpan w:val="2"/>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规格型号</w:t>
            </w:r>
          </w:p>
        </w:tc>
        <w:tc>
          <w:tcPr>
            <w:tcW w:w="55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数量</w:t>
            </w:r>
          </w:p>
        </w:tc>
        <w:tc>
          <w:tcPr>
            <w:tcW w:w="44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单位</w:t>
            </w:r>
          </w:p>
        </w:tc>
        <w:tc>
          <w:tcPr>
            <w:tcW w:w="666"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单价</w:t>
            </w:r>
          </w:p>
        </w:tc>
        <w:tc>
          <w:tcPr>
            <w:tcW w:w="89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合计</w:t>
            </w:r>
          </w:p>
        </w:tc>
      </w:tr>
      <w:tr>
        <w:tblPrEx>
          <w:tblLayout w:type="fixed"/>
          <w:tblCellMar>
            <w:top w:w="0" w:type="dxa"/>
            <w:left w:w="108" w:type="dxa"/>
            <w:bottom w:w="0" w:type="dxa"/>
            <w:right w:w="108" w:type="dxa"/>
          </w:tblCellMar>
        </w:tblPrEx>
        <w:trPr>
          <w:trHeight w:val="1633" w:hRule="atLeast"/>
        </w:trPr>
        <w:tc>
          <w:tcPr>
            <w:tcW w:w="571"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1</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可视对讲主机</w:t>
            </w:r>
          </w:p>
        </w:tc>
        <w:tc>
          <w:tcPr>
            <w:tcW w:w="133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22"/>
                <w:highlight w:val="none"/>
              </w:rPr>
            </w:pPr>
          </w:p>
        </w:tc>
        <w:tc>
          <w:tcPr>
            <w:tcW w:w="4023" w:type="dxa"/>
            <w:gridSpan w:val="2"/>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auto"/>
                <w:kern w:val="0"/>
                <w:sz w:val="22"/>
                <w:highlight w:val="none"/>
              </w:rPr>
            </w:pPr>
            <w:r>
              <w:rPr>
                <w:rFonts w:hint="eastAsia" w:ascii="宋体" w:hAnsi="宋体" w:eastAsia="宋体" w:cs="宋体"/>
                <w:color w:val="auto"/>
                <w:kern w:val="0"/>
                <w:sz w:val="22"/>
                <w:highlight w:val="none"/>
              </w:rPr>
              <w:t>采用10.2寸数字真彩显示屏，电容式触摸屏，720P高清摄像头；一般放置在对讲管理室的桌面或操作台上；可高级别管理主机使用；双工对讲：可与分机或主机双工可视对讲；对讲方式有免提、手柄、TALK键；分机报警、对讲状态可用红、绿色提示，每路按键可显示备注信息。</w:t>
            </w:r>
          </w:p>
        </w:tc>
        <w:tc>
          <w:tcPr>
            <w:tcW w:w="55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1</w:t>
            </w:r>
          </w:p>
        </w:tc>
        <w:tc>
          <w:tcPr>
            <w:tcW w:w="44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台</w:t>
            </w:r>
          </w:p>
        </w:tc>
        <w:tc>
          <w:tcPr>
            <w:tcW w:w="66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p>
        </w:tc>
        <w:tc>
          <w:tcPr>
            <w:tcW w:w="89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p>
        </w:tc>
      </w:tr>
      <w:tr>
        <w:tblPrEx>
          <w:tblLayout w:type="fixed"/>
          <w:tblCellMar>
            <w:top w:w="0" w:type="dxa"/>
            <w:left w:w="108" w:type="dxa"/>
            <w:bottom w:w="0" w:type="dxa"/>
            <w:right w:w="108" w:type="dxa"/>
          </w:tblCellMar>
        </w:tblPrEx>
        <w:trPr>
          <w:trHeight w:val="1905" w:hRule="atLeast"/>
        </w:trPr>
        <w:tc>
          <w:tcPr>
            <w:tcW w:w="571"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2</w:t>
            </w:r>
          </w:p>
        </w:tc>
        <w:tc>
          <w:tcPr>
            <w:tcW w:w="8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对讲分机</w:t>
            </w:r>
          </w:p>
        </w:tc>
        <w:tc>
          <w:tcPr>
            <w:tcW w:w="133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p>
        </w:tc>
        <w:tc>
          <w:tcPr>
            <w:tcW w:w="402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2"/>
                <w:highlight w:val="none"/>
              </w:rPr>
            </w:pPr>
            <w:r>
              <w:rPr>
                <w:rFonts w:hint="eastAsia" w:ascii="宋体" w:hAnsi="宋体" w:eastAsia="宋体" w:cs="宋体"/>
                <w:color w:val="auto"/>
                <w:kern w:val="0"/>
                <w:sz w:val="22"/>
                <w:highlight w:val="none"/>
              </w:rPr>
              <w:t>采用10.2寸数字真彩显示屏，电容式触摸屏，720P高清摄像头；一般放置在对讲管理室的桌面或操作台上。有多级管理设置功能，可作一级管理主机使用；双工对讲：可与分机或主机双工可视对讲。对讲方式有免提、手柄、TALK键；可将本主机的分机托管给其它的一级主机管理；分机报警、对讲状态可用红、绿色提示，每路按键可添加备注信息。</w:t>
            </w:r>
          </w:p>
        </w:tc>
        <w:tc>
          <w:tcPr>
            <w:tcW w:w="55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6</w:t>
            </w:r>
          </w:p>
        </w:tc>
        <w:tc>
          <w:tcPr>
            <w:tcW w:w="44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台</w:t>
            </w:r>
          </w:p>
        </w:tc>
        <w:tc>
          <w:tcPr>
            <w:tcW w:w="66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p>
        </w:tc>
        <w:tc>
          <w:tcPr>
            <w:tcW w:w="89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p>
        </w:tc>
      </w:tr>
      <w:tr>
        <w:tblPrEx>
          <w:tblLayout w:type="fixed"/>
          <w:tblCellMar>
            <w:top w:w="0" w:type="dxa"/>
            <w:left w:w="108" w:type="dxa"/>
            <w:bottom w:w="0" w:type="dxa"/>
            <w:right w:w="108" w:type="dxa"/>
          </w:tblCellMar>
        </w:tblPrEx>
        <w:trPr>
          <w:trHeight w:val="816" w:hRule="atLeast"/>
        </w:trPr>
        <w:tc>
          <w:tcPr>
            <w:tcW w:w="571"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3</w:t>
            </w:r>
          </w:p>
        </w:tc>
        <w:tc>
          <w:tcPr>
            <w:tcW w:w="8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地址盒</w:t>
            </w:r>
          </w:p>
        </w:tc>
        <w:tc>
          <w:tcPr>
            <w:tcW w:w="133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p>
        </w:tc>
        <w:tc>
          <w:tcPr>
            <w:tcW w:w="402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2"/>
                <w:highlight w:val="none"/>
              </w:rPr>
            </w:pPr>
            <w:r>
              <w:rPr>
                <w:rFonts w:hint="eastAsia" w:ascii="宋体" w:hAnsi="宋体" w:eastAsia="宋体" w:cs="宋体"/>
                <w:color w:val="auto"/>
                <w:kern w:val="0"/>
                <w:sz w:val="22"/>
                <w:highlight w:val="none"/>
              </w:rPr>
              <w:t>用于主机和分机等所有网络设备的IP地址注册查询、sip服务、音视频代理等；预装操作系统、数据库及来邦代理软件等。</w:t>
            </w:r>
          </w:p>
        </w:tc>
        <w:tc>
          <w:tcPr>
            <w:tcW w:w="55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1</w:t>
            </w:r>
          </w:p>
        </w:tc>
        <w:tc>
          <w:tcPr>
            <w:tcW w:w="44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台</w:t>
            </w:r>
          </w:p>
        </w:tc>
        <w:tc>
          <w:tcPr>
            <w:tcW w:w="66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p>
        </w:tc>
        <w:tc>
          <w:tcPr>
            <w:tcW w:w="89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p>
        </w:tc>
      </w:tr>
      <w:tr>
        <w:tblPrEx>
          <w:tblLayout w:type="fixed"/>
          <w:tblCellMar>
            <w:top w:w="0" w:type="dxa"/>
            <w:left w:w="108" w:type="dxa"/>
            <w:bottom w:w="0" w:type="dxa"/>
            <w:right w:w="108" w:type="dxa"/>
          </w:tblCellMar>
        </w:tblPrEx>
        <w:trPr>
          <w:trHeight w:val="272" w:hRule="atLeast"/>
        </w:trPr>
        <w:tc>
          <w:tcPr>
            <w:tcW w:w="571"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4</w:t>
            </w:r>
          </w:p>
        </w:tc>
        <w:tc>
          <w:tcPr>
            <w:tcW w:w="8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网线</w:t>
            </w:r>
          </w:p>
        </w:tc>
        <w:tc>
          <w:tcPr>
            <w:tcW w:w="133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p>
        </w:tc>
        <w:tc>
          <w:tcPr>
            <w:tcW w:w="4023" w:type="dxa"/>
            <w:gridSpan w:val="2"/>
            <w:tcBorders>
              <w:top w:val="nil"/>
              <w:left w:val="nil"/>
              <w:bottom w:val="nil"/>
              <w:right w:val="nil"/>
            </w:tcBorders>
            <w:vAlign w:val="bottom"/>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六类非屏蔽双绞线</w:t>
            </w:r>
          </w:p>
        </w:tc>
        <w:tc>
          <w:tcPr>
            <w:tcW w:w="554"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2</w:t>
            </w:r>
          </w:p>
        </w:tc>
        <w:tc>
          <w:tcPr>
            <w:tcW w:w="44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箱</w:t>
            </w:r>
          </w:p>
        </w:tc>
        <w:tc>
          <w:tcPr>
            <w:tcW w:w="66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p>
        </w:tc>
        <w:tc>
          <w:tcPr>
            <w:tcW w:w="89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p>
        </w:tc>
      </w:tr>
      <w:tr>
        <w:tblPrEx>
          <w:tblLayout w:type="fixed"/>
          <w:tblCellMar>
            <w:top w:w="0" w:type="dxa"/>
            <w:left w:w="108" w:type="dxa"/>
            <w:bottom w:w="0" w:type="dxa"/>
            <w:right w:w="108" w:type="dxa"/>
          </w:tblCellMar>
        </w:tblPrEx>
        <w:trPr>
          <w:trHeight w:val="272" w:hRule="atLeast"/>
        </w:trPr>
        <w:tc>
          <w:tcPr>
            <w:tcW w:w="571"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5</w:t>
            </w:r>
          </w:p>
        </w:tc>
        <w:tc>
          <w:tcPr>
            <w:tcW w:w="86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辅材</w:t>
            </w:r>
          </w:p>
        </w:tc>
        <w:tc>
          <w:tcPr>
            <w:tcW w:w="1337" w:type="dxa"/>
            <w:tcBorders>
              <w:top w:val="nil"/>
              <w:left w:val="nil"/>
              <w:bottom w:val="single" w:color="auto" w:sz="4" w:space="0"/>
              <w:right w:val="single" w:color="auto" w:sz="4" w:space="0"/>
            </w:tcBorders>
            <w:vAlign w:val="bottom"/>
          </w:tcPr>
          <w:p>
            <w:pPr>
              <w:widowControl/>
              <w:jc w:val="center"/>
              <w:rPr>
                <w:rFonts w:ascii="宋体" w:hAnsi="宋体" w:cs="宋体"/>
                <w:color w:val="auto"/>
                <w:kern w:val="0"/>
                <w:sz w:val="22"/>
                <w:highlight w:val="none"/>
              </w:rPr>
            </w:pPr>
          </w:p>
        </w:tc>
        <w:tc>
          <w:tcPr>
            <w:tcW w:w="4023"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国标</w:t>
            </w:r>
          </w:p>
        </w:tc>
        <w:tc>
          <w:tcPr>
            <w:tcW w:w="55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1</w:t>
            </w:r>
          </w:p>
        </w:tc>
        <w:tc>
          <w:tcPr>
            <w:tcW w:w="444"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项</w:t>
            </w:r>
          </w:p>
        </w:tc>
        <w:tc>
          <w:tcPr>
            <w:tcW w:w="66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p>
        </w:tc>
        <w:tc>
          <w:tcPr>
            <w:tcW w:w="899"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p>
        </w:tc>
      </w:tr>
      <w:tr>
        <w:tblPrEx>
          <w:tblLayout w:type="fixed"/>
          <w:tblCellMar>
            <w:top w:w="0" w:type="dxa"/>
            <w:left w:w="108" w:type="dxa"/>
            <w:bottom w:w="0" w:type="dxa"/>
            <w:right w:w="108" w:type="dxa"/>
          </w:tblCellMar>
        </w:tblPrEx>
        <w:trPr>
          <w:trHeight w:val="272" w:hRule="atLeast"/>
        </w:trPr>
        <w:tc>
          <w:tcPr>
            <w:tcW w:w="571" w:type="dxa"/>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auto"/>
                <w:kern w:val="0"/>
                <w:sz w:val="22"/>
                <w:highlight w:val="none"/>
              </w:rPr>
            </w:pPr>
            <w:r>
              <w:rPr>
                <w:rFonts w:hint="eastAsia" w:ascii="宋体" w:hAnsi="宋体" w:eastAsia="宋体" w:cs="宋体"/>
                <w:color w:val="auto"/>
                <w:kern w:val="0"/>
                <w:sz w:val="22"/>
                <w:highlight w:val="none"/>
              </w:rPr>
              <w:t>　</w:t>
            </w:r>
          </w:p>
        </w:tc>
        <w:tc>
          <w:tcPr>
            <w:tcW w:w="864"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小计</w:t>
            </w:r>
          </w:p>
        </w:tc>
        <w:tc>
          <w:tcPr>
            <w:tcW w:w="1337" w:type="dxa"/>
            <w:tcBorders>
              <w:top w:val="nil"/>
              <w:left w:val="nil"/>
              <w:bottom w:val="single" w:color="auto" w:sz="4" w:space="0"/>
              <w:right w:val="single" w:color="auto" w:sz="4" w:space="0"/>
            </w:tcBorders>
            <w:vAlign w:val="bottom"/>
          </w:tcPr>
          <w:p>
            <w:pPr>
              <w:widowControl/>
              <w:jc w:val="left"/>
              <w:rPr>
                <w:rFonts w:ascii="宋体" w:hAnsi="宋体" w:cs="宋体"/>
                <w:color w:val="auto"/>
                <w:kern w:val="0"/>
                <w:sz w:val="22"/>
                <w:highlight w:val="none"/>
              </w:rPr>
            </w:pPr>
            <w:r>
              <w:rPr>
                <w:rFonts w:hint="eastAsia" w:ascii="宋体" w:hAnsi="宋体" w:eastAsia="宋体" w:cs="宋体"/>
                <w:color w:val="auto"/>
                <w:kern w:val="0"/>
                <w:sz w:val="22"/>
                <w:highlight w:val="none"/>
              </w:rPr>
              <w:t>　</w:t>
            </w:r>
          </w:p>
        </w:tc>
        <w:tc>
          <w:tcPr>
            <w:tcW w:w="4023" w:type="dxa"/>
            <w:gridSpan w:val="2"/>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　</w:t>
            </w:r>
          </w:p>
        </w:tc>
        <w:tc>
          <w:tcPr>
            <w:tcW w:w="554"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　</w:t>
            </w:r>
          </w:p>
        </w:tc>
        <w:tc>
          <w:tcPr>
            <w:tcW w:w="444"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　</w:t>
            </w:r>
          </w:p>
        </w:tc>
        <w:tc>
          <w:tcPr>
            <w:tcW w:w="666"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2"/>
                <w:highlight w:val="none"/>
              </w:rPr>
            </w:pPr>
          </w:p>
        </w:tc>
        <w:tc>
          <w:tcPr>
            <w:tcW w:w="899"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2"/>
                <w:highlight w:val="none"/>
              </w:rPr>
            </w:pPr>
          </w:p>
        </w:tc>
      </w:tr>
      <w:tr>
        <w:tblPrEx>
          <w:tblLayout w:type="fixed"/>
          <w:tblCellMar>
            <w:top w:w="0" w:type="dxa"/>
            <w:left w:w="108" w:type="dxa"/>
            <w:bottom w:w="0" w:type="dxa"/>
            <w:right w:w="108" w:type="dxa"/>
          </w:tblCellMar>
        </w:tblPrEx>
        <w:trPr>
          <w:trHeight w:val="272" w:hRule="atLeast"/>
        </w:trPr>
        <w:tc>
          <w:tcPr>
            <w:tcW w:w="571"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2"/>
                <w:highlight w:val="none"/>
              </w:rPr>
            </w:pPr>
            <w:r>
              <w:rPr>
                <w:rFonts w:hint="eastAsia" w:ascii="宋体" w:hAnsi="宋体" w:eastAsia="宋体" w:cs="宋体"/>
                <w:color w:val="auto"/>
                <w:kern w:val="0"/>
                <w:sz w:val="22"/>
                <w:highlight w:val="none"/>
              </w:rPr>
              <w:t>　</w:t>
            </w:r>
          </w:p>
        </w:tc>
        <w:tc>
          <w:tcPr>
            <w:tcW w:w="864"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2"/>
                <w:highlight w:val="none"/>
              </w:rPr>
            </w:pPr>
            <w:r>
              <w:rPr>
                <w:rFonts w:hint="eastAsia" w:ascii="宋体" w:hAnsi="宋体" w:eastAsia="宋体" w:cs="宋体"/>
                <w:b/>
                <w:bCs/>
                <w:color w:val="auto"/>
                <w:kern w:val="0"/>
                <w:sz w:val="22"/>
                <w:highlight w:val="none"/>
              </w:rPr>
              <w:t>总计</w:t>
            </w:r>
          </w:p>
        </w:tc>
        <w:tc>
          <w:tcPr>
            <w:tcW w:w="1337" w:type="dxa"/>
            <w:tcBorders>
              <w:top w:val="nil"/>
              <w:left w:val="nil"/>
              <w:bottom w:val="single" w:color="auto" w:sz="4" w:space="0"/>
              <w:right w:val="single" w:color="auto" w:sz="4" w:space="0"/>
            </w:tcBorders>
            <w:vAlign w:val="bottom"/>
          </w:tcPr>
          <w:p>
            <w:pPr>
              <w:widowControl/>
              <w:jc w:val="left"/>
              <w:rPr>
                <w:rFonts w:ascii="宋体" w:hAnsi="宋体" w:cs="宋体"/>
                <w:color w:val="auto"/>
                <w:kern w:val="0"/>
                <w:sz w:val="22"/>
                <w:highlight w:val="none"/>
              </w:rPr>
            </w:pPr>
            <w:r>
              <w:rPr>
                <w:rFonts w:hint="eastAsia" w:ascii="宋体" w:hAnsi="宋体" w:eastAsia="宋体" w:cs="宋体"/>
                <w:color w:val="auto"/>
                <w:kern w:val="0"/>
                <w:sz w:val="22"/>
                <w:highlight w:val="none"/>
              </w:rPr>
              <w:t>　</w:t>
            </w:r>
          </w:p>
        </w:tc>
        <w:tc>
          <w:tcPr>
            <w:tcW w:w="4023"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2"/>
                <w:highlight w:val="none"/>
              </w:rPr>
            </w:pPr>
            <w:r>
              <w:rPr>
                <w:rFonts w:hint="eastAsia" w:ascii="宋体" w:hAnsi="宋体" w:eastAsia="宋体" w:cs="宋体"/>
                <w:color w:val="auto"/>
                <w:kern w:val="0"/>
                <w:sz w:val="22"/>
                <w:highlight w:val="none"/>
              </w:rPr>
              <w:t>　</w:t>
            </w:r>
          </w:p>
        </w:tc>
        <w:tc>
          <w:tcPr>
            <w:tcW w:w="554"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2"/>
                <w:highlight w:val="none"/>
              </w:rPr>
            </w:pPr>
            <w:r>
              <w:rPr>
                <w:rFonts w:hint="eastAsia" w:ascii="宋体" w:hAnsi="宋体" w:eastAsia="宋体" w:cs="宋体"/>
                <w:color w:val="auto"/>
                <w:kern w:val="0"/>
                <w:sz w:val="22"/>
                <w:highlight w:val="none"/>
              </w:rPr>
              <w:t>　</w:t>
            </w:r>
          </w:p>
        </w:tc>
        <w:tc>
          <w:tcPr>
            <w:tcW w:w="444"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2"/>
                <w:highlight w:val="none"/>
              </w:rPr>
            </w:pPr>
            <w:r>
              <w:rPr>
                <w:rFonts w:hint="eastAsia" w:ascii="宋体" w:hAnsi="宋体" w:eastAsia="宋体" w:cs="宋体"/>
                <w:color w:val="auto"/>
                <w:kern w:val="0"/>
                <w:sz w:val="22"/>
                <w:highlight w:val="none"/>
              </w:rPr>
              <w:t>　</w:t>
            </w:r>
          </w:p>
        </w:tc>
        <w:tc>
          <w:tcPr>
            <w:tcW w:w="666"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2"/>
                <w:highlight w:val="none"/>
              </w:rPr>
            </w:pPr>
          </w:p>
        </w:tc>
        <w:tc>
          <w:tcPr>
            <w:tcW w:w="899"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2"/>
                <w:highlight w:val="none"/>
              </w:rPr>
            </w:pPr>
          </w:p>
        </w:tc>
      </w:tr>
    </w:tbl>
    <w:p>
      <w:pPr>
        <w:rPr>
          <w:b/>
          <w:color w:val="auto"/>
          <w:sz w:val="28"/>
          <w:szCs w:val="28"/>
          <w:highlight w:val="none"/>
        </w:rPr>
      </w:pPr>
      <w:r>
        <w:rPr>
          <w:rFonts w:hint="eastAsia"/>
          <w:b/>
          <w:color w:val="auto"/>
          <w:sz w:val="28"/>
          <w:szCs w:val="28"/>
          <w:highlight w:val="none"/>
        </w:rPr>
        <w:t>备注:本项目报价含运输、安装、施工等相关费用。</w:t>
      </w:r>
    </w:p>
    <w:p>
      <w:pPr>
        <w:widowControl/>
        <w:spacing w:line="560" w:lineRule="exact"/>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二、项目商务要求：</w:t>
      </w:r>
    </w:p>
    <w:p>
      <w:pPr>
        <w:widowControl/>
        <w:spacing w:line="560" w:lineRule="exact"/>
        <w:ind w:firstLine="552"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1、付款方式</w:t>
      </w:r>
    </w:p>
    <w:p>
      <w:pPr>
        <w:widowControl/>
        <w:spacing w:line="560" w:lineRule="exact"/>
        <w:ind w:firstLine="552"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验收合格后付全部价款的95%，剩余5%作为质保金，三个月后无质量问题付清全部。</w:t>
      </w:r>
    </w:p>
    <w:p>
      <w:pPr>
        <w:spacing w:line="560" w:lineRule="exact"/>
        <w:ind w:firstLine="552"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2、供货期限</w:t>
      </w:r>
    </w:p>
    <w:p>
      <w:pPr>
        <w:spacing w:line="560" w:lineRule="exact"/>
        <w:ind w:firstLine="552"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签订合同之日起10日内供货，完成上述迁移及货物安装调试工作。</w:t>
      </w:r>
    </w:p>
    <w:p>
      <w:pPr>
        <w:spacing w:line="560" w:lineRule="exact"/>
        <w:ind w:firstLine="552" w:firstLineChars="200"/>
        <w:rPr>
          <w:rFonts w:ascii="仿宋" w:hAnsi="仿宋" w:eastAsia="仿宋" w:cs="宋体"/>
          <w:color w:val="auto"/>
          <w:sz w:val="28"/>
          <w:szCs w:val="28"/>
          <w:highlight w:val="none"/>
        </w:rPr>
      </w:pPr>
      <w:r>
        <w:rPr>
          <w:rFonts w:hint="eastAsia" w:ascii="仿宋" w:hAnsi="仿宋" w:eastAsia="仿宋" w:cs="宋体"/>
          <w:color w:val="auto"/>
          <w:sz w:val="28"/>
          <w:szCs w:val="28"/>
          <w:highlight w:val="none"/>
        </w:rPr>
        <w:t>3、售后服务：项目验收之日起，成交供应商提供3年免费质保服务。严格按照招标文件提供服务，保证产品质量，售后服务提供24小时技术支持。服务期限内出现问题的，成交供应商要在1小时内及时响应，24小时内解决问题，解决不了的，须提供相应的应急和安全措施。</w:t>
      </w:r>
    </w:p>
    <w:p>
      <w:pPr>
        <w:spacing w:line="560" w:lineRule="exact"/>
        <w:ind w:firstLine="552" w:firstLineChars="200"/>
        <w:jc w:val="center"/>
        <w:rPr>
          <w:rFonts w:ascii="仿宋" w:hAnsi="仿宋" w:eastAsia="仿宋"/>
          <w:color w:val="auto"/>
          <w:sz w:val="28"/>
          <w:highlight w:val="none"/>
        </w:rPr>
      </w:pPr>
      <w:r>
        <w:rPr>
          <w:rFonts w:ascii="仿宋" w:hAnsi="仿宋" w:eastAsia="仿宋" w:cs="宋体"/>
          <w:color w:val="auto"/>
          <w:sz w:val="28"/>
          <w:szCs w:val="28"/>
          <w:highlight w:val="none"/>
        </w:rPr>
        <w:br w:type="page"/>
      </w:r>
      <w:r>
        <w:rPr>
          <w:rFonts w:hint="eastAsia" w:ascii="仿宋" w:hAnsi="仿宋" w:eastAsia="仿宋"/>
          <w:color w:val="auto"/>
          <w:szCs w:val="32"/>
          <w:highlight w:val="none"/>
        </w:rPr>
        <w:t>第四部分  附件—响应性文件格式</w:t>
      </w:r>
    </w:p>
    <w:p>
      <w:pPr>
        <w:spacing w:afterLines="50"/>
        <w:rPr>
          <w:rFonts w:ascii="仿宋" w:hAnsi="仿宋" w:eastAsia="仿宋"/>
          <w:color w:val="auto"/>
          <w:sz w:val="28"/>
          <w:szCs w:val="30"/>
          <w:highlight w:val="none"/>
        </w:rPr>
      </w:pPr>
      <w:r>
        <w:rPr>
          <w:rFonts w:hint="eastAsia" w:ascii="仿宋" w:hAnsi="仿宋" w:eastAsia="仿宋"/>
          <w:color w:val="auto"/>
          <w:sz w:val="28"/>
          <w:szCs w:val="30"/>
          <w:highlight w:val="none"/>
        </w:rPr>
        <w:t>附件1</w:t>
      </w:r>
    </w:p>
    <w:p>
      <w:pPr>
        <w:spacing w:afterLines="50"/>
        <w:jc w:val="center"/>
        <w:rPr>
          <w:rFonts w:ascii="仿宋" w:hAnsi="仿宋" w:eastAsia="仿宋"/>
          <w:color w:val="auto"/>
          <w:sz w:val="28"/>
          <w:szCs w:val="30"/>
          <w:highlight w:val="none"/>
        </w:rPr>
      </w:pPr>
      <w:r>
        <w:rPr>
          <w:rFonts w:hint="eastAsia" w:ascii="仿宋" w:hAnsi="仿宋" w:eastAsia="仿宋"/>
          <w:color w:val="auto"/>
          <w:sz w:val="28"/>
          <w:szCs w:val="30"/>
          <w:highlight w:val="none"/>
        </w:rPr>
        <w:t>承 诺 书</w:t>
      </w:r>
    </w:p>
    <w:p>
      <w:pPr>
        <w:adjustRightInd w:val="0"/>
        <w:snapToGrid w:val="0"/>
        <w:spacing w:line="400" w:lineRule="exact"/>
        <w:rPr>
          <w:rFonts w:ascii="仿宋" w:hAnsi="仿宋" w:eastAsia="仿宋"/>
          <w:color w:val="auto"/>
          <w:sz w:val="28"/>
          <w:szCs w:val="32"/>
          <w:highlight w:val="none"/>
        </w:rPr>
      </w:pPr>
      <w:r>
        <w:rPr>
          <w:rFonts w:hint="eastAsia" w:ascii="仿宋" w:hAnsi="仿宋" w:eastAsia="仿宋"/>
          <w:color w:val="auto"/>
          <w:sz w:val="28"/>
          <w:szCs w:val="32"/>
          <w:highlight w:val="none"/>
        </w:rPr>
        <w:t>致：温县公共资源交易中心</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根据贵方____________项目的单一来源采购邀请（项目编号：温交易[2016]</w:t>
      </w:r>
      <w:r>
        <w:rPr>
          <w:rFonts w:hint="eastAsia" w:ascii="仿宋" w:hAnsi="仿宋" w:eastAsia="仿宋"/>
          <w:color w:val="auto"/>
          <w:sz w:val="28"/>
          <w:szCs w:val="32"/>
          <w:highlight w:val="none"/>
          <w:u w:val="single"/>
        </w:rPr>
        <w:t xml:space="preserve">   </w:t>
      </w:r>
      <w:r>
        <w:rPr>
          <w:rFonts w:hint="eastAsia" w:ascii="仿宋" w:hAnsi="仿宋" w:eastAsia="仿宋"/>
          <w:color w:val="auto"/>
          <w:sz w:val="28"/>
          <w:szCs w:val="32"/>
          <w:highlight w:val="none"/>
        </w:rPr>
        <w:t>号），签字代表____________(全名、职务)经正式授权并代表_________________________(供应商名称、地址)提交下述文件正本1份和副本</w:t>
      </w:r>
      <w:r>
        <w:rPr>
          <w:rFonts w:hint="eastAsia" w:ascii="仿宋" w:hAnsi="仿宋" w:eastAsia="仿宋"/>
          <w:color w:val="auto"/>
          <w:sz w:val="28"/>
          <w:szCs w:val="32"/>
          <w:highlight w:val="none"/>
          <w:u w:val="single"/>
        </w:rPr>
        <w:t xml:space="preserve">  </w:t>
      </w:r>
      <w:r>
        <w:rPr>
          <w:rFonts w:hint="eastAsia" w:ascii="仿宋" w:hAnsi="仿宋" w:eastAsia="仿宋"/>
          <w:color w:val="auto"/>
          <w:sz w:val="28"/>
          <w:szCs w:val="32"/>
          <w:highlight w:val="none"/>
        </w:rPr>
        <w:t>份，并对之负法律责任。</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据此函，签字代表宣布同意如下：</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（1）我们已详细审核全部采购文件，我们知道必须放弃提出含糊不清或误解的问题的权利。</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（2）同意向贵方提供贵方可能另外要求的与项目有关的任何证据和资料。</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（3）一旦我们成交，我们将严格履行合同责任和义务。</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（4）与本次单一来源采购有关的正式通讯地址为：</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地 址：</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邮 编：</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电 话：</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传 真：</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我们保证：</w:t>
      </w:r>
    </w:p>
    <w:p>
      <w:pPr>
        <w:adjustRightInd w:val="0"/>
        <w:snapToGrid w:val="0"/>
        <w:spacing w:line="400" w:lineRule="exact"/>
        <w:ind w:firstLine="552" w:firstLineChars="200"/>
        <w:rPr>
          <w:rFonts w:ascii="仿宋" w:hAnsi="仿宋" w:eastAsia="仿宋"/>
          <w:color w:val="auto"/>
          <w:sz w:val="28"/>
          <w:szCs w:val="32"/>
          <w:highlight w:val="none"/>
        </w:rPr>
      </w:pPr>
      <w:r>
        <w:rPr>
          <w:rFonts w:hint="eastAsia" w:ascii="仿宋" w:hAnsi="仿宋" w:eastAsia="仿宋"/>
          <w:color w:val="auto"/>
          <w:sz w:val="28"/>
          <w:szCs w:val="32"/>
          <w:highlight w:val="none"/>
        </w:rPr>
        <w:t>（1）不提供虚假材料谋取成交；</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（2）不与采购人，采购代理机构恶意串通；</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（3）不向采购人，采购代理机构提供不正当利益；</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（4）不拒绝有关部门监督检查或提供虚假情况。</w:t>
      </w:r>
    </w:p>
    <w:p>
      <w:pPr>
        <w:adjustRightInd w:val="0"/>
        <w:snapToGrid w:val="0"/>
        <w:spacing w:line="400" w:lineRule="exact"/>
        <w:rPr>
          <w:rFonts w:ascii="仿宋" w:hAnsi="仿宋" w:eastAsia="仿宋"/>
          <w:color w:val="auto"/>
          <w:sz w:val="28"/>
          <w:szCs w:val="32"/>
          <w:highlight w:val="none"/>
        </w:rPr>
      </w:pPr>
    </w:p>
    <w:p>
      <w:pPr>
        <w:adjustRightInd w:val="0"/>
        <w:snapToGrid w:val="0"/>
        <w:spacing w:line="400" w:lineRule="exact"/>
        <w:jc w:val="right"/>
        <w:rPr>
          <w:rFonts w:ascii="仿宋" w:hAnsi="仿宋" w:eastAsia="仿宋"/>
          <w:color w:val="auto"/>
          <w:sz w:val="28"/>
          <w:szCs w:val="32"/>
          <w:highlight w:val="none"/>
        </w:rPr>
      </w:pPr>
      <w:r>
        <w:rPr>
          <w:rFonts w:hint="eastAsia" w:ascii="仿宋" w:hAnsi="仿宋" w:eastAsia="仿宋"/>
          <w:color w:val="auto"/>
          <w:sz w:val="28"/>
          <w:szCs w:val="32"/>
          <w:highlight w:val="none"/>
        </w:rPr>
        <w:t>供应商名称：（单位盖章）</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法定代表人或委托代理人： (签字或盖章)</w:t>
      </w:r>
      <w:r>
        <w:rPr>
          <w:rFonts w:hint="eastAsia" w:ascii="仿宋" w:hAnsi="仿宋" w:eastAsia="仿宋"/>
          <w:color w:val="auto"/>
          <w:sz w:val="28"/>
          <w:szCs w:val="32"/>
          <w:highlight w:val="none"/>
        </w:rPr>
        <w:br w:type="textWrapping"/>
      </w:r>
      <w:r>
        <w:rPr>
          <w:rFonts w:hint="eastAsia" w:ascii="仿宋" w:hAnsi="仿宋" w:eastAsia="仿宋"/>
          <w:color w:val="auto"/>
          <w:sz w:val="28"/>
          <w:szCs w:val="32"/>
          <w:highlight w:val="none"/>
        </w:rPr>
        <w:t xml:space="preserve">                                                 年  月  日</w:t>
      </w:r>
    </w:p>
    <w:p>
      <w:pPr>
        <w:adjustRightInd w:val="0"/>
        <w:snapToGrid w:val="0"/>
        <w:spacing w:line="400" w:lineRule="exact"/>
        <w:jc w:val="right"/>
        <w:rPr>
          <w:rFonts w:ascii="仿宋" w:hAnsi="仿宋" w:eastAsia="仿宋"/>
          <w:bCs/>
          <w:color w:val="auto"/>
          <w:sz w:val="30"/>
          <w:szCs w:val="30"/>
          <w:highlight w:val="none"/>
        </w:rPr>
      </w:pPr>
    </w:p>
    <w:p>
      <w:pPr>
        <w:spacing w:line="14" w:lineRule="atLeast"/>
        <w:ind w:right="552"/>
        <w:rPr>
          <w:rFonts w:ascii="仿宋" w:hAnsi="仿宋" w:eastAsia="仿宋"/>
          <w:color w:val="auto"/>
          <w:sz w:val="28"/>
          <w:szCs w:val="32"/>
          <w:highlight w:val="none"/>
        </w:rPr>
      </w:pPr>
      <w:r>
        <w:rPr>
          <w:rFonts w:hint="eastAsia" w:ascii="仿宋" w:hAnsi="仿宋" w:eastAsia="仿宋"/>
          <w:color w:val="auto"/>
          <w:sz w:val="28"/>
          <w:szCs w:val="30"/>
          <w:highlight w:val="none"/>
        </w:rPr>
        <w:t>附件2</w:t>
      </w:r>
    </w:p>
    <w:p>
      <w:pPr>
        <w:widowControl/>
        <w:snapToGrid w:val="0"/>
        <w:spacing w:line="560" w:lineRule="atLeast"/>
        <w:jc w:val="left"/>
        <w:rPr>
          <w:rFonts w:ascii="仿宋" w:hAnsi="仿宋" w:eastAsia="仿宋"/>
          <w:color w:val="auto"/>
          <w:sz w:val="28"/>
          <w:szCs w:val="30"/>
          <w:highlight w:val="none"/>
        </w:rPr>
      </w:pPr>
    </w:p>
    <w:p>
      <w:pPr>
        <w:spacing w:line="360" w:lineRule="auto"/>
        <w:ind w:firstLine="552" w:firstLineChars="200"/>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授权委托书</w:t>
      </w:r>
    </w:p>
    <w:p>
      <w:pPr>
        <w:spacing w:line="360" w:lineRule="auto"/>
        <w:ind w:firstLine="552"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委托人授权</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（被委托人的姓名、职务）为委托人的委托代理人，就项目编号为</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号的</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项目及合同的执行，以本单位名义处理一切与之有关的事务。</w:t>
      </w:r>
    </w:p>
    <w:p>
      <w:pPr>
        <w:spacing w:line="360" w:lineRule="auto"/>
        <w:ind w:firstLine="552"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本授权书于</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月</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日签字生效，特此声明。</w:t>
      </w:r>
    </w:p>
    <w:p>
      <w:pPr>
        <w:spacing w:line="360" w:lineRule="auto"/>
        <w:ind w:firstLine="552"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委托人：单位名称（单位公章）           被委托人：（签字）</w:t>
      </w:r>
    </w:p>
    <w:p>
      <w:pPr>
        <w:spacing w:line="360" w:lineRule="auto"/>
        <w:ind w:firstLine="552"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法定代表人：（签字）</w:t>
      </w:r>
    </w:p>
    <w:tbl>
      <w:tblPr>
        <w:tblStyle w:val="15"/>
        <w:tblpPr w:leftFromText="180" w:rightFromText="180" w:vertAnchor="text" w:horzAnchor="margin" w:tblpXSpec="center" w:tblpY="304"/>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00" w:hRule="atLeast"/>
        </w:trPr>
        <w:tc>
          <w:tcPr>
            <w:tcW w:w="5508" w:type="dxa"/>
          </w:tcPr>
          <w:p>
            <w:pPr>
              <w:spacing w:line="480" w:lineRule="exact"/>
              <w:rPr>
                <w:rFonts w:ascii="仿宋" w:hAnsi="仿宋" w:eastAsia="仿宋" w:cs="Lucida Sans Unicode"/>
                <w:bCs/>
                <w:color w:val="auto"/>
                <w:highlight w:val="none"/>
              </w:rPr>
            </w:pPr>
          </w:p>
          <w:p>
            <w:pPr>
              <w:spacing w:line="480" w:lineRule="exact"/>
              <w:rPr>
                <w:rFonts w:ascii="仿宋" w:hAnsi="仿宋" w:eastAsia="仿宋" w:cs="Lucida Sans Unicode"/>
                <w:bCs/>
                <w:color w:val="auto"/>
                <w:highlight w:val="none"/>
              </w:rPr>
            </w:pPr>
          </w:p>
          <w:p>
            <w:pPr>
              <w:spacing w:line="480" w:lineRule="exact"/>
              <w:jc w:val="center"/>
              <w:rPr>
                <w:rFonts w:ascii="仿宋" w:hAnsi="仿宋" w:eastAsia="仿宋" w:cs="Lucida Sans Unicode"/>
                <w:bCs/>
                <w:color w:val="auto"/>
                <w:sz w:val="28"/>
                <w:szCs w:val="28"/>
                <w:highlight w:val="none"/>
              </w:rPr>
            </w:pPr>
            <w:r>
              <w:rPr>
                <w:rFonts w:hint="eastAsia" w:ascii="仿宋" w:hAnsi="仿宋" w:eastAsia="仿宋" w:cs="Lucida Sans Unicode"/>
                <w:bCs/>
                <w:color w:val="auto"/>
                <w:sz w:val="28"/>
                <w:szCs w:val="28"/>
                <w:highlight w:val="none"/>
              </w:rPr>
              <w:t>（※此处附被委托人身份证复印件※）</w:t>
            </w:r>
          </w:p>
          <w:p>
            <w:pPr>
              <w:spacing w:line="480" w:lineRule="exact"/>
              <w:rPr>
                <w:rFonts w:ascii="仿宋" w:hAnsi="仿宋" w:eastAsia="仿宋" w:cs="Lucida Sans Unicode"/>
                <w:color w:val="auto"/>
                <w:highlight w:val="none"/>
              </w:rPr>
            </w:pPr>
          </w:p>
          <w:p>
            <w:pPr>
              <w:spacing w:line="480" w:lineRule="exact"/>
              <w:rPr>
                <w:rFonts w:ascii="仿宋" w:hAnsi="仿宋" w:eastAsia="仿宋" w:cs="Lucida Sans Unicode"/>
                <w:color w:val="auto"/>
                <w:highlight w:val="none"/>
              </w:rPr>
            </w:pPr>
          </w:p>
        </w:tc>
      </w:tr>
    </w:tbl>
    <w:p>
      <w:pPr>
        <w:spacing w:line="360" w:lineRule="auto"/>
        <w:ind w:firstLine="552" w:firstLineChars="200"/>
        <w:rPr>
          <w:rFonts w:ascii="仿宋" w:hAnsi="仿宋" w:eastAsia="仿宋"/>
          <w:color w:val="auto"/>
          <w:sz w:val="28"/>
          <w:szCs w:val="28"/>
          <w:highlight w:val="none"/>
        </w:rPr>
      </w:pPr>
    </w:p>
    <w:p>
      <w:pPr>
        <w:spacing w:line="360" w:lineRule="auto"/>
        <w:ind w:firstLine="552" w:firstLineChars="200"/>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      </w:t>
      </w:r>
    </w:p>
    <w:p>
      <w:pPr>
        <w:spacing w:line="360" w:lineRule="auto"/>
        <w:ind w:firstLine="552" w:firstLineChars="200"/>
        <w:jc w:val="center"/>
        <w:rPr>
          <w:rFonts w:ascii="仿宋" w:hAnsi="仿宋" w:eastAsia="仿宋"/>
          <w:color w:val="auto"/>
          <w:sz w:val="28"/>
          <w:szCs w:val="28"/>
          <w:highlight w:val="none"/>
        </w:rPr>
      </w:pPr>
    </w:p>
    <w:p>
      <w:pPr>
        <w:spacing w:line="360" w:lineRule="auto"/>
        <w:rPr>
          <w:rFonts w:ascii="仿宋" w:hAnsi="仿宋" w:eastAsia="仿宋"/>
          <w:color w:val="auto"/>
          <w:sz w:val="28"/>
          <w:szCs w:val="28"/>
          <w:highlight w:val="none"/>
        </w:rPr>
      </w:pPr>
    </w:p>
    <w:p>
      <w:pPr>
        <w:spacing w:line="360" w:lineRule="auto"/>
        <w:ind w:firstLine="552" w:firstLineChars="200"/>
        <w:jc w:val="center"/>
        <w:rPr>
          <w:rFonts w:ascii="仿宋" w:hAnsi="仿宋" w:eastAsia="仿宋"/>
          <w:color w:val="auto"/>
          <w:sz w:val="28"/>
          <w:szCs w:val="28"/>
          <w:highlight w:val="none"/>
        </w:rPr>
      </w:pPr>
    </w:p>
    <w:p>
      <w:pPr>
        <w:spacing w:line="360" w:lineRule="auto"/>
        <w:ind w:firstLine="552" w:firstLineChars="200"/>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                                      年   月   日</w:t>
      </w:r>
    </w:p>
    <w:p>
      <w:pPr>
        <w:spacing w:line="360" w:lineRule="auto"/>
        <w:rPr>
          <w:rFonts w:ascii="仿宋" w:hAnsi="仿宋" w:eastAsia="仿宋" w:cs="黑体"/>
          <w:bCs/>
          <w:color w:val="auto"/>
          <w:kern w:val="1"/>
          <w:sz w:val="28"/>
          <w:szCs w:val="28"/>
          <w:highlight w:val="none"/>
        </w:rPr>
      </w:pPr>
    </w:p>
    <w:p>
      <w:pPr>
        <w:spacing w:line="360" w:lineRule="auto"/>
        <w:rPr>
          <w:rFonts w:ascii="仿宋" w:hAnsi="仿宋" w:eastAsia="仿宋"/>
          <w:color w:val="auto"/>
          <w:sz w:val="28"/>
          <w:szCs w:val="28"/>
          <w:highlight w:val="none"/>
        </w:rPr>
      </w:pPr>
      <w:r>
        <w:rPr>
          <w:rFonts w:ascii="仿宋" w:hAnsi="仿宋" w:eastAsia="仿宋" w:cs="黑体"/>
          <w:bCs/>
          <w:color w:val="auto"/>
          <w:kern w:val="1"/>
          <w:sz w:val="28"/>
          <w:szCs w:val="28"/>
          <w:highlight w:val="none"/>
        </w:rPr>
        <w:t>附件</w:t>
      </w:r>
      <w:r>
        <w:rPr>
          <w:rFonts w:hint="eastAsia" w:ascii="仿宋" w:hAnsi="仿宋" w:eastAsia="仿宋" w:cs="黑体"/>
          <w:bCs/>
          <w:color w:val="auto"/>
          <w:kern w:val="1"/>
          <w:sz w:val="28"/>
          <w:szCs w:val="28"/>
          <w:highlight w:val="none"/>
        </w:rPr>
        <w:t>3</w:t>
      </w:r>
      <w:r>
        <w:rPr>
          <w:rFonts w:ascii="仿宋" w:hAnsi="仿宋" w:eastAsia="仿宋" w:cs="黑体"/>
          <w:bCs/>
          <w:color w:val="auto"/>
          <w:kern w:val="1"/>
          <w:sz w:val="28"/>
          <w:szCs w:val="28"/>
          <w:highlight w:val="none"/>
        </w:rPr>
        <w:t xml:space="preserve">  </w:t>
      </w:r>
    </w:p>
    <w:p>
      <w:pPr>
        <w:spacing w:line="360" w:lineRule="auto"/>
        <w:ind w:firstLine="3263" w:firstLineChars="1183"/>
        <w:rPr>
          <w:rFonts w:ascii="仿宋" w:hAnsi="仿宋" w:eastAsia="仿宋"/>
          <w:color w:val="auto"/>
          <w:sz w:val="28"/>
          <w:szCs w:val="28"/>
          <w:highlight w:val="none"/>
        </w:rPr>
      </w:pPr>
      <w:r>
        <w:rPr>
          <w:rFonts w:hint="eastAsia" w:ascii="仿宋" w:hAnsi="仿宋" w:eastAsia="仿宋"/>
          <w:color w:val="auto"/>
          <w:sz w:val="28"/>
          <w:szCs w:val="28"/>
          <w:highlight w:val="none"/>
        </w:rPr>
        <w:t>报价一览表</w:t>
      </w:r>
    </w:p>
    <w:p>
      <w:pPr>
        <w:spacing w:line="360" w:lineRule="auto"/>
        <w:rPr>
          <w:rFonts w:ascii="仿宋" w:hAnsi="仿宋" w:eastAsia="仿宋"/>
          <w:color w:val="auto"/>
          <w:sz w:val="21"/>
          <w:szCs w:val="21"/>
          <w:highlight w:val="none"/>
        </w:rPr>
      </w:pPr>
      <w:r>
        <w:rPr>
          <w:rFonts w:hint="eastAsia" w:ascii="仿宋" w:hAnsi="仿宋" w:eastAsia="仿宋"/>
          <w:color w:val="auto"/>
          <w:szCs w:val="21"/>
          <w:highlight w:val="none"/>
        </w:rPr>
        <w:t xml:space="preserve">                                            </w:t>
      </w:r>
    </w:p>
    <w:p>
      <w:pPr>
        <w:spacing w:line="360" w:lineRule="auto"/>
        <w:ind w:firstLine="158" w:firstLineChars="50"/>
        <w:rPr>
          <w:rFonts w:ascii="仿宋" w:hAnsi="仿宋" w:eastAsia="仿宋"/>
          <w:color w:val="auto"/>
          <w:szCs w:val="21"/>
          <w:highlight w:val="none"/>
        </w:rPr>
      </w:pPr>
      <w:r>
        <w:rPr>
          <w:rFonts w:hint="eastAsia" w:ascii="仿宋" w:hAnsi="仿宋" w:eastAsia="仿宋"/>
          <w:color w:val="auto"/>
          <w:szCs w:val="21"/>
          <w:highlight w:val="none"/>
        </w:rPr>
        <w:t xml:space="preserve">项目名称：                  项目编号：                  </w:t>
      </w:r>
    </w:p>
    <w:tbl>
      <w:tblPr>
        <w:tblStyle w:val="15"/>
        <w:tblW w:w="7668" w:type="dxa"/>
        <w:tblInd w:w="5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018"/>
        <w:gridCol w:w="1800"/>
        <w:gridCol w:w="900"/>
        <w:gridCol w:w="108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trPr>
        <w:tc>
          <w:tcPr>
            <w:tcW w:w="7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序号</w:t>
            </w:r>
          </w:p>
        </w:tc>
        <w:tc>
          <w:tcPr>
            <w:tcW w:w="10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货物名称</w:t>
            </w: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品牌、规格、型号</w:t>
            </w:r>
          </w:p>
        </w:tc>
        <w:tc>
          <w:tcPr>
            <w:tcW w:w="9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数量</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单价</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总价</w:t>
            </w: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服务周期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trPr>
        <w:tc>
          <w:tcPr>
            <w:tcW w:w="7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exact"/>
        </w:trPr>
        <w:tc>
          <w:tcPr>
            <w:tcW w:w="71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r>
              <w:rPr>
                <w:rFonts w:hint="eastAsia" w:ascii="仿宋" w:hAnsi="仿宋" w:eastAsia="仿宋"/>
                <w:color w:val="auto"/>
                <w:sz w:val="21"/>
                <w:szCs w:val="21"/>
                <w:highlight w:val="none"/>
              </w:rPr>
              <w:t>。。。</w:t>
            </w:r>
          </w:p>
        </w:tc>
        <w:tc>
          <w:tcPr>
            <w:tcW w:w="101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8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c>
          <w:tcPr>
            <w:tcW w:w="10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7668" w:type="dxa"/>
            <w:gridSpan w:val="7"/>
            <w:tcBorders>
              <w:top w:val="single" w:color="auto" w:sz="4" w:space="0"/>
              <w:left w:val="single" w:color="auto" w:sz="4" w:space="0"/>
              <w:bottom w:val="single" w:color="auto" w:sz="4" w:space="0"/>
              <w:right w:val="single" w:color="auto" w:sz="4" w:space="0"/>
            </w:tcBorders>
            <w:vAlign w:val="center"/>
          </w:tcPr>
          <w:p>
            <w:pPr>
              <w:spacing w:line="360" w:lineRule="auto"/>
              <w:rPr>
                <w:rFonts w:ascii="仿宋" w:hAnsi="仿宋" w:eastAsia="仿宋"/>
                <w:color w:val="auto"/>
                <w:sz w:val="21"/>
                <w:szCs w:val="21"/>
                <w:highlight w:val="none"/>
              </w:rPr>
            </w:pPr>
            <w:r>
              <w:rPr>
                <w:rFonts w:hint="eastAsia" w:ascii="仿宋" w:hAnsi="仿宋" w:eastAsia="仿宋"/>
                <w:color w:val="auto"/>
                <w:sz w:val="21"/>
                <w:szCs w:val="21"/>
                <w:highlight w:val="none"/>
              </w:rPr>
              <w:t>投标总价（小写）：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7668" w:type="dxa"/>
            <w:gridSpan w:val="7"/>
            <w:tcBorders>
              <w:top w:val="single" w:color="auto" w:sz="4" w:space="0"/>
              <w:left w:val="single" w:color="auto" w:sz="4" w:space="0"/>
              <w:bottom w:val="single" w:color="auto" w:sz="4" w:space="0"/>
              <w:right w:val="single" w:color="auto" w:sz="4" w:space="0"/>
            </w:tcBorders>
            <w:vAlign w:val="center"/>
          </w:tcPr>
          <w:p>
            <w:pPr>
              <w:spacing w:line="360" w:lineRule="auto"/>
              <w:rPr>
                <w:rFonts w:ascii="仿宋" w:hAnsi="仿宋" w:eastAsia="仿宋"/>
                <w:color w:val="auto"/>
                <w:sz w:val="21"/>
                <w:szCs w:val="21"/>
                <w:highlight w:val="none"/>
              </w:rPr>
            </w:pPr>
            <w:r>
              <w:rPr>
                <w:rFonts w:hint="eastAsia" w:ascii="仿宋" w:hAnsi="仿宋" w:eastAsia="仿宋"/>
                <w:color w:val="auto"/>
                <w:sz w:val="21"/>
                <w:szCs w:val="21"/>
                <w:highlight w:val="none"/>
              </w:rPr>
              <w:t>投标总价（大写）：</w:t>
            </w:r>
          </w:p>
        </w:tc>
      </w:tr>
    </w:tbl>
    <w:p>
      <w:pPr>
        <w:spacing w:line="560" w:lineRule="exact"/>
        <w:rPr>
          <w:rFonts w:ascii="仿宋" w:hAnsi="仿宋" w:eastAsia="仿宋" w:cs="宋体"/>
          <w:color w:val="auto"/>
          <w:kern w:val="1"/>
          <w:sz w:val="28"/>
          <w:szCs w:val="28"/>
          <w:highlight w:val="none"/>
        </w:rPr>
      </w:pPr>
      <w:r>
        <w:rPr>
          <w:rFonts w:ascii="仿宋" w:hAnsi="仿宋" w:eastAsia="仿宋" w:cs="宋体"/>
          <w:color w:val="auto"/>
          <w:kern w:val="1"/>
          <w:sz w:val="28"/>
          <w:szCs w:val="28"/>
          <w:highlight w:val="none"/>
        </w:rPr>
        <w:t>注:</w:t>
      </w:r>
      <w:r>
        <w:rPr>
          <w:rFonts w:hint="eastAsia" w:ascii="仿宋" w:hAnsi="仿宋" w:eastAsia="仿宋" w:cs="宋体"/>
          <w:color w:val="auto"/>
          <w:kern w:val="1"/>
          <w:sz w:val="28"/>
          <w:szCs w:val="28"/>
          <w:highlight w:val="none"/>
        </w:rPr>
        <w:t>1、供应商可根据实际情况自行添加表格内容。</w:t>
      </w:r>
    </w:p>
    <w:p>
      <w:pPr>
        <w:spacing w:line="460" w:lineRule="exact"/>
        <w:ind w:firstLine="414" w:firstLineChars="150"/>
        <w:rPr>
          <w:rFonts w:ascii="仿宋" w:hAnsi="仿宋" w:eastAsia="仿宋" w:cs="宋体"/>
          <w:color w:val="auto"/>
          <w:kern w:val="1"/>
          <w:sz w:val="28"/>
          <w:szCs w:val="28"/>
          <w:highlight w:val="none"/>
        </w:rPr>
      </w:pPr>
      <w:r>
        <w:rPr>
          <w:rFonts w:hint="eastAsia" w:ascii="仿宋" w:hAnsi="仿宋" w:eastAsia="仿宋" w:cs="宋体"/>
          <w:color w:val="auto"/>
          <w:kern w:val="1"/>
          <w:sz w:val="28"/>
          <w:szCs w:val="28"/>
          <w:highlight w:val="none"/>
        </w:rPr>
        <w:t>2、</w:t>
      </w:r>
      <w:r>
        <w:rPr>
          <w:rFonts w:ascii="仿宋" w:hAnsi="仿宋" w:eastAsia="仿宋" w:cs="宋体"/>
          <w:color w:val="auto"/>
          <w:kern w:val="1"/>
          <w:sz w:val="28"/>
          <w:szCs w:val="28"/>
          <w:highlight w:val="none"/>
        </w:rPr>
        <w:t>报价一经涂改，应在涂改处加盖单位公章或投标人代表签字或盖章，否则其投标作无效标处理。</w:t>
      </w:r>
    </w:p>
    <w:p>
      <w:pPr>
        <w:spacing w:line="360" w:lineRule="auto"/>
        <w:ind w:firstLine="552"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供应商名称：（单位公章）     </w:t>
      </w:r>
    </w:p>
    <w:p>
      <w:pPr>
        <w:spacing w:line="360" w:lineRule="auto"/>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    法定代表人或委托代理人：（签字或盖章）</w:t>
      </w:r>
    </w:p>
    <w:p>
      <w:pPr>
        <w:spacing w:line="360" w:lineRule="auto"/>
        <w:ind w:firstLine="552" w:firstLineChars="200"/>
        <w:jc w:val="right"/>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 年  月  日</w:t>
      </w:r>
    </w:p>
    <w:p>
      <w:pPr>
        <w:spacing w:line="360" w:lineRule="auto"/>
        <w:ind w:firstLine="552" w:firstLineChars="200"/>
        <w:jc w:val="right"/>
        <w:rPr>
          <w:rFonts w:ascii="仿宋" w:hAnsi="仿宋" w:eastAsia="仿宋"/>
          <w:color w:val="auto"/>
          <w:sz w:val="28"/>
          <w:szCs w:val="28"/>
          <w:highlight w:val="none"/>
        </w:rPr>
      </w:pPr>
    </w:p>
    <w:p>
      <w:pPr>
        <w:spacing w:line="14" w:lineRule="atLeast"/>
        <w:jc w:val="left"/>
        <w:rPr>
          <w:rFonts w:ascii="仿宋" w:hAnsi="仿宋" w:eastAsia="仿宋"/>
          <w:color w:val="auto"/>
          <w:sz w:val="28"/>
          <w:szCs w:val="30"/>
          <w:highlight w:val="none"/>
        </w:rPr>
      </w:pPr>
      <w:r>
        <w:rPr>
          <w:rFonts w:hint="eastAsia" w:ascii="仿宋" w:hAnsi="仿宋" w:eastAsia="仿宋"/>
          <w:color w:val="auto"/>
          <w:sz w:val="28"/>
          <w:szCs w:val="30"/>
          <w:highlight w:val="none"/>
        </w:rPr>
        <w:t>附件4</w:t>
      </w:r>
    </w:p>
    <w:p>
      <w:pPr>
        <w:spacing w:line="14" w:lineRule="atLeast"/>
        <w:jc w:val="center"/>
        <w:rPr>
          <w:rFonts w:ascii="仿宋" w:hAnsi="仿宋" w:eastAsia="仿宋"/>
          <w:color w:val="auto"/>
          <w:sz w:val="28"/>
          <w:szCs w:val="32"/>
          <w:highlight w:val="none"/>
        </w:rPr>
      </w:pPr>
      <w:r>
        <w:rPr>
          <w:rFonts w:hint="eastAsia" w:ascii="仿宋" w:hAnsi="仿宋" w:eastAsia="仿宋"/>
          <w:color w:val="auto"/>
          <w:sz w:val="28"/>
          <w:szCs w:val="30"/>
          <w:highlight w:val="none"/>
        </w:rPr>
        <w:t>反商业贿赂承诺书</w:t>
      </w:r>
    </w:p>
    <w:p>
      <w:pPr>
        <w:spacing w:line="14" w:lineRule="atLeast"/>
        <w:rPr>
          <w:rFonts w:ascii="仿宋" w:hAnsi="仿宋" w:eastAsia="仿宋"/>
          <w:color w:val="auto"/>
          <w:sz w:val="28"/>
          <w:szCs w:val="32"/>
          <w:highlight w:val="none"/>
        </w:rPr>
      </w:pPr>
      <w:r>
        <w:rPr>
          <w:rFonts w:hint="eastAsia" w:ascii="仿宋" w:hAnsi="仿宋" w:eastAsia="仿宋"/>
          <w:color w:val="auto"/>
          <w:sz w:val="28"/>
          <w:szCs w:val="32"/>
          <w:highlight w:val="none"/>
        </w:rPr>
        <w:t>我单位及其代理人承诺：</w:t>
      </w:r>
    </w:p>
    <w:p>
      <w:pPr>
        <w:spacing w:line="14" w:lineRule="atLeast"/>
        <w:ind w:firstLine="630"/>
        <w:rPr>
          <w:rFonts w:ascii="仿宋" w:hAnsi="仿宋" w:eastAsia="仿宋"/>
          <w:color w:val="auto"/>
          <w:sz w:val="28"/>
          <w:szCs w:val="32"/>
          <w:highlight w:val="none"/>
        </w:rPr>
      </w:pPr>
      <w:r>
        <w:rPr>
          <w:rFonts w:hint="eastAsia" w:ascii="仿宋" w:hAnsi="仿宋" w:eastAsia="仿宋"/>
          <w:color w:val="auto"/>
          <w:sz w:val="28"/>
          <w:szCs w:val="32"/>
          <w:highlight w:val="none"/>
        </w:rPr>
        <w:t>在</w:t>
      </w:r>
      <w:r>
        <w:rPr>
          <w:rFonts w:hint="eastAsia" w:ascii="仿宋" w:hAnsi="仿宋" w:eastAsia="仿宋"/>
          <w:color w:val="auto"/>
          <w:sz w:val="28"/>
          <w:szCs w:val="32"/>
          <w:highlight w:val="none"/>
          <w:u w:val="single"/>
        </w:rPr>
        <w:t xml:space="preserve">                                  </w:t>
      </w:r>
      <w:r>
        <w:rPr>
          <w:rFonts w:hint="eastAsia" w:ascii="仿宋" w:hAnsi="仿宋" w:eastAsia="仿宋"/>
          <w:color w:val="auto"/>
          <w:sz w:val="28"/>
          <w:szCs w:val="32"/>
          <w:highlight w:val="none"/>
        </w:rPr>
        <w:t>招标活动中，我单位保证做到：</w:t>
      </w:r>
    </w:p>
    <w:p>
      <w:pPr>
        <w:spacing w:line="14" w:lineRule="atLeast"/>
        <w:ind w:firstLine="630"/>
        <w:rPr>
          <w:rFonts w:ascii="仿宋" w:hAnsi="仿宋" w:eastAsia="仿宋"/>
          <w:color w:val="auto"/>
          <w:sz w:val="28"/>
          <w:szCs w:val="32"/>
          <w:highlight w:val="none"/>
        </w:rPr>
      </w:pPr>
      <w:r>
        <w:rPr>
          <w:rFonts w:hint="eastAsia" w:ascii="仿宋" w:hAnsi="仿宋" w:eastAsia="仿宋"/>
          <w:color w:val="auto"/>
          <w:sz w:val="28"/>
          <w:szCs w:val="32"/>
          <w:highlight w:val="none"/>
        </w:rPr>
        <w:t>一、杜绝任何形式的商业贿赂行为。不向国家工作人员、政府采购代理机构工作人员、评审专家及其亲属提供礼品、有价证券、购物券、回扣、佣金、咨询费、劳务费、赞助费、宣传费、宴请；不为其报销各种消费凭证，不支付其旅游、娱乐等费用。</w:t>
      </w:r>
    </w:p>
    <w:p>
      <w:pPr>
        <w:spacing w:line="14" w:lineRule="atLeast"/>
        <w:ind w:firstLine="630"/>
        <w:rPr>
          <w:rFonts w:ascii="仿宋" w:hAnsi="仿宋" w:eastAsia="仿宋"/>
          <w:color w:val="auto"/>
          <w:sz w:val="28"/>
          <w:szCs w:val="32"/>
          <w:highlight w:val="none"/>
        </w:rPr>
      </w:pPr>
      <w:r>
        <w:rPr>
          <w:rFonts w:hint="eastAsia" w:ascii="仿宋" w:hAnsi="仿宋" w:eastAsia="仿宋"/>
          <w:color w:val="auto"/>
          <w:sz w:val="28"/>
          <w:szCs w:val="32"/>
          <w:highlight w:val="none"/>
        </w:rPr>
        <w:t>二、若出现上述行为，我单位及参与投标的工作人员愿意接受按照国家法律法规等有关规定给予的处罚。</w:t>
      </w:r>
    </w:p>
    <w:p>
      <w:pPr>
        <w:spacing w:line="14" w:lineRule="atLeast"/>
        <w:ind w:firstLine="630"/>
        <w:jc w:val="right"/>
        <w:rPr>
          <w:rFonts w:ascii="仿宋" w:hAnsi="仿宋" w:eastAsia="仿宋"/>
          <w:color w:val="auto"/>
          <w:sz w:val="28"/>
          <w:szCs w:val="32"/>
          <w:highlight w:val="none"/>
        </w:rPr>
      </w:pPr>
    </w:p>
    <w:p>
      <w:pPr>
        <w:spacing w:line="14" w:lineRule="atLeast"/>
        <w:ind w:firstLine="630"/>
        <w:jc w:val="right"/>
        <w:rPr>
          <w:rFonts w:ascii="仿宋" w:hAnsi="仿宋" w:eastAsia="仿宋"/>
          <w:color w:val="auto"/>
          <w:sz w:val="28"/>
          <w:szCs w:val="32"/>
          <w:highlight w:val="none"/>
        </w:rPr>
      </w:pPr>
      <w:r>
        <w:rPr>
          <w:rFonts w:hint="eastAsia" w:ascii="仿宋" w:hAnsi="仿宋" w:eastAsia="仿宋" w:cs="宋体"/>
          <w:color w:val="auto"/>
          <w:kern w:val="1"/>
          <w:sz w:val="28"/>
          <w:szCs w:val="28"/>
          <w:highlight w:val="none"/>
        </w:rPr>
        <w:t>供应商名称</w:t>
      </w:r>
      <w:r>
        <w:rPr>
          <w:rFonts w:hint="eastAsia" w:ascii="仿宋" w:hAnsi="仿宋" w:eastAsia="仿宋"/>
          <w:color w:val="auto"/>
          <w:sz w:val="28"/>
          <w:szCs w:val="32"/>
          <w:highlight w:val="none"/>
        </w:rPr>
        <w:t>：（单位公章）</w:t>
      </w:r>
    </w:p>
    <w:p>
      <w:pPr>
        <w:spacing w:line="14" w:lineRule="atLeast"/>
        <w:jc w:val="right"/>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法定代表人或委托代理人：（签字）</w:t>
      </w:r>
    </w:p>
    <w:p>
      <w:pPr>
        <w:spacing w:line="14" w:lineRule="atLeast"/>
        <w:ind w:firstLine="630"/>
        <w:jc w:val="right"/>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w:t>
      </w:r>
    </w:p>
    <w:p>
      <w:pPr>
        <w:spacing w:line="14" w:lineRule="atLeast"/>
        <w:ind w:firstLine="630"/>
        <w:rPr>
          <w:rFonts w:ascii="仿宋" w:hAnsi="仿宋" w:eastAsia="仿宋"/>
          <w:color w:val="auto"/>
          <w:sz w:val="28"/>
          <w:szCs w:val="32"/>
          <w:highlight w:val="none"/>
        </w:rPr>
      </w:pPr>
    </w:p>
    <w:p>
      <w:pPr>
        <w:spacing w:line="14" w:lineRule="atLeast"/>
        <w:ind w:firstLine="5503" w:firstLineChars="1995"/>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w:t>
      </w:r>
    </w:p>
    <w:p>
      <w:pPr>
        <w:spacing w:line="14" w:lineRule="atLeast"/>
        <w:ind w:firstLine="630"/>
        <w:jc w:val="right"/>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年   月   日</w:t>
      </w:r>
    </w:p>
    <w:p>
      <w:pPr>
        <w:jc w:val="left"/>
        <w:rPr>
          <w:rFonts w:ascii="仿宋" w:hAnsi="仿宋" w:eastAsia="仿宋"/>
          <w:color w:val="auto"/>
          <w:szCs w:val="32"/>
          <w:highlight w:val="none"/>
        </w:rPr>
      </w:pPr>
    </w:p>
    <w:p>
      <w:pPr>
        <w:spacing w:line="14" w:lineRule="atLeast"/>
        <w:jc w:val="left"/>
        <w:rPr>
          <w:rFonts w:ascii="仿宋" w:hAnsi="仿宋" w:eastAsia="仿宋"/>
          <w:color w:val="auto"/>
          <w:sz w:val="28"/>
          <w:szCs w:val="30"/>
          <w:highlight w:val="none"/>
        </w:rPr>
      </w:pPr>
    </w:p>
    <w:p>
      <w:pPr>
        <w:spacing w:line="14" w:lineRule="atLeast"/>
        <w:jc w:val="left"/>
        <w:rPr>
          <w:rFonts w:ascii="仿宋" w:hAnsi="仿宋" w:eastAsia="仿宋"/>
          <w:color w:val="auto"/>
          <w:sz w:val="28"/>
          <w:szCs w:val="30"/>
          <w:highlight w:val="none"/>
        </w:rPr>
      </w:pPr>
    </w:p>
    <w:p>
      <w:pPr>
        <w:spacing w:line="14" w:lineRule="atLeast"/>
        <w:jc w:val="left"/>
        <w:rPr>
          <w:rFonts w:ascii="仿宋" w:hAnsi="仿宋" w:eastAsia="仿宋"/>
          <w:color w:val="auto"/>
          <w:sz w:val="28"/>
          <w:szCs w:val="30"/>
          <w:highlight w:val="none"/>
        </w:rPr>
      </w:pPr>
    </w:p>
    <w:p>
      <w:pPr>
        <w:spacing w:line="14" w:lineRule="atLeast"/>
        <w:jc w:val="left"/>
        <w:rPr>
          <w:rFonts w:ascii="仿宋" w:hAnsi="仿宋" w:eastAsia="仿宋"/>
          <w:color w:val="auto"/>
          <w:sz w:val="28"/>
          <w:szCs w:val="30"/>
          <w:highlight w:val="none"/>
        </w:rPr>
      </w:pPr>
      <w:r>
        <w:rPr>
          <w:rFonts w:hint="eastAsia" w:ascii="仿宋" w:hAnsi="仿宋" w:eastAsia="仿宋"/>
          <w:color w:val="auto"/>
          <w:sz w:val="28"/>
          <w:szCs w:val="30"/>
          <w:highlight w:val="none"/>
        </w:rPr>
        <w:t>附件5</w:t>
      </w:r>
    </w:p>
    <w:p>
      <w:pPr>
        <w:spacing w:line="14" w:lineRule="atLeast"/>
        <w:jc w:val="center"/>
        <w:rPr>
          <w:rFonts w:ascii="仿宋" w:hAnsi="仿宋" w:eastAsia="仿宋"/>
          <w:color w:val="auto"/>
          <w:sz w:val="28"/>
          <w:szCs w:val="30"/>
          <w:highlight w:val="none"/>
        </w:rPr>
      </w:pPr>
    </w:p>
    <w:p>
      <w:pPr>
        <w:spacing w:line="14" w:lineRule="atLeast"/>
        <w:jc w:val="center"/>
        <w:rPr>
          <w:rFonts w:ascii="仿宋" w:hAnsi="仿宋" w:eastAsia="仿宋"/>
          <w:color w:val="auto"/>
          <w:sz w:val="28"/>
          <w:szCs w:val="30"/>
          <w:highlight w:val="none"/>
        </w:rPr>
      </w:pPr>
    </w:p>
    <w:p>
      <w:pPr>
        <w:spacing w:line="14" w:lineRule="atLeast"/>
        <w:ind w:firstLine="630"/>
        <w:jc w:val="center"/>
        <w:rPr>
          <w:rFonts w:ascii="仿宋" w:hAnsi="仿宋" w:eastAsia="仿宋"/>
          <w:bCs/>
          <w:color w:val="auto"/>
          <w:sz w:val="28"/>
          <w:szCs w:val="30"/>
          <w:highlight w:val="none"/>
        </w:rPr>
      </w:pPr>
      <w:r>
        <w:rPr>
          <w:rFonts w:hint="eastAsia" w:ascii="仿宋" w:hAnsi="仿宋" w:eastAsia="仿宋"/>
          <w:bCs/>
          <w:color w:val="auto"/>
          <w:sz w:val="28"/>
          <w:szCs w:val="30"/>
          <w:highlight w:val="none"/>
        </w:rPr>
        <w:t>营业执照、税务登记证、组织机构代码证或三证合一的营业执照，依法缴纳的税收证明（或完税证明），依法缴纳社会保障资金的证明，财务报告或财务报表等加盖公章的复印件</w:t>
      </w:r>
    </w:p>
    <w:p>
      <w:pPr>
        <w:spacing w:line="14" w:lineRule="atLeast"/>
        <w:ind w:firstLine="630"/>
        <w:jc w:val="center"/>
        <w:rPr>
          <w:rFonts w:ascii="仿宋" w:hAnsi="仿宋" w:eastAsia="仿宋"/>
          <w:bCs/>
          <w:color w:val="auto"/>
          <w:sz w:val="28"/>
          <w:szCs w:val="30"/>
          <w:highlight w:val="none"/>
        </w:rPr>
      </w:pPr>
    </w:p>
    <w:p>
      <w:pPr>
        <w:spacing w:line="14" w:lineRule="atLeast"/>
        <w:ind w:firstLine="630"/>
        <w:jc w:val="center"/>
        <w:rPr>
          <w:rFonts w:ascii="仿宋" w:hAnsi="仿宋" w:eastAsia="仿宋"/>
          <w:bCs/>
          <w:color w:val="auto"/>
          <w:sz w:val="28"/>
          <w:szCs w:val="30"/>
          <w:highlight w:val="none"/>
        </w:rPr>
      </w:pPr>
    </w:p>
    <w:p>
      <w:pPr>
        <w:spacing w:line="14" w:lineRule="atLeast"/>
        <w:ind w:firstLine="630"/>
        <w:jc w:val="center"/>
        <w:rPr>
          <w:rFonts w:ascii="仿宋" w:hAnsi="仿宋" w:eastAsia="仿宋"/>
          <w:bCs/>
          <w:color w:val="auto"/>
          <w:sz w:val="28"/>
          <w:szCs w:val="30"/>
          <w:highlight w:val="none"/>
        </w:rPr>
      </w:pPr>
    </w:p>
    <w:p>
      <w:pPr>
        <w:spacing w:line="14" w:lineRule="atLeast"/>
        <w:ind w:firstLine="630"/>
        <w:jc w:val="center"/>
        <w:rPr>
          <w:rFonts w:ascii="仿宋" w:hAnsi="仿宋" w:eastAsia="仿宋"/>
          <w:bCs/>
          <w:color w:val="auto"/>
          <w:sz w:val="28"/>
          <w:szCs w:val="30"/>
          <w:highlight w:val="none"/>
        </w:rPr>
      </w:pPr>
    </w:p>
    <w:p>
      <w:pPr>
        <w:spacing w:line="14" w:lineRule="atLeast"/>
        <w:ind w:firstLine="630"/>
        <w:jc w:val="center"/>
        <w:rPr>
          <w:rFonts w:ascii="仿宋" w:hAnsi="仿宋" w:eastAsia="仿宋"/>
          <w:bCs/>
          <w:color w:val="auto"/>
          <w:sz w:val="28"/>
          <w:szCs w:val="30"/>
          <w:highlight w:val="none"/>
        </w:rPr>
      </w:pPr>
    </w:p>
    <w:p>
      <w:pPr>
        <w:spacing w:line="14" w:lineRule="atLeast"/>
        <w:ind w:firstLine="630"/>
        <w:jc w:val="center"/>
        <w:rPr>
          <w:rFonts w:ascii="仿宋" w:hAnsi="仿宋" w:eastAsia="仿宋"/>
          <w:bCs/>
          <w:color w:val="auto"/>
          <w:sz w:val="28"/>
          <w:szCs w:val="30"/>
          <w:highlight w:val="none"/>
        </w:rPr>
      </w:pPr>
    </w:p>
    <w:p>
      <w:pPr>
        <w:spacing w:line="14" w:lineRule="atLeast"/>
        <w:ind w:firstLine="630"/>
        <w:jc w:val="center"/>
        <w:rPr>
          <w:rFonts w:ascii="仿宋" w:hAnsi="仿宋" w:eastAsia="仿宋"/>
          <w:bCs/>
          <w:color w:val="auto"/>
          <w:sz w:val="28"/>
          <w:szCs w:val="30"/>
          <w:highlight w:val="none"/>
        </w:rPr>
      </w:pPr>
    </w:p>
    <w:p>
      <w:pPr>
        <w:spacing w:line="14" w:lineRule="atLeast"/>
        <w:ind w:firstLine="630"/>
        <w:jc w:val="center"/>
        <w:rPr>
          <w:rFonts w:ascii="仿宋" w:hAnsi="仿宋" w:eastAsia="仿宋"/>
          <w:color w:val="auto"/>
          <w:szCs w:val="32"/>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rPr>
          <w:rFonts w:ascii="仿宋" w:hAnsi="仿宋" w:eastAsia="仿宋"/>
          <w:color w:val="auto"/>
          <w:highlight w:val="none"/>
        </w:rPr>
      </w:pPr>
    </w:p>
    <w:p>
      <w:pPr>
        <w:spacing w:line="14" w:lineRule="atLeast"/>
        <w:jc w:val="left"/>
        <w:rPr>
          <w:rFonts w:ascii="仿宋" w:hAnsi="仿宋" w:eastAsia="仿宋"/>
          <w:color w:val="auto"/>
          <w:sz w:val="28"/>
          <w:szCs w:val="30"/>
          <w:highlight w:val="none"/>
        </w:rPr>
      </w:pPr>
      <w:r>
        <w:rPr>
          <w:rFonts w:hint="eastAsia" w:ascii="仿宋" w:hAnsi="仿宋" w:eastAsia="仿宋"/>
          <w:color w:val="auto"/>
          <w:sz w:val="28"/>
          <w:szCs w:val="30"/>
          <w:highlight w:val="none"/>
        </w:rPr>
        <w:t>附件6</w:t>
      </w:r>
    </w:p>
    <w:p>
      <w:pPr>
        <w:spacing w:line="14" w:lineRule="atLeast"/>
        <w:jc w:val="center"/>
        <w:rPr>
          <w:rFonts w:ascii="仿宋" w:hAnsi="仿宋" w:eastAsia="仿宋"/>
          <w:color w:val="auto"/>
          <w:sz w:val="28"/>
          <w:szCs w:val="30"/>
          <w:highlight w:val="none"/>
        </w:rPr>
      </w:pPr>
    </w:p>
    <w:p>
      <w:pPr>
        <w:spacing w:line="14" w:lineRule="atLeast"/>
        <w:jc w:val="center"/>
        <w:rPr>
          <w:rFonts w:ascii="仿宋" w:hAnsi="仿宋" w:eastAsia="仿宋"/>
          <w:color w:val="auto"/>
          <w:sz w:val="28"/>
          <w:szCs w:val="30"/>
          <w:highlight w:val="none"/>
        </w:rPr>
      </w:pPr>
    </w:p>
    <w:p>
      <w:pPr>
        <w:spacing w:line="14" w:lineRule="atLeast"/>
        <w:jc w:val="center"/>
        <w:rPr>
          <w:rFonts w:ascii="仿宋" w:hAnsi="仿宋" w:eastAsia="仿宋"/>
          <w:color w:val="auto"/>
          <w:sz w:val="28"/>
          <w:szCs w:val="30"/>
          <w:highlight w:val="none"/>
        </w:rPr>
      </w:pPr>
      <w:r>
        <w:rPr>
          <w:rFonts w:hint="eastAsia" w:ascii="仿宋" w:hAnsi="仿宋" w:eastAsia="仿宋"/>
          <w:color w:val="auto"/>
          <w:sz w:val="28"/>
          <w:szCs w:val="30"/>
          <w:highlight w:val="none"/>
        </w:rPr>
        <w:t>参加政府采购活动前三年内无重大违法记录的书面声明</w:t>
      </w:r>
    </w:p>
    <w:p>
      <w:pPr>
        <w:widowControl/>
        <w:jc w:val="center"/>
        <w:rPr>
          <w:rFonts w:ascii="仿宋" w:hAnsi="仿宋" w:eastAsia="仿宋"/>
          <w:bCs/>
          <w:color w:val="auto"/>
          <w:kern w:val="0"/>
          <w:szCs w:val="32"/>
          <w:highlight w:val="none"/>
        </w:rPr>
      </w:pPr>
    </w:p>
    <w:p>
      <w:pPr>
        <w:widowControl/>
        <w:jc w:val="center"/>
        <w:rPr>
          <w:rFonts w:ascii="仿宋" w:hAnsi="仿宋" w:eastAsia="仿宋"/>
          <w:bCs/>
          <w:color w:val="auto"/>
          <w:kern w:val="0"/>
          <w:szCs w:val="32"/>
          <w:highlight w:val="none"/>
        </w:rPr>
      </w:pPr>
    </w:p>
    <w:p>
      <w:pPr>
        <w:widowControl/>
        <w:rPr>
          <w:rFonts w:ascii="仿宋" w:hAnsi="仿宋" w:eastAsia="仿宋"/>
          <w:bCs/>
          <w:color w:val="auto"/>
          <w:kern w:val="0"/>
          <w:szCs w:val="32"/>
          <w:highlight w:val="none"/>
        </w:rPr>
      </w:pPr>
    </w:p>
    <w:p>
      <w:pPr>
        <w:widowControl/>
        <w:jc w:val="center"/>
        <w:rPr>
          <w:rFonts w:ascii="仿宋" w:hAnsi="仿宋" w:eastAsia="仿宋"/>
          <w:bCs/>
          <w:color w:val="auto"/>
          <w:kern w:val="0"/>
          <w:szCs w:val="32"/>
          <w:highlight w:val="none"/>
        </w:rPr>
      </w:pPr>
    </w:p>
    <w:p>
      <w:pPr>
        <w:widowControl/>
        <w:jc w:val="center"/>
        <w:rPr>
          <w:rFonts w:ascii="仿宋" w:hAnsi="仿宋" w:eastAsia="仿宋"/>
          <w:bCs/>
          <w:color w:val="auto"/>
          <w:kern w:val="0"/>
          <w:szCs w:val="32"/>
          <w:highlight w:val="none"/>
        </w:rPr>
      </w:pPr>
    </w:p>
    <w:p>
      <w:pPr>
        <w:widowControl/>
        <w:rPr>
          <w:rFonts w:ascii="仿宋" w:hAnsi="仿宋" w:eastAsia="仿宋"/>
          <w:bCs/>
          <w:color w:val="auto"/>
          <w:kern w:val="0"/>
          <w:szCs w:val="32"/>
          <w:highlight w:val="none"/>
        </w:rPr>
      </w:pPr>
    </w:p>
    <w:p>
      <w:pPr>
        <w:spacing w:line="14" w:lineRule="atLeast"/>
        <w:ind w:firstLine="630"/>
        <w:jc w:val="right"/>
        <w:rPr>
          <w:rFonts w:ascii="仿宋" w:hAnsi="仿宋" w:eastAsia="仿宋"/>
          <w:color w:val="auto"/>
          <w:sz w:val="28"/>
          <w:szCs w:val="32"/>
          <w:highlight w:val="none"/>
        </w:rPr>
      </w:pPr>
      <w:r>
        <w:rPr>
          <w:rFonts w:hint="eastAsia" w:ascii="仿宋" w:hAnsi="仿宋" w:eastAsia="仿宋"/>
          <w:bCs/>
          <w:color w:val="auto"/>
          <w:kern w:val="0"/>
          <w:szCs w:val="32"/>
          <w:highlight w:val="none"/>
        </w:rPr>
        <w:t xml:space="preserve">                                 </w:t>
      </w:r>
      <w:r>
        <w:rPr>
          <w:rFonts w:hint="eastAsia" w:ascii="仿宋" w:hAnsi="仿宋" w:eastAsia="仿宋"/>
          <w:bCs/>
          <w:color w:val="auto"/>
          <w:kern w:val="0"/>
          <w:sz w:val="28"/>
          <w:szCs w:val="32"/>
          <w:highlight w:val="none"/>
        </w:rPr>
        <w:t xml:space="preserve"> </w:t>
      </w:r>
      <w:r>
        <w:rPr>
          <w:rFonts w:hint="eastAsia" w:ascii="仿宋" w:hAnsi="仿宋" w:eastAsia="仿宋" w:cs="宋体"/>
          <w:color w:val="auto"/>
          <w:kern w:val="1"/>
          <w:sz w:val="28"/>
          <w:szCs w:val="28"/>
          <w:highlight w:val="none"/>
        </w:rPr>
        <w:t>供应商名称：</w:t>
      </w:r>
      <w:r>
        <w:rPr>
          <w:rFonts w:hint="eastAsia" w:ascii="仿宋" w:hAnsi="仿宋" w:eastAsia="仿宋"/>
          <w:color w:val="auto"/>
          <w:sz w:val="28"/>
          <w:szCs w:val="32"/>
          <w:highlight w:val="none"/>
        </w:rPr>
        <w:t>（公章）</w:t>
      </w:r>
    </w:p>
    <w:p>
      <w:pPr>
        <w:spacing w:line="14" w:lineRule="atLeast"/>
        <w:ind w:firstLine="630"/>
        <w:jc w:val="right"/>
        <w:rPr>
          <w:rFonts w:ascii="仿宋" w:hAnsi="仿宋" w:eastAsia="仿宋"/>
          <w:color w:val="auto"/>
          <w:sz w:val="28"/>
          <w:szCs w:val="32"/>
          <w:highlight w:val="none"/>
        </w:rPr>
      </w:pPr>
      <w:r>
        <w:rPr>
          <w:rFonts w:hint="eastAsia" w:ascii="仿宋" w:hAnsi="仿宋" w:eastAsia="仿宋"/>
          <w:color w:val="auto"/>
          <w:sz w:val="28"/>
          <w:szCs w:val="32"/>
          <w:highlight w:val="none"/>
        </w:rPr>
        <w:t>法定代表人或委托代理人：（签字或盖章）</w:t>
      </w:r>
    </w:p>
    <w:p>
      <w:pPr>
        <w:jc w:val="right"/>
        <w:rPr>
          <w:rFonts w:ascii="仿宋" w:hAnsi="仿宋" w:eastAsia="仿宋"/>
          <w:color w:val="auto"/>
          <w:sz w:val="28"/>
          <w:szCs w:val="32"/>
          <w:highlight w:val="none"/>
        </w:rPr>
      </w:pPr>
      <w:r>
        <w:rPr>
          <w:rFonts w:hint="eastAsia" w:ascii="仿宋" w:hAnsi="仿宋" w:eastAsia="仿宋"/>
          <w:color w:val="auto"/>
          <w:sz w:val="28"/>
          <w:szCs w:val="32"/>
          <w:highlight w:val="none"/>
        </w:rPr>
        <w:t xml:space="preserve"> 年   月   日</w:t>
      </w: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right"/>
        <w:rPr>
          <w:rFonts w:ascii="仿宋" w:hAnsi="仿宋" w:eastAsia="仿宋"/>
          <w:color w:val="auto"/>
          <w:sz w:val="28"/>
          <w:szCs w:val="32"/>
          <w:highlight w:val="none"/>
        </w:rPr>
      </w:pPr>
    </w:p>
    <w:p>
      <w:pPr>
        <w:jc w:val="left"/>
        <w:rPr>
          <w:rFonts w:ascii="仿宋" w:hAnsi="仿宋" w:eastAsia="仿宋"/>
          <w:color w:val="auto"/>
          <w:sz w:val="28"/>
          <w:szCs w:val="32"/>
          <w:highlight w:val="none"/>
        </w:rPr>
      </w:pPr>
      <w:r>
        <w:rPr>
          <w:rFonts w:hint="eastAsia" w:ascii="仿宋" w:hAnsi="仿宋" w:eastAsia="仿宋"/>
          <w:color w:val="auto"/>
          <w:sz w:val="28"/>
          <w:szCs w:val="32"/>
          <w:highlight w:val="none"/>
        </w:rPr>
        <w:t>附件7</w:t>
      </w:r>
    </w:p>
    <w:p>
      <w:pPr>
        <w:jc w:val="left"/>
        <w:rPr>
          <w:rFonts w:ascii="仿宋" w:hAnsi="仿宋" w:eastAsia="仿宋"/>
          <w:color w:val="auto"/>
          <w:sz w:val="28"/>
          <w:szCs w:val="32"/>
          <w:highlight w:val="none"/>
        </w:rPr>
      </w:pPr>
    </w:p>
    <w:p>
      <w:pPr>
        <w:jc w:val="left"/>
        <w:rPr>
          <w:rFonts w:ascii="仿宋" w:hAnsi="仿宋" w:eastAsia="仿宋"/>
          <w:color w:val="auto"/>
          <w:sz w:val="28"/>
          <w:szCs w:val="32"/>
          <w:highlight w:val="none"/>
        </w:rPr>
      </w:pPr>
    </w:p>
    <w:p>
      <w:pPr>
        <w:jc w:val="left"/>
        <w:rPr>
          <w:rFonts w:ascii="仿宋" w:hAnsi="仿宋" w:eastAsia="仿宋"/>
          <w:color w:val="auto"/>
          <w:sz w:val="28"/>
          <w:szCs w:val="32"/>
          <w:highlight w:val="none"/>
        </w:rPr>
      </w:pPr>
    </w:p>
    <w:p>
      <w:pPr>
        <w:jc w:val="left"/>
        <w:rPr>
          <w:rFonts w:ascii="仿宋" w:hAnsi="仿宋" w:eastAsia="仿宋"/>
          <w:color w:val="auto"/>
          <w:sz w:val="28"/>
          <w:szCs w:val="32"/>
          <w:highlight w:val="none"/>
        </w:rPr>
      </w:pPr>
    </w:p>
    <w:p>
      <w:pPr>
        <w:ind w:left="552"/>
        <w:jc w:val="center"/>
        <w:rPr>
          <w:rFonts w:ascii="仿宋" w:hAnsi="仿宋" w:eastAsia="仿宋" w:cs="仿宋_GB2312"/>
          <w:color w:val="auto"/>
          <w:kern w:val="1"/>
          <w:sz w:val="28"/>
          <w:highlight w:val="none"/>
        </w:rPr>
      </w:pPr>
      <w:r>
        <w:rPr>
          <w:rFonts w:hint="eastAsia" w:ascii="仿宋" w:hAnsi="仿宋" w:eastAsia="仿宋" w:cs="仿宋_GB2312"/>
          <w:color w:val="auto"/>
          <w:kern w:val="1"/>
          <w:sz w:val="28"/>
          <w:highlight w:val="none"/>
        </w:rPr>
        <w:t>保证金交纳凭证复印件</w:t>
      </w:r>
    </w:p>
    <w:p>
      <w:pPr>
        <w:ind w:left="552"/>
        <w:rPr>
          <w:rFonts w:ascii="仿宋" w:hAnsi="仿宋" w:eastAsia="仿宋" w:cs="仿宋_GB2312"/>
          <w:color w:val="auto"/>
          <w:kern w:val="1"/>
          <w:sz w:val="28"/>
          <w:highlight w:val="none"/>
        </w:rPr>
      </w:pPr>
    </w:p>
    <w:p>
      <w:pPr>
        <w:ind w:left="552"/>
        <w:rPr>
          <w:rFonts w:ascii="仿宋" w:hAnsi="仿宋" w:eastAsia="仿宋" w:cs="仿宋_GB2312"/>
          <w:color w:val="auto"/>
          <w:kern w:val="1"/>
          <w:sz w:val="28"/>
          <w:highlight w:val="none"/>
        </w:rPr>
      </w:pPr>
    </w:p>
    <w:p>
      <w:pPr>
        <w:ind w:left="552"/>
        <w:rPr>
          <w:rFonts w:ascii="仿宋" w:hAnsi="仿宋" w:eastAsia="仿宋" w:cs="仿宋_GB2312"/>
          <w:color w:val="auto"/>
          <w:kern w:val="1"/>
          <w:sz w:val="28"/>
          <w:highlight w:val="none"/>
        </w:rPr>
      </w:pPr>
    </w:p>
    <w:p>
      <w:pPr>
        <w:ind w:left="552"/>
        <w:rPr>
          <w:rFonts w:ascii="仿宋" w:hAnsi="仿宋" w:eastAsia="仿宋" w:cs="仿宋_GB2312"/>
          <w:color w:val="auto"/>
          <w:kern w:val="1"/>
          <w:sz w:val="28"/>
          <w:highlight w:val="none"/>
        </w:rPr>
      </w:pPr>
    </w:p>
    <w:p>
      <w:pPr>
        <w:rPr>
          <w:rFonts w:ascii="仿宋" w:hAnsi="仿宋" w:eastAsia="仿宋" w:cs="仿宋_GB2312"/>
          <w:color w:val="auto"/>
          <w:kern w:val="1"/>
          <w:sz w:val="28"/>
          <w:highlight w:val="none"/>
        </w:rPr>
      </w:pPr>
      <w:r>
        <w:rPr>
          <w:rFonts w:hint="eastAsia" w:ascii="仿宋" w:hAnsi="仿宋" w:eastAsia="仿宋" w:cs="仿宋_GB2312"/>
          <w:color w:val="auto"/>
          <w:kern w:val="1"/>
          <w:sz w:val="28"/>
          <w:highlight w:val="none"/>
        </w:rPr>
        <w:t>附件8</w:t>
      </w:r>
    </w:p>
    <w:p>
      <w:pPr>
        <w:ind w:left="552"/>
        <w:rPr>
          <w:rFonts w:ascii="仿宋" w:hAnsi="仿宋" w:eastAsia="仿宋" w:cs="仿宋_GB2312"/>
          <w:color w:val="auto"/>
          <w:kern w:val="1"/>
          <w:sz w:val="28"/>
          <w:highlight w:val="none"/>
        </w:rPr>
      </w:pPr>
    </w:p>
    <w:p>
      <w:pPr>
        <w:ind w:left="552"/>
        <w:rPr>
          <w:rFonts w:ascii="仿宋" w:hAnsi="仿宋" w:eastAsia="仿宋" w:cs="仿宋_GB2312"/>
          <w:color w:val="auto"/>
          <w:kern w:val="1"/>
          <w:sz w:val="28"/>
          <w:highlight w:val="none"/>
        </w:rPr>
      </w:pPr>
    </w:p>
    <w:p>
      <w:pPr>
        <w:ind w:left="552"/>
        <w:rPr>
          <w:rFonts w:ascii="仿宋" w:hAnsi="仿宋" w:eastAsia="仿宋" w:cs="仿宋_GB2312"/>
          <w:color w:val="auto"/>
          <w:kern w:val="1"/>
          <w:sz w:val="28"/>
          <w:highlight w:val="none"/>
        </w:rPr>
      </w:pPr>
    </w:p>
    <w:p>
      <w:pPr>
        <w:ind w:left="552"/>
        <w:jc w:val="center"/>
        <w:rPr>
          <w:rFonts w:ascii="仿宋" w:hAnsi="仿宋" w:eastAsia="仿宋"/>
          <w:color w:val="auto"/>
          <w:highlight w:val="none"/>
        </w:rPr>
      </w:pPr>
      <w:r>
        <w:rPr>
          <w:rFonts w:hint="eastAsia" w:ascii="仿宋" w:hAnsi="仿宋" w:eastAsia="仿宋"/>
          <w:color w:val="auto"/>
          <w:sz w:val="28"/>
          <w:szCs w:val="32"/>
          <w:highlight w:val="none"/>
        </w:rPr>
        <w:t>供应商认为有必要提供的其他资料</w:t>
      </w:r>
    </w:p>
    <w:sectPr>
      <w:footerReference r:id="rId4" w:type="default"/>
      <w:pgSz w:w="11906" w:h="16838"/>
      <w:pgMar w:top="2155" w:right="1418" w:bottom="1560" w:left="1531" w:header="851" w:footer="992" w:gutter="0"/>
      <w:pgNumType w:fmt="decimal" w:start="1"/>
      <w:cols w:space="720" w:num="1"/>
      <w:docGrid w:type="linesAndChars" w:linePitch="582"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华文细黑">
    <w:altName w:val="微软雅黑"/>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Style w:val="13"/>
      </w:rPr>
    </w:pPr>
  </w:p>
  <w:p>
    <w:pPr>
      <w:pStyle w:val="8"/>
      <w:tabs>
        <w:tab w:val="left" w:pos="11128"/>
        <w:tab w:val="clear" w:pos="4153"/>
      </w:tabs>
      <w:ind w:right="360"/>
      <w:rPr>
        <w:rStyle w:val="13"/>
        <w:sz w:val="28"/>
      </w:rPr>
    </w:pPr>
    <w:r>
      <w:rPr>
        <w:rStyle w:val="13"/>
        <w:rFonts w:hint="eastAsia"/>
        <w:sz w:val="28"/>
      </w:rPr>
      <w:tab/>
    </w:r>
  </w:p>
  <w:p>
    <w:pPr>
      <w:framePr w:wrap="around" w:vAnchor="text" w:hAnchor="page" w:x="1589" w:y="-20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Style w:val="13"/>
      </w:rPr>
    </w:pPr>
    <w:r>
      <w:rPr>
        <w:sz w:val="18"/>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仿宋_GB2312"/>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21</w:t>
                </w:r>
                <w:r>
                  <w:rPr>
                    <w:rFonts w:hint="eastAsia"/>
                    <w:sz w:val="18"/>
                    <w:lang w:eastAsia="zh-CN"/>
                  </w:rPr>
                  <w:fldChar w:fldCharType="end"/>
                </w:r>
                <w:r>
                  <w:rPr>
                    <w:rFonts w:hint="eastAsia"/>
                    <w:sz w:val="18"/>
                    <w:lang w:eastAsia="zh-CN"/>
                  </w:rPr>
                  <w:t xml:space="preserve"> 页</w:t>
                </w:r>
              </w:p>
            </w:txbxContent>
          </v:textbox>
        </v:shape>
      </w:pict>
    </w:r>
  </w:p>
  <w:p>
    <w:pPr>
      <w:pStyle w:val="8"/>
      <w:tabs>
        <w:tab w:val="left" w:pos="11128"/>
        <w:tab w:val="clear" w:pos="4153"/>
      </w:tabs>
      <w:ind w:right="360"/>
      <w:rPr>
        <w:rStyle w:val="13"/>
        <w:sz w:val="28"/>
      </w:rPr>
    </w:pPr>
    <w:r>
      <w:rPr>
        <w:rStyle w:val="13"/>
        <w:rFonts w:hint="eastAsia"/>
        <w:sz w:val="28"/>
      </w:rPr>
      <w:tab/>
    </w:r>
  </w:p>
  <w:p>
    <w:pPr>
      <w:framePr w:wrap="around" w:vAnchor="text" w:hAnchor="page" w:x="1589" w:y="-20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tentative="0">
      <w:start w:val="2"/>
      <w:numFmt w:val="chineseCounting"/>
      <w:suff w:val="nothing"/>
      <w:lvlText w:val="%1、"/>
      <w:lvlJc w:val="left"/>
    </w:lvl>
  </w:abstractNum>
  <w:abstractNum w:abstractNumId="1">
    <w:nsid w:val="0000000C"/>
    <w:multiLevelType w:val="singleLevel"/>
    <w:tmpl w:val="0000000C"/>
    <w:lvl w:ilvl="0" w:tentative="0">
      <w:start w:val="4"/>
      <w:numFmt w:val="chineseCounting"/>
      <w:suff w:val="nothing"/>
      <w:lvlText w:val="%1、"/>
      <w:lvlJc w:val="left"/>
    </w:lvl>
  </w:abstractNum>
  <w:abstractNum w:abstractNumId="2">
    <w:nsid w:val="5253B978"/>
    <w:multiLevelType w:val="singleLevel"/>
    <w:tmpl w:val="5253B978"/>
    <w:lvl w:ilvl="0" w:tentative="0">
      <w:start w:val="1"/>
      <w:numFmt w:val="decimal"/>
      <w:suff w:val="nothing"/>
      <w:lvlText w:val="（%1）"/>
      <w:lvlJc w:val="left"/>
    </w:lvl>
  </w:abstractNum>
  <w:abstractNum w:abstractNumId="3">
    <w:nsid w:val="53210DC6"/>
    <w:multiLevelType w:val="singleLevel"/>
    <w:tmpl w:val="53210DC6"/>
    <w:lvl w:ilvl="0" w:tentative="0">
      <w:start w:val="7"/>
      <w:numFmt w:val="chineseCounting"/>
      <w:suff w:val="nothing"/>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5DE0"/>
    <w:rsid w:val="00045094"/>
    <w:rsid w:val="000745A2"/>
    <w:rsid w:val="00084ED4"/>
    <w:rsid w:val="000A6DDE"/>
    <w:rsid w:val="000C16C0"/>
    <w:rsid w:val="000D3F55"/>
    <w:rsid w:val="00101CAD"/>
    <w:rsid w:val="001167D2"/>
    <w:rsid w:val="00132109"/>
    <w:rsid w:val="00135378"/>
    <w:rsid w:val="00147007"/>
    <w:rsid w:val="00151BE9"/>
    <w:rsid w:val="001544F6"/>
    <w:rsid w:val="00172A27"/>
    <w:rsid w:val="001A0CA0"/>
    <w:rsid w:val="001C2E73"/>
    <w:rsid w:val="002803C5"/>
    <w:rsid w:val="00296B68"/>
    <w:rsid w:val="002C32E0"/>
    <w:rsid w:val="002E06B5"/>
    <w:rsid w:val="00305F4E"/>
    <w:rsid w:val="003538A0"/>
    <w:rsid w:val="00353F82"/>
    <w:rsid w:val="0039754E"/>
    <w:rsid w:val="003A3BF4"/>
    <w:rsid w:val="003A3C4A"/>
    <w:rsid w:val="003F4F43"/>
    <w:rsid w:val="00407709"/>
    <w:rsid w:val="004678C7"/>
    <w:rsid w:val="00483229"/>
    <w:rsid w:val="004C168A"/>
    <w:rsid w:val="004E07F0"/>
    <w:rsid w:val="00534C91"/>
    <w:rsid w:val="00544987"/>
    <w:rsid w:val="00586956"/>
    <w:rsid w:val="005B6702"/>
    <w:rsid w:val="00632634"/>
    <w:rsid w:val="00635591"/>
    <w:rsid w:val="00713562"/>
    <w:rsid w:val="00763EAE"/>
    <w:rsid w:val="00793EE6"/>
    <w:rsid w:val="00797D8F"/>
    <w:rsid w:val="007A7E57"/>
    <w:rsid w:val="007B405E"/>
    <w:rsid w:val="00803BC7"/>
    <w:rsid w:val="00810152"/>
    <w:rsid w:val="00827CD9"/>
    <w:rsid w:val="0085509F"/>
    <w:rsid w:val="008653DB"/>
    <w:rsid w:val="008656A5"/>
    <w:rsid w:val="008714DB"/>
    <w:rsid w:val="0087372E"/>
    <w:rsid w:val="008E64C6"/>
    <w:rsid w:val="0090528C"/>
    <w:rsid w:val="0093023D"/>
    <w:rsid w:val="00931BE6"/>
    <w:rsid w:val="0099028D"/>
    <w:rsid w:val="009A6796"/>
    <w:rsid w:val="00A12F7F"/>
    <w:rsid w:val="00A373AC"/>
    <w:rsid w:val="00A507A2"/>
    <w:rsid w:val="00A56A07"/>
    <w:rsid w:val="00A675F5"/>
    <w:rsid w:val="00A75BEC"/>
    <w:rsid w:val="00A975CD"/>
    <w:rsid w:val="00AD52C7"/>
    <w:rsid w:val="00B14DFB"/>
    <w:rsid w:val="00B70C6D"/>
    <w:rsid w:val="00B953EC"/>
    <w:rsid w:val="00BC4926"/>
    <w:rsid w:val="00BD6A33"/>
    <w:rsid w:val="00C00064"/>
    <w:rsid w:val="00C51A60"/>
    <w:rsid w:val="00C81627"/>
    <w:rsid w:val="00C81EA9"/>
    <w:rsid w:val="00C84911"/>
    <w:rsid w:val="00C84E1D"/>
    <w:rsid w:val="00C87CA5"/>
    <w:rsid w:val="00D414D5"/>
    <w:rsid w:val="00D423F1"/>
    <w:rsid w:val="00D6041B"/>
    <w:rsid w:val="00D94844"/>
    <w:rsid w:val="00D96FB1"/>
    <w:rsid w:val="00EA5854"/>
    <w:rsid w:val="00ED12D9"/>
    <w:rsid w:val="00ED2982"/>
    <w:rsid w:val="00EE5E53"/>
    <w:rsid w:val="00EF70E5"/>
    <w:rsid w:val="00F21617"/>
    <w:rsid w:val="00F551CF"/>
    <w:rsid w:val="00F66933"/>
    <w:rsid w:val="00F71ABA"/>
    <w:rsid w:val="00F77F65"/>
    <w:rsid w:val="0610561E"/>
    <w:rsid w:val="2470241F"/>
    <w:rsid w:val="517E030A"/>
    <w:rsid w:val="65527B10"/>
    <w:rsid w:val="7BF51E5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2"/>
    <w:basedOn w:val="3"/>
    <w:next w:val="3"/>
    <w:link w:val="16"/>
    <w:qFormat/>
    <w:uiPriority w:val="0"/>
    <w:pPr>
      <w:keepNext/>
      <w:keepLines/>
      <w:spacing w:before="260" w:after="260" w:line="413" w:lineRule="auto"/>
      <w:outlineLvl w:val="1"/>
    </w:pPr>
    <w:rPr>
      <w:rFonts w:ascii="Arial" w:hAnsi="Arial" w:eastAsia="黑体"/>
      <w:b/>
      <w:bCs/>
      <w:szCs w:val="32"/>
    </w:rPr>
  </w:style>
  <w:style w:type="character" w:default="1" w:styleId="12">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customStyle="1" w:styleId="3">
    <w:name w:val="Default"/>
    <w:qFormat/>
    <w:uiPriority w:val="0"/>
    <w:pPr>
      <w:widowControl w:val="0"/>
      <w:autoSpaceDE w:val="0"/>
      <w:autoSpaceDN w:val="0"/>
      <w:adjustRightInd w:val="0"/>
    </w:pPr>
    <w:rPr>
      <w:rFonts w:ascii="宋体" w:hAnsi="Times New Roman" w:eastAsia="宋体" w:cs="Times New Roman"/>
      <w:lang w:val="en-US" w:eastAsia="zh-CN" w:bidi="ar-SA"/>
    </w:rPr>
  </w:style>
  <w:style w:type="paragraph" w:styleId="4">
    <w:name w:val="annotation subject"/>
    <w:basedOn w:val="5"/>
    <w:next w:val="5"/>
    <w:semiHidden/>
    <w:qFormat/>
    <w:uiPriority w:val="0"/>
    <w:rPr>
      <w:b/>
      <w:bCs/>
    </w:rPr>
  </w:style>
  <w:style w:type="paragraph" w:styleId="5">
    <w:name w:val="annotation text"/>
    <w:basedOn w:val="1"/>
    <w:qFormat/>
    <w:uiPriority w:val="0"/>
    <w:pPr>
      <w:jc w:val="left"/>
    </w:pPr>
  </w:style>
  <w:style w:type="paragraph" w:styleId="6">
    <w:name w:val="Body Text"/>
    <w:basedOn w:val="1"/>
    <w:qFormat/>
    <w:uiPriority w:val="0"/>
    <w:pPr>
      <w:spacing w:after="120"/>
    </w:pPr>
  </w:style>
  <w:style w:type="paragraph" w:styleId="7">
    <w:name w:val="Balloon Text"/>
    <w:basedOn w:val="1"/>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1">
    <w:name w:val="Title"/>
    <w:basedOn w:val="1"/>
    <w:qFormat/>
    <w:uiPriority w:val="0"/>
    <w:pPr>
      <w:spacing w:before="240" w:after="60"/>
      <w:jc w:val="center"/>
      <w:outlineLvl w:val="0"/>
    </w:pPr>
    <w:rPr>
      <w:rFonts w:ascii="Arial" w:hAnsi="Arial" w:cs="Arial"/>
      <w:b/>
      <w:bCs/>
      <w:szCs w:val="32"/>
    </w:rPr>
  </w:style>
  <w:style w:type="character" w:styleId="13">
    <w:name w:val="page number"/>
    <w:basedOn w:val="12"/>
    <w:qFormat/>
    <w:uiPriority w:val="0"/>
  </w:style>
  <w:style w:type="character" w:styleId="14">
    <w:name w:val="annotation reference"/>
    <w:semiHidden/>
    <w:qFormat/>
    <w:uiPriority w:val="0"/>
    <w:rPr>
      <w:sz w:val="21"/>
      <w:szCs w:val="21"/>
    </w:rPr>
  </w:style>
  <w:style w:type="character" w:customStyle="1" w:styleId="16">
    <w:name w:val="标题 2 Char"/>
    <w:link w:val="2"/>
    <w:qFormat/>
    <w:uiPriority w:val="0"/>
    <w:rPr>
      <w:rFonts w:ascii="Arial" w:hAnsi="Arial" w:eastAsia="黑体"/>
      <w:b/>
      <w:bCs/>
      <w:szCs w:val="32"/>
    </w:rPr>
  </w:style>
  <w:style w:type="paragraph" w:customStyle="1" w:styleId="17">
    <w:name w:val="列出段落1"/>
    <w:basedOn w:val="1"/>
    <w:qFormat/>
    <w:uiPriority w:val="0"/>
    <w:pPr>
      <w:ind w:firstLine="420" w:firstLineChars="200"/>
    </w:pPr>
    <w:rPr>
      <w:rFonts w:eastAsia="宋体"/>
      <w:sz w:val="21"/>
      <w:szCs w:val="21"/>
    </w:rPr>
  </w:style>
  <w:style w:type="paragraph" w:customStyle="1" w:styleId="18">
    <w:name w:val="文档正文"/>
    <w:basedOn w:val="1"/>
    <w:qFormat/>
    <w:uiPriority w:val="0"/>
    <w:pPr>
      <w:adjustRightInd w:val="0"/>
      <w:spacing w:line="480" w:lineRule="atLeast"/>
      <w:ind w:firstLine="567"/>
      <w:textAlignment w:val="baseline"/>
    </w:pPr>
    <w:rPr>
      <w:rFonts w:ascii="仿宋_GB2312"/>
      <w:kern w:val="0"/>
      <w:sz w:val="28"/>
      <w:szCs w:val="20"/>
    </w:rPr>
  </w:style>
  <w:style w:type="paragraph" w:customStyle="1" w:styleId="19">
    <w:name w:val="默认段落字体 Para Char Char Char Char Char Char Char Char Char Char"/>
    <w:basedOn w:val="1"/>
    <w:qFormat/>
    <w:uiPriority w:val="0"/>
    <w:pPr>
      <w:tabs>
        <w:tab w:val="right" w:pos="-2120"/>
      </w:tabs>
      <w:snapToGrid w:val="0"/>
    </w:pPr>
  </w:style>
  <w:style w:type="paragraph" w:customStyle="1" w:styleId="20">
    <w:name w:val="标题2"/>
    <w:basedOn w:val="11"/>
    <w:qFormat/>
    <w:uiPriority w:val="0"/>
    <w:pPr>
      <w:spacing w:before="0" w:after="0" w:line="480" w:lineRule="exact"/>
      <w:ind w:firstLine="579" w:firstLineChars="196"/>
      <w:jc w:val="both"/>
    </w:pPr>
    <w:rPr>
      <w:rFonts w:ascii="仿宋_GB2312" w:hAnsi="宋体" w:cs="Times New Roman"/>
      <w:bCs w:val="0"/>
      <w:spacing w:val="-3"/>
      <w:sz w:val="30"/>
      <w:szCs w:val="30"/>
    </w:rPr>
  </w:style>
  <w:style w:type="paragraph" w:customStyle="1" w:styleId="21">
    <w:name w:val="Char Char Char1 Char8"/>
    <w:basedOn w:val="1"/>
    <w:unhideWhenUsed/>
    <w:qFormat/>
    <w:uiPriority w:val="99"/>
    <w:pPr>
      <w:spacing w:line="360" w:lineRule="auto"/>
      <w:ind w:firstLine="200" w:firstLineChars="200"/>
    </w:pPr>
    <w:rPr>
      <w:rFonts w:hint="eastAsia" w:ascii="宋体" w:hAnsi="宋体"/>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1082</Words>
  <Characters>6173</Characters>
  <Lines>51</Lines>
  <Paragraphs>14</Paragraphs>
  <ScaleCrop>false</ScaleCrop>
  <LinksUpToDate>false</LinksUpToDate>
  <CharactersWithSpaces>7241</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2016-09-09T01:49:00Z</dcterms:created>
  <dc:creator>Administrator</dc:creator>
  <cp:lastModifiedBy>Administrator</cp:lastModifiedBy>
  <cp:lastPrinted>2016-03-11T03:08:00Z</cp:lastPrinted>
  <dcterms:modified xsi:type="dcterms:W3CDTF">2016-09-13T13:06:52Z</dcterms:modified>
  <dc:title>目     录</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